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8"/>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     </w:t>
            </w:r>
            <w:r>
              <w:rPr>
                <w:rFonts w:ascii="黑体" w:hAnsi="黑体" w:eastAsia="黑体"/>
                <w:sz w:val="21"/>
                <w:szCs w:val="21"/>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tbl>
      <w:tblPr>
        <w:tblStyle w:val="28"/>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pPr>
              <w:pStyle w:val="50"/>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TY</w:t>
            </w:r>
            <w:r>
              <w:fldChar w:fldCharType="end"/>
            </w:r>
            <w:bookmarkEnd w:id="3"/>
          </w:p>
        </w:tc>
      </w:tr>
    </w:tbl>
    <w:p>
      <w:pPr>
        <w:pStyle w:val="51"/>
        <w:framePr w:w="9639" w:h="624" w:hRule="exact" w:hSpace="181" w:vSpace="181"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体育</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pPr>
        <w:pStyle w:val="196"/>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rPr>
        <w:t>TY</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pPr>
        <w:pStyle w:val="197"/>
        <w:rPr>
          <w:rFonts w:hint="eastAsia"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pP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ng0mW2AAAAAwB&#10;AAAPAAAAAAAAAAEAIAAAADgAAABkcnMvZG93bnJldi54bWxQSwECFAAUAAAACACHTuJASfTgWswB&#10;AABhAwAADgAAAAAAAAABACAAAAA9AQAAZHJzL2Uyb0RvYy54bWxQSwUGAAAAAAYABgBZAQAAewUA&#10;AAAA&#10;">
                <v:fill on="f" focussize="0,0"/>
                <v:stroke color="#000000" joinstyle="round"/>
                <v:imagedata o:title=""/>
                <o:lock v:ext="edit" aspectratio="f"/>
              </v:line>
            </w:pict>
          </mc:Fallback>
        </mc:AlternateContent>
      </w:r>
    </w:p>
    <w:p>
      <w:pPr>
        <w:pStyle w:val="51"/>
        <w:framePr w:w="9639" w:h="6976" w:hRule="exact" w:hSpace="0" w:vSpace="0" w:hAnchor="page" w:y="6408"/>
        <w:jc w:val="center"/>
        <w:rPr>
          <w:rFonts w:hint="eastAsia" w:ascii="黑体" w:hAnsi="黑体" w:eastAsia="黑体"/>
          <w:b w:val="0"/>
          <w:bCs w:val="0"/>
          <w:w w:val="100"/>
          <w:lang w:val="fr-FR"/>
        </w:rPr>
      </w:pPr>
    </w:p>
    <w:p>
      <w:pPr>
        <w:pStyle w:val="198"/>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t>北斗户外体育赛事管理系统 第</w:t>
      </w:r>
      <w:r>
        <w:rPr>
          <w:rFonts w:hint="eastAsia"/>
          <w:lang w:val="en-US" w:eastAsia="zh-CN"/>
        </w:rPr>
        <w:t>1</w:t>
      </w:r>
      <w:r>
        <w:t>部分：终端</w:t>
      </w:r>
      <w:r>
        <w:rPr>
          <w:rFonts w:hint="eastAsia"/>
        </w:rPr>
        <w:t>通用</w:t>
      </w:r>
      <w:r>
        <w:t>技术要求和测试方法</w:t>
      </w:r>
      <w:r>
        <w:fldChar w:fldCharType="end"/>
      </w:r>
      <w:bookmarkEnd w:id="9"/>
    </w:p>
    <w:p>
      <w:pPr>
        <w:framePr w:w="9639" w:h="6974" w:hRule="exact" w:wrap="around" w:vAnchor="page" w:hAnchor="page" w:x="1419" w:y="6408" w:anchorLock="1"/>
        <w:ind w:left="-1418"/>
      </w:pPr>
    </w:p>
    <w:p>
      <w:pPr>
        <w:pStyle w:val="126"/>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eastAsia="黑体"/>
          <w:szCs w:val="28"/>
        </w:rPr>
        <w:t>BeiDou</w:t>
      </w:r>
      <w:r>
        <w:rPr>
          <w:rFonts w:hint="eastAsia" w:eastAsia="黑体"/>
          <w:szCs w:val="28"/>
        </w:rPr>
        <w:t xml:space="preserve">-based </w:t>
      </w:r>
      <w:r>
        <w:rPr>
          <w:rFonts w:eastAsia="黑体"/>
          <w:szCs w:val="28"/>
        </w:rPr>
        <w:t>outdoor sports</w:t>
      </w:r>
      <w:r>
        <w:rPr>
          <w:rFonts w:hint="eastAsia" w:eastAsia="黑体"/>
          <w:szCs w:val="28"/>
        </w:rPr>
        <w:t xml:space="preserve"> event management system Part1:General t</w:t>
      </w:r>
      <w:r>
        <w:rPr>
          <w:rFonts w:eastAsia="黑体"/>
          <w:szCs w:val="28"/>
        </w:rPr>
        <w:t xml:space="preserve">echnical requirements and test methods </w:t>
      </w:r>
      <w:r>
        <w:rPr>
          <w:rFonts w:hint="eastAsia" w:eastAsia="黑体"/>
          <w:szCs w:val="28"/>
        </w:rPr>
        <w:t xml:space="preserve">of </w:t>
      </w:r>
      <w:r>
        <w:rPr>
          <w:rFonts w:eastAsia="黑体"/>
          <w:szCs w:val="28"/>
        </w:rPr>
        <w:t>terminal</w:t>
      </w:r>
      <w:r>
        <w:rPr>
          <w:rFonts w:eastAsia="黑体"/>
          <w:szCs w:val="28"/>
        </w:rPr>
        <w:fldChar w:fldCharType="end"/>
      </w:r>
      <w:bookmarkEnd w:id="10"/>
    </w:p>
    <w:p>
      <w:pPr>
        <w:framePr w:w="9639" w:h="6974" w:hRule="exact" w:wrap="around" w:vAnchor="page" w:hAnchor="page" w:x="1419" w:y="6408" w:anchorLock="1"/>
        <w:spacing w:line="760" w:lineRule="exact"/>
        <w:ind w:left="-1418"/>
      </w:pPr>
    </w:p>
    <w:p>
      <w:pPr>
        <w:pStyle w:val="126"/>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(NEQ)</w:t>
      </w:r>
      <w:r>
        <w:rPr>
          <w:rFonts w:eastAsia="黑体"/>
          <w:szCs w:val="28"/>
        </w:rPr>
        <w:fldChar w:fldCharType="end"/>
      </w:r>
      <w:bookmarkEnd w:id="11"/>
    </w:p>
    <w:p>
      <w:pPr>
        <w:pStyle w:val="126"/>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2"/>
              <w:listEntry w:val=" "/>
              <w:listEntry w:val="草案版次选择"/>
              <w:listEntry w:val="（工作组讨论稿）"/>
              <w:listEntry w:val="（征求意见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p>
    <w:p>
      <w:pPr>
        <w:pStyle w:val="126"/>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3"/>
    </w:p>
    <w:p>
      <w:pPr>
        <w:pStyle w:val="126"/>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4" w:name="下拉2"/>
      <w:r>
        <w:rPr>
          <w:b/>
          <w:sz w:val="21"/>
          <w:szCs w:val="28"/>
        </w:rPr>
        <w:instrText xml:space="preserve"> FORMDROPDOWN </w:instrText>
      </w:r>
      <w:r>
        <w:rPr>
          <w:b/>
          <w:sz w:val="21"/>
          <w:szCs w:val="28"/>
        </w:rPr>
        <w:fldChar w:fldCharType="separate"/>
      </w:r>
      <w:r>
        <w:rPr>
          <w:b/>
          <w:sz w:val="21"/>
          <w:szCs w:val="28"/>
        </w:rPr>
        <w:fldChar w:fldCharType="end"/>
      </w:r>
      <w:bookmarkEnd w:id="14"/>
    </w:p>
    <w:p>
      <w:pPr>
        <w:pStyle w:val="194"/>
        <w:framePr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5"/>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hint="eastAsia"/>
        </w:rPr>
        <w:t>发布</w:t>
      </w:r>
    </w:p>
    <w:p>
      <w:pPr>
        <w:pStyle w:val="195"/>
        <w:framePr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8"/>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0"/>
      <w:r>
        <w:rPr>
          <w:rFonts w:hint="eastAsia"/>
        </w:rPr>
        <w:t>实施</w:t>
      </w:r>
    </w:p>
    <w:p>
      <w:pPr>
        <w:pStyle w:val="152"/>
        <w:framePr w:h="584" w:hRule="exact" w:hSpace="181" w:vSpace="181" w:y="14800"/>
        <w:rPr>
          <w:rFonts w:hint="eastAsia" w:hAnsi="黑体"/>
        </w:rPr>
      </w:pPr>
      <w:r>
        <w:rPr>
          <w:rFonts w:hAnsi="黑体"/>
          <w:w w:val="100"/>
          <w:sz w:val="28"/>
        </w:rPr>
        <w:fldChar w:fldCharType="begin">
          <w:ffData>
            <w:name w:val="fm"/>
            <w:enabled/>
            <w:calcOnExit w:val="0"/>
            <w:textInput/>
          </w:ffData>
        </w:fldChar>
      </w:r>
      <w:bookmarkStart w:id="21" w:name="fm"/>
      <w:r>
        <w:rPr>
          <w:rFonts w:hAnsi="黑体"/>
          <w:w w:val="100"/>
          <w:sz w:val="28"/>
        </w:rPr>
        <w:instrText xml:space="preserve"> FORMTEXT </w:instrText>
      </w:r>
      <w:r>
        <w:rPr>
          <w:rFonts w:hAnsi="黑体"/>
          <w:w w:val="100"/>
          <w:sz w:val="28"/>
        </w:rPr>
        <w:fldChar w:fldCharType="separate"/>
      </w:r>
      <w:r>
        <w:rPr>
          <w:rFonts w:hint="eastAsia" w:hAnsi="黑体"/>
          <w:w w:val="100"/>
          <w:sz w:val="28"/>
        </w:rPr>
        <w:t>国家体育总局</w:t>
      </w:r>
      <w:r>
        <w:rPr>
          <w:rFonts w:hAnsi="黑体"/>
          <w:w w:val="100"/>
          <w:sz w:val="28"/>
        </w:rPr>
        <w:fldChar w:fldCharType="end"/>
      </w:r>
      <w:bookmarkEnd w:id="21"/>
      <w:r>
        <w:rPr>
          <w:rFonts w:ascii="Times New Roman"/>
          <w:w w:val="100"/>
          <w:sz w:val="28"/>
          <w:szCs w:val="28"/>
        </w:rPr>
        <w:t>  </w:t>
      </w:r>
      <w:r>
        <w:rPr>
          <w:rStyle w:val="230"/>
          <w:rFonts w:hint="eastAsia" w:hAnsi="黑体"/>
          <w:position w:val="0"/>
        </w:rPr>
        <w:t>发</w:t>
      </w:r>
      <w:r>
        <w:rPr>
          <w:rStyle w:val="230"/>
          <w:rFonts w:hint="eastAsia" w:hAnsi="黑体"/>
          <w:spacing w:val="0"/>
          <w:position w:val="0"/>
        </w:rPr>
        <w:t>布</w:t>
      </w:r>
    </w:p>
    <w:p>
      <w:pPr>
        <w:rPr>
          <w:rFonts w:hint="eastAsia"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3360"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3360;mso-width-relative:page;mso-height-relative:page;" filled="f" stroked="t" coordsize="21600,21600" o:gfxdata="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CrMxz71wAAAA4BAAAP&#10;AAAAAAAAAAEAIAAAADgAAABkcnMvZG93bnJldi54bWxQSwECFAAUAAAACACHTuJAEc9x0soBAABf&#10;AwAADgAAAAAAAAABACAAAAA8AQAAZHJzL2Uyb0RvYy54bWxQSwUGAAAAAAYABgBZAQAAeAUAAAAA&#10;">
                <v:fill on="f" focussize="0,0"/>
                <v:stroke color="#000000" joinstyle="round"/>
                <v:imagedata o:title=""/>
                <o:lock v:ext="edit" aspectratio="f"/>
                <w10:anchorlock/>
              </v:line>
            </w:pict>
          </mc:Fallback>
        </mc:AlternateContent>
      </w:r>
    </w:p>
    <w:p>
      <w:pPr>
        <w:widowControl/>
        <w:adjustRightInd/>
        <w:spacing w:line="240" w:lineRule="auto"/>
        <w:jc w:val="center"/>
        <w:rPr>
          <w:rFonts w:hint="eastAsia" w:ascii="黑体" w:hAnsi="黑体" w:eastAsia="黑体" w:cs="方正小标宋简体"/>
          <w:kern w:val="0"/>
          <w:sz w:val="32"/>
          <w:szCs w:val="32"/>
        </w:rPr>
      </w:pPr>
      <w:bookmarkStart w:id="22" w:name="BookMark2"/>
      <w:r>
        <w:rPr>
          <w:spacing w:val="320"/>
        </w:rPr>
        <w:br w:type="page"/>
      </w:r>
      <w:r>
        <w:rPr>
          <w:rFonts w:hint="eastAsia" w:ascii="黑体" w:hAnsi="黑体" w:eastAsia="黑体" w:cs="方正小标宋简体"/>
          <w:kern w:val="0"/>
          <w:sz w:val="32"/>
          <w:szCs w:val="32"/>
        </w:rPr>
        <w:t>目　次</w:t>
      </w:r>
    </w:p>
    <w:sdt>
      <w:sdtPr>
        <w:rPr>
          <w:rFonts w:ascii="宋体" w:hAnsi="宋体" w:cs="宋体"/>
          <w:sz w:val="24"/>
          <w:szCs w:val="24"/>
          <w:lang w:val="zh-CN"/>
        </w:rPr>
        <w:id w:val="147473268"/>
        <w:docPartObj>
          <w:docPartGallery w:val="Table of Contents"/>
          <w:docPartUnique/>
        </w:docPartObj>
      </w:sdtPr>
      <w:sdtEndPr>
        <w:rPr>
          <w:rFonts w:hint="eastAsia" w:ascii="黑体" w:hAnsi="黑体" w:eastAsia="黑体" w:cs="黑体"/>
          <w:b/>
          <w:bCs/>
          <w:kern w:val="0"/>
          <w:sz w:val="21"/>
          <w:szCs w:val="21"/>
          <w:lang w:val="zh-CN"/>
        </w:rPr>
      </w:sdtEndPr>
      <w:sdtContent>
        <w:p>
          <w:pPr>
            <w:widowControl/>
            <w:adjustRightInd/>
            <w:spacing w:line="240" w:lineRule="auto"/>
            <w:jc w:val="left"/>
            <w:rPr>
              <w:rFonts w:hint="eastAsia" w:ascii="宋体" w:hAnsi="宋体" w:cs="宋体"/>
              <w:kern w:val="0"/>
              <w:sz w:val="24"/>
              <w:szCs w:val="24"/>
            </w:rPr>
          </w:pPr>
        </w:p>
        <w:p>
          <w:pPr>
            <w:pStyle w:val="20"/>
            <w:tabs>
              <w:tab w:val="right" w:leader="dot" w:pos="9344"/>
            </w:tabs>
            <w:rPr>
              <w:rFonts w:hint="eastAsia" w:asciiTheme="minorHAnsi" w:hAnsiTheme="minorHAnsi" w:eastAsiaTheme="minorEastAsia" w:cstheme="minorBidi"/>
              <w:sz w:val="22"/>
              <w:szCs w:val="24"/>
              <w14:ligatures w14:val="standardContextual"/>
            </w:rPr>
          </w:pPr>
          <w:r>
            <w:rPr>
              <w:rFonts w:ascii="等线" w:hAnsi="等线" w:eastAsia="等线"/>
            </w:rPr>
            <w:fldChar w:fldCharType="begin"/>
          </w:r>
          <w:r>
            <w:rPr>
              <w:rFonts w:ascii="等线" w:hAnsi="等线" w:eastAsia="等线"/>
            </w:rPr>
            <w:instrText xml:space="preserve"> </w:instrText>
          </w:r>
          <w:r>
            <w:rPr>
              <w:rFonts w:hint="eastAsia" w:ascii="等线" w:hAnsi="等线" w:eastAsia="等线"/>
            </w:rPr>
            <w:instrText xml:space="preserve">TOC \o "1-2" \h \z \u</w:instrText>
          </w:r>
          <w:r>
            <w:rPr>
              <w:rFonts w:ascii="等线" w:hAnsi="等线" w:eastAsia="等线"/>
            </w:rPr>
            <w:instrText xml:space="preserve"> </w:instrText>
          </w:r>
          <w:r>
            <w:rPr>
              <w:rFonts w:ascii="等线" w:hAnsi="等线" w:eastAsia="等线"/>
            </w:rPr>
            <w:fldChar w:fldCharType="separate"/>
          </w:r>
          <w:r>
            <w:fldChar w:fldCharType="begin"/>
          </w:r>
          <w:r>
            <w:instrText xml:space="preserve"> HYPERLINK \l "_Toc237425917" </w:instrText>
          </w:r>
          <w:r>
            <w:fldChar w:fldCharType="separate"/>
          </w:r>
          <w:r>
            <w:rPr>
              <w:rStyle w:val="33"/>
              <w:spacing w:val="320"/>
            </w:rPr>
            <w:t>前</w:t>
          </w:r>
          <w:r>
            <w:rPr>
              <w:rStyle w:val="33"/>
            </w:rPr>
            <w:t>言</w:t>
          </w:r>
          <w:r>
            <w:rPr>
              <w:rFonts w:hint="eastAsia"/>
            </w:rPr>
            <w:tab/>
          </w:r>
          <w:r>
            <w:rPr>
              <w:rFonts w:hint="eastAsia"/>
            </w:rPr>
            <w:fldChar w:fldCharType="begin"/>
          </w:r>
          <w:r>
            <w:rPr>
              <w:rFonts w:hint="eastAsia"/>
            </w:rPr>
            <w:instrText xml:space="preserve"> </w:instrText>
          </w:r>
          <w:r>
            <w:instrText xml:space="preserve">PAGEREF _Toc237425917 \h</w:instrText>
          </w:r>
          <w:r>
            <w:rPr>
              <w:rFonts w:hint="eastAsia"/>
            </w:rPr>
            <w:instrText xml:space="preserve"> </w:instrText>
          </w:r>
          <w:r>
            <w:rPr>
              <w:rFonts w:hint="eastAsia"/>
            </w:rPr>
            <w:fldChar w:fldCharType="separate"/>
          </w:r>
          <w:r>
            <w:t>III</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"_Toc237425918" </w:instrText>
          </w:r>
          <w:r>
            <w:fldChar w:fldCharType="separate"/>
          </w:r>
          <w:r>
            <w:rPr>
              <w:rStyle w:val="33"/>
            </w:rPr>
            <w:t>1 范围</w:t>
          </w:r>
          <w:r>
            <w:rPr>
              <w:rFonts w:hint="eastAsia"/>
            </w:rPr>
            <w:tab/>
          </w:r>
          <w:r>
            <w:rPr>
              <w:rFonts w:hint="eastAsia"/>
            </w:rPr>
            <w:fldChar w:fldCharType="begin"/>
          </w:r>
          <w:r>
            <w:rPr>
              <w:rFonts w:hint="eastAsia"/>
            </w:rPr>
            <w:instrText xml:space="preserve"> </w:instrText>
          </w:r>
          <w:r>
            <w:instrText xml:space="preserve">PAGEREF _Toc237425918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"_Toc237425919" </w:instrText>
          </w:r>
          <w:r>
            <w:fldChar w:fldCharType="separate"/>
          </w:r>
          <w:r>
            <w:rPr>
              <w:rStyle w:val="33"/>
            </w:rPr>
            <w:t>2 规范性引用文件</w:t>
          </w:r>
          <w:r>
            <w:rPr>
              <w:rFonts w:hint="eastAsia"/>
            </w:rPr>
            <w:tab/>
          </w:r>
          <w:r>
            <w:rPr>
              <w:rFonts w:hint="eastAsia"/>
            </w:rPr>
            <w:fldChar w:fldCharType="begin"/>
          </w:r>
          <w:r>
            <w:rPr>
              <w:rFonts w:hint="eastAsia"/>
            </w:rPr>
            <w:instrText xml:space="preserve"> </w:instrText>
          </w:r>
          <w:r>
            <w:instrText xml:space="preserve">PAGEREF _Toc237425919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"_Toc237425920" </w:instrText>
          </w:r>
          <w:r>
            <w:fldChar w:fldCharType="separate"/>
          </w:r>
          <w:r>
            <w:rPr>
              <w:rStyle w:val="33"/>
            </w:rPr>
            <w:t>3 术语和定义</w:t>
          </w:r>
          <w:r>
            <w:rPr>
              <w:rFonts w:hint="eastAsia"/>
            </w:rPr>
            <w:tab/>
          </w:r>
          <w:r>
            <w:rPr>
              <w:rFonts w:hint="eastAsia"/>
            </w:rPr>
            <w:fldChar w:fldCharType="begin"/>
          </w:r>
          <w:r>
            <w:rPr>
              <w:rFonts w:hint="eastAsia"/>
            </w:rPr>
            <w:instrText xml:space="preserve"> </w:instrText>
          </w:r>
          <w:r>
            <w:instrText xml:space="preserve">PAGEREF _Toc237425920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"_Toc237425921" </w:instrText>
          </w:r>
          <w:r>
            <w:fldChar w:fldCharType="separate"/>
          </w:r>
          <w:r>
            <w:rPr>
              <w:rStyle w:val="33"/>
              <w14:scene3d>
                <w14:lightRig w14:rig="threePt" w14:dir="t">
                  <w14:rot w14:lat="0" w14:lon="0" w14:rev="0"/>
                </w14:lightRig>
              </w14:scene3d>
            </w:rPr>
            <w:t>3.1</w:t>
          </w:r>
          <w:r>
            <w:rPr>
              <w:rStyle w:val="33"/>
              <w:rFonts w:hAnsi="黑体"/>
            </w:rPr>
            <w:t xml:space="preserve"> 户外体育赛事北斗终端 BeiDou terminal for outdoor sports event</w:t>
          </w:r>
          <w:r>
            <w:rPr>
              <w:rFonts w:hint="eastAsia"/>
            </w:rPr>
            <w:tab/>
          </w:r>
          <w:r>
            <w:rPr>
              <w:rFonts w:hint="eastAsia"/>
            </w:rPr>
            <w:fldChar w:fldCharType="begin"/>
          </w:r>
          <w:r>
            <w:rPr>
              <w:rFonts w:hint="eastAsia"/>
            </w:rPr>
            <w:instrText xml:space="preserve"> </w:instrText>
          </w:r>
          <w:r>
            <w:instrText xml:space="preserve">PAGEREF _Toc237425921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"_Toc237425922" </w:instrText>
          </w:r>
          <w:r>
            <w:fldChar w:fldCharType="separate"/>
          </w:r>
          <w:r>
            <w:rPr>
              <w:rStyle w:val="33"/>
              <w14:scene3d>
                <w14:lightRig w14:rig="threePt" w14:dir="t">
                  <w14:rot w14:lat="0" w14:lon="0" w14:rev="0"/>
                </w14:lightRig>
              </w14:scene3d>
            </w:rPr>
            <w:t>3.2</w:t>
          </w:r>
          <w:r>
            <w:rPr>
              <w:rStyle w:val="33"/>
              <w:rFonts w:hAnsi="黑体"/>
            </w:rPr>
            <w:t xml:space="preserve"> 北斗短报文通信 BeiDou Short Message Communication</w:t>
          </w:r>
          <w:r>
            <w:rPr>
              <w:rFonts w:hint="eastAsia"/>
            </w:rPr>
            <w:tab/>
          </w:r>
          <w:r>
            <w:rPr>
              <w:rFonts w:hint="eastAsia"/>
            </w:rPr>
            <w:fldChar w:fldCharType="begin"/>
          </w:r>
          <w:r>
            <w:rPr>
              <w:rFonts w:hint="eastAsia"/>
            </w:rPr>
            <w:instrText xml:space="preserve"> </w:instrText>
          </w:r>
          <w:r>
            <w:instrText xml:space="preserve">PAGEREF _Toc237425922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"_Toc237425923" </w:instrText>
          </w:r>
          <w:r>
            <w:fldChar w:fldCharType="separate"/>
          </w:r>
          <w:r>
            <w:rPr>
              <w:rStyle w:val="33"/>
              <w14:scene3d>
                <w14:lightRig w14:rig="threePt" w14:dir="t">
                  <w14:rot w14:lat="0" w14:lon="0" w14:rev="0"/>
                </w14:lightRig>
              </w14:scene3d>
            </w:rPr>
            <w:t>3.3</w:t>
          </w:r>
          <w:r>
            <w:rPr>
              <w:rStyle w:val="33"/>
              <w:rFonts w:hAnsi="黑体"/>
            </w:rPr>
            <w:t xml:space="preserve"> 通信回执 correspondence receipt</w:t>
          </w:r>
          <w:r>
            <w:rPr>
              <w:rFonts w:hint="eastAsia"/>
            </w:rPr>
            <w:tab/>
          </w:r>
          <w:r>
            <w:rPr>
              <w:rFonts w:hint="eastAsia"/>
            </w:rPr>
            <w:fldChar w:fldCharType="begin"/>
          </w:r>
          <w:r>
            <w:rPr>
              <w:rFonts w:hint="eastAsia"/>
            </w:rPr>
            <w:instrText xml:space="preserve"> </w:instrText>
          </w:r>
          <w:r>
            <w:instrText xml:space="preserve">PAGEREF _Toc237425923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"_Toc237425924" </w:instrText>
          </w:r>
          <w:r>
            <w:fldChar w:fldCharType="separate"/>
          </w:r>
          <w:r>
            <w:rPr>
              <w:rStyle w:val="33"/>
              <w14:scene3d>
                <w14:lightRig w14:rig="threePt" w14:dir="t">
                  <w14:rot w14:lat="0" w14:lon="0" w14:rev="0"/>
                </w14:lightRig>
              </w14:scene3d>
            </w:rPr>
            <w:t>3.4</w:t>
          </w:r>
          <w:r>
            <w:rPr>
              <w:rStyle w:val="33"/>
            </w:rPr>
            <w:t xml:space="preserve"> 冷启动首次定位时间 cold start time to first fix</w:t>
          </w:r>
          <w:r>
            <w:rPr>
              <w:rFonts w:hint="eastAsia"/>
            </w:rPr>
            <w:tab/>
          </w:r>
          <w:r>
            <w:rPr>
              <w:rFonts w:hint="eastAsia"/>
            </w:rPr>
            <w:fldChar w:fldCharType="begin"/>
          </w:r>
          <w:r>
            <w:rPr>
              <w:rFonts w:hint="eastAsia"/>
            </w:rPr>
            <w:instrText xml:space="preserve"> </w:instrText>
          </w:r>
          <w:r>
            <w:instrText xml:space="preserve">PAGEREF _Toc237425924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"_Toc237425925" </w:instrText>
          </w:r>
          <w:r>
            <w:fldChar w:fldCharType="separate"/>
          </w:r>
          <w:r>
            <w:rPr>
              <w:rStyle w:val="33"/>
              <w14:scene3d>
                <w14:lightRig w14:rig="threePt" w14:dir="t">
                  <w14:rot w14:lat="0" w14:lon="0" w14:rev="0"/>
                </w14:lightRig>
              </w14:scene3d>
            </w:rPr>
            <w:t>3.5</w:t>
          </w:r>
          <w:r>
            <w:rPr>
              <w:rStyle w:val="33"/>
            </w:rPr>
            <w:t xml:space="preserve"> 捕获灵敏度 acquisition sensitivity</w:t>
          </w:r>
          <w:r>
            <w:rPr>
              <w:rFonts w:hint="eastAsia"/>
            </w:rPr>
            <w:tab/>
          </w:r>
          <w:r>
            <w:rPr>
              <w:rFonts w:hint="eastAsia"/>
            </w:rPr>
            <w:fldChar w:fldCharType="begin"/>
          </w:r>
          <w:r>
            <w:rPr>
              <w:rFonts w:hint="eastAsia"/>
            </w:rPr>
            <w:instrText xml:space="preserve"> </w:instrText>
          </w:r>
          <w:r>
            <w:instrText xml:space="preserve">PAGEREF _Toc237425925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"_Toc237425926" </w:instrText>
          </w:r>
          <w:r>
            <w:fldChar w:fldCharType="separate"/>
          </w:r>
          <w:r>
            <w:rPr>
              <w:rStyle w:val="33"/>
              <w14:scene3d>
                <w14:lightRig w14:rig="threePt" w14:dir="t">
                  <w14:rot w14:lat="0" w14:lon="0" w14:rev="0"/>
                </w14:lightRig>
              </w14:scene3d>
            </w:rPr>
            <w:t>3.6</w:t>
          </w:r>
          <w:r>
            <w:rPr>
              <w:rStyle w:val="33"/>
            </w:rPr>
            <w:t xml:space="preserve"> 跟踪灵敏度 tracking sensitivity</w:t>
          </w:r>
          <w:r>
            <w:rPr>
              <w:rFonts w:hint="eastAsia"/>
            </w:rPr>
            <w:tab/>
          </w:r>
          <w:r>
            <w:rPr>
              <w:rFonts w:hint="eastAsia"/>
            </w:rPr>
            <w:fldChar w:fldCharType="begin"/>
          </w:r>
          <w:r>
            <w:rPr>
              <w:rFonts w:hint="eastAsia"/>
            </w:rPr>
            <w:instrText xml:space="preserve"> </w:instrText>
          </w:r>
          <w:r>
            <w:instrText xml:space="preserve">PAGEREF _Toc237425926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"_Toc237425927" </w:instrText>
          </w:r>
          <w:r>
            <w:fldChar w:fldCharType="separate"/>
          </w:r>
          <w:r>
            <w:rPr>
              <w:rStyle w:val="33"/>
              <w14:scene3d>
                <w14:lightRig w14:rig="threePt" w14:dir="t">
                  <w14:rot w14:lat="0" w14:lon="0" w14:rev="0"/>
                </w14:lightRig>
              </w14:scene3d>
            </w:rPr>
            <w:t>3.7</w:t>
          </w:r>
          <w:r>
            <w:rPr>
              <w:rStyle w:val="33"/>
            </w:rPr>
            <w:t xml:space="preserve"> 管理平台 management platform</w:t>
          </w:r>
          <w:r>
            <w:rPr>
              <w:rFonts w:hint="eastAsia"/>
            </w:rPr>
            <w:tab/>
          </w:r>
          <w:r>
            <w:rPr>
              <w:rFonts w:hint="eastAsia"/>
            </w:rPr>
            <w:fldChar w:fldCharType="begin"/>
          </w:r>
          <w:r>
            <w:rPr>
              <w:rFonts w:hint="eastAsia"/>
            </w:rPr>
            <w:instrText xml:space="preserve"> </w:instrText>
          </w:r>
          <w:r>
            <w:instrText xml:space="preserve">PAGEREF _Toc237425927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"_Toc237425928" </w:instrText>
          </w:r>
          <w:r>
            <w:fldChar w:fldCharType="separate"/>
          </w:r>
          <w:r>
            <w:rPr>
              <w:rStyle w:val="33"/>
            </w:rPr>
            <w:t>4 缩略语</w:t>
          </w:r>
          <w:r>
            <w:rPr>
              <w:rFonts w:hint="eastAsia"/>
            </w:rPr>
            <w:tab/>
          </w:r>
          <w:r>
            <w:rPr>
              <w:rFonts w:hint="eastAsia"/>
            </w:rPr>
            <w:fldChar w:fldCharType="begin"/>
          </w:r>
          <w:r>
            <w:rPr>
              <w:rFonts w:hint="eastAsia"/>
            </w:rPr>
            <w:instrText xml:space="preserve"> </w:instrText>
          </w:r>
          <w:r>
            <w:instrText xml:space="preserve">PAGEREF _Toc237425928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"_Toc237425929" </w:instrText>
          </w:r>
          <w:r>
            <w:fldChar w:fldCharType="separate"/>
          </w:r>
          <w:r>
            <w:rPr>
              <w:rStyle w:val="33"/>
            </w:rPr>
            <w:t>5 通用技术要求</w:t>
          </w:r>
          <w:r>
            <w:rPr>
              <w:rFonts w:hint="eastAsia"/>
            </w:rPr>
            <w:tab/>
          </w:r>
          <w:r>
            <w:rPr>
              <w:rFonts w:hint="eastAsia"/>
            </w:rPr>
            <w:fldChar w:fldCharType="begin"/>
          </w:r>
          <w:r>
            <w:rPr>
              <w:rFonts w:hint="eastAsia"/>
            </w:rPr>
            <w:instrText xml:space="preserve"> </w:instrText>
          </w:r>
          <w:r>
            <w:instrText xml:space="preserve">PAGEREF _Toc237425929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"_Toc237425930" </w:instrText>
          </w:r>
          <w:r>
            <w:fldChar w:fldCharType="separate"/>
          </w:r>
          <w:r>
            <w:rPr>
              <w:rStyle w:val="33"/>
              <w14:scene3d>
                <w14:lightRig w14:rig="threePt" w14:dir="t">
                  <w14:rot w14:lat="0" w14:lon="0" w14:rev="0"/>
                </w14:lightRig>
              </w14:scene3d>
            </w:rPr>
            <w:t>5.1</w:t>
          </w:r>
          <w:r>
            <w:rPr>
              <w:rStyle w:val="33"/>
            </w:rPr>
            <w:t xml:space="preserve"> 外观及便携性要求</w:t>
          </w:r>
          <w:r>
            <w:rPr>
              <w:rFonts w:hint="eastAsia"/>
            </w:rPr>
            <w:tab/>
          </w:r>
          <w:r>
            <w:rPr>
              <w:rFonts w:hint="eastAsia"/>
            </w:rPr>
            <w:fldChar w:fldCharType="begin"/>
          </w:r>
          <w:r>
            <w:rPr>
              <w:rFonts w:hint="eastAsia"/>
            </w:rPr>
            <w:instrText xml:space="preserve"> </w:instrText>
          </w:r>
          <w:r>
            <w:instrText xml:space="preserve">PAGEREF _Toc237425930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"_Toc237425931" </w:instrText>
          </w:r>
          <w:r>
            <w:fldChar w:fldCharType="separate"/>
          </w:r>
          <w:r>
            <w:rPr>
              <w:rStyle w:val="33"/>
              <w14:scene3d>
                <w14:lightRig w14:rig="threePt" w14:dir="t">
                  <w14:rot w14:lat="0" w14:lon="0" w14:rev="0"/>
                </w14:lightRig>
              </w14:scene3d>
            </w:rPr>
            <w:t>5.2</w:t>
          </w:r>
          <w:r>
            <w:rPr>
              <w:rStyle w:val="33"/>
            </w:rPr>
            <w:t xml:space="preserve"> 基本功能要求</w:t>
          </w:r>
          <w:r>
            <w:rPr>
              <w:rFonts w:hint="eastAsia"/>
            </w:rPr>
            <w:tab/>
          </w:r>
          <w:r>
            <w:rPr>
              <w:rFonts w:hint="eastAsia"/>
            </w:rPr>
            <w:fldChar w:fldCharType="begin"/>
          </w:r>
          <w:r>
            <w:rPr>
              <w:rFonts w:hint="eastAsia"/>
            </w:rPr>
            <w:instrText xml:space="preserve"> </w:instrText>
          </w:r>
          <w:r>
            <w:instrText xml:space="preserve">PAGEREF _Toc237425931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"_Toc237425932" </w:instrText>
          </w:r>
          <w:r>
            <w:fldChar w:fldCharType="separate"/>
          </w:r>
          <w:r>
            <w:rPr>
              <w:rStyle w:val="33"/>
              <w14:scene3d>
                <w14:lightRig w14:rig="threePt" w14:dir="t">
                  <w14:rot w14:lat="0" w14:lon="0" w14:rev="0"/>
                </w14:lightRig>
              </w14:scene3d>
            </w:rPr>
            <w:t>5.3</w:t>
          </w:r>
          <w:r>
            <w:rPr>
              <w:rStyle w:val="33"/>
            </w:rPr>
            <w:t xml:space="preserve"> 基本性能要求</w:t>
          </w:r>
          <w:r>
            <w:rPr>
              <w:rFonts w:hint="eastAsia"/>
            </w:rPr>
            <w:tab/>
          </w:r>
          <w:r>
            <w:rPr>
              <w:rFonts w:hint="eastAsia"/>
            </w:rPr>
            <w:fldChar w:fldCharType="begin"/>
          </w:r>
          <w:r>
            <w:rPr>
              <w:rFonts w:hint="eastAsia"/>
            </w:rPr>
            <w:instrText xml:space="preserve"> </w:instrText>
          </w:r>
          <w:r>
            <w:instrText xml:space="preserve">PAGEREF _Toc237425932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"_Toc237425933" </w:instrText>
          </w:r>
          <w:r>
            <w:fldChar w:fldCharType="separate"/>
          </w:r>
          <w:r>
            <w:rPr>
              <w:rStyle w:val="33"/>
              <w14:scene3d>
                <w14:lightRig w14:rig="threePt" w14:dir="t">
                  <w14:rot w14:lat="0" w14:lon="0" w14:rev="0"/>
                </w14:lightRig>
              </w14:scene3d>
            </w:rPr>
            <w:t>5.4</w:t>
          </w:r>
          <w:r>
            <w:rPr>
              <w:rStyle w:val="33"/>
            </w:rPr>
            <w:t xml:space="preserve"> 环境适应性要求</w:t>
          </w:r>
          <w:r>
            <w:rPr>
              <w:rFonts w:hint="eastAsia"/>
            </w:rPr>
            <w:tab/>
          </w:r>
          <w:r>
            <w:rPr>
              <w:rFonts w:hint="eastAsia"/>
            </w:rPr>
            <w:fldChar w:fldCharType="begin"/>
          </w:r>
          <w:r>
            <w:rPr>
              <w:rFonts w:hint="eastAsia"/>
            </w:rPr>
            <w:instrText xml:space="preserve"> </w:instrText>
          </w:r>
          <w:r>
            <w:instrText xml:space="preserve">PAGEREF _Toc237425933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"_Toc237425934" </w:instrText>
          </w:r>
          <w:r>
            <w:fldChar w:fldCharType="separate"/>
          </w:r>
          <w:r>
            <w:rPr>
              <w:rStyle w:val="33"/>
            </w:rPr>
            <w:t>6 测试环境</w:t>
          </w:r>
          <w:r>
            <w:rPr>
              <w:rFonts w:hint="eastAsia"/>
            </w:rPr>
            <w:tab/>
          </w:r>
          <w:r>
            <w:rPr>
              <w:rFonts w:hint="eastAsia"/>
            </w:rPr>
            <w:fldChar w:fldCharType="begin"/>
          </w:r>
          <w:r>
            <w:rPr>
              <w:rFonts w:hint="eastAsia"/>
            </w:rPr>
            <w:instrText xml:space="preserve"> </w:instrText>
          </w:r>
          <w:r>
            <w:instrText xml:space="preserve">PAGEREF _Toc237425934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"_Toc237425935" </w:instrText>
          </w:r>
          <w:r>
            <w:fldChar w:fldCharType="separate"/>
          </w:r>
          <w:r>
            <w:rPr>
              <w:rStyle w:val="33"/>
              <w14:scene3d>
                <w14:lightRig w14:rig="threePt" w14:dir="t">
                  <w14:rot w14:lat="0" w14:lon="0" w14:rev="0"/>
                </w14:lightRig>
              </w14:scene3d>
            </w:rPr>
            <w:t>6.1</w:t>
          </w:r>
          <w:r>
            <w:rPr>
              <w:rStyle w:val="33"/>
            </w:rPr>
            <w:t xml:space="preserve"> 测试环境说明</w:t>
          </w:r>
          <w:r>
            <w:rPr>
              <w:rFonts w:hint="eastAsia"/>
            </w:rPr>
            <w:tab/>
          </w:r>
          <w:r>
            <w:rPr>
              <w:rFonts w:hint="eastAsia"/>
            </w:rPr>
            <w:fldChar w:fldCharType="begin"/>
          </w:r>
          <w:r>
            <w:rPr>
              <w:rFonts w:hint="eastAsia"/>
            </w:rPr>
            <w:instrText xml:space="preserve"> </w:instrText>
          </w:r>
          <w:r>
            <w:instrText xml:space="preserve">PAGEREF _Toc237425935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"_Toc237425936" </w:instrText>
          </w:r>
          <w:r>
            <w:fldChar w:fldCharType="separate"/>
          </w:r>
          <w:r>
            <w:rPr>
              <w:rStyle w:val="33"/>
              <w14:scene3d>
                <w14:lightRig w14:rig="threePt" w14:dir="t">
                  <w14:rot w14:lat="0" w14:lon="0" w14:rev="0"/>
                </w14:lightRig>
              </w14:scene3d>
            </w:rPr>
            <w:t>6.2</w:t>
          </w:r>
          <w:r>
            <w:rPr>
              <w:rStyle w:val="33"/>
            </w:rPr>
            <w:t xml:space="preserve"> 测试设备连接图</w:t>
          </w:r>
          <w:r>
            <w:rPr>
              <w:rFonts w:hint="eastAsia"/>
            </w:rPr>
            <w:tab/>
          </w:r>
          <w:r>
            <w:rPr>
              <w:rFonts w:hint="eastAsia"/>
            </w:rPr>
            <w:fldChar w:fldCharType="begin"/>
          </w:r>
          <w:r>
            <w:rPr>
              <w:rFonts w:hint="eastAsia"/>
            </w:rPr>
            <w:instrText xml:space="preserve"> </w:instrText>
          </w:r>
          <w:r>
            <w:instrText xml:space="preserve">PAGEREF _Toc237425936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"_Toc237425937" </w:instrText>
          </w:r>
          <w:r>
            <w:fldChar w:fldCharType="separate"/>
          </w:r>
          <w:r>
            <w:rPr>
              <w:rStyle w:val="33"/>
              <w14:scene3d>
                <w14:lightRig w14:rig="threePt" w14:dir="t">
                  <w14:rot w14:lat="0" w14:lon="0" w14:rev="0"/>
                </w14:lightRig>
              </w14:scene3d>
            </w:rPr>
            <w:t>6.3</w:t>
          </w:r>
          <w:r>
            <w:rPr>
              <w:rStyle w:val="33"/>
            </w:rPr>
            <w:t xml:space="preserve"> 仿真测试场景</w:t>
          </w:r>
          <w:r>
            <w:rPr>
              <w:rFonts w:hint="eastAsia"/>
            </w:rPr>
            <w:tab/>
          </w:r>
          <w:r>
            <w:rPr>
              <w:rFonts w:hint="eastAsia"/>
            </w:rPr>
            <w:fldChar w:fldCharType="begin"/>
          </w:r>
          <w:r>
            <w:rPr>
              <w:rFonts w:hint="eastAsia"/>
            </w:rPr>
            <w:instrText xml:space="preserve"> </w:instrText>
          </w:r>
          <w:r>
            <w:instrText xml:space="preserve">PAGEREF _Toc237425937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"_Toc237425938" </w:instrText>
          </w:r>
          <w:r>
            <w:fldChar w:fldCharType="separate"/>
          </w:r>
          <w:r>
            <w:rPr>
              <w:rStyle w:val="33"/>
              <w14:scene3d>
                <w14:lightRig w14:rig="threePt" w14:dir="t">
                  <w14:rot w14:lat="0" w14:lon="0" w14:rev="0"/>
                </w14:lightRig>
              </w14:scene3d>
            </w:rPr>
            <w:t>6.4</w:t>
          </w:r>
          <w:r>
            <w:rPr>
              <w:rStyle w:val="33"/>
            </w:rPr>
            <w:t xml:space="preserve"> 终端信息</w:t>
          </w:r>
          <w:r>
            <w:rPr>
              <w:rFonts w:hint="eastAsia"/>
            </w:rPr>
            <w:tab/>
          </w:r>
          <w:r>
            <w:rPr>
              <w:rFonts w:hint="eastAsia"/>
            </w:rPr>
            <w:fldChar w:fldCharType="begin"/>
          </w:r>
          <w:r>
            <w:rPr>
              <w:rFonts w:hint="eastAsia"/>
            </w:rPr>
            <w:instrText xml:space="preserve"> </w:instrText>
          </w:r>
          <w:r>
            <w:instrText xml:space="preserve">PAGEREF _Toc237425938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0"/>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"_Toc237425939" </w:instrText>
          </w:r>
          <w:r>
            <w:fldChar w:fldCharType="separate"/>
          </w:r>
          <w:r>
            <w:rPr>
              <w:rStyle w:val="33"/>
            </w:rPr>
            <w:t>7 测试方法</w:t>
          </w:r>
          <w:r>
            <w:rPr>
              <w:rFonts w:hint="eastAsia"/>
            </w:rPr>
            <w:tab/>
          </w:r>
          <w:r>
            <w:rPr>
              <w:rFonts w:hint="eastAsia"/>
            </w:rPr>
            <w:fldChar w:fldCharType="begin"/>
          </w:r>
          <w:r>
            <w:rPr>
              <w:rFonts w:hint="eastAsia"/>
            </w:rPr>
            <w:instrText xml:space="preserve"> </w:instrText>
          </w:r>
          <w:r>
            <w:instrText xml:space="preserve">PAGEREF _Toc237425939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"_Toc237425940" </w:instrText>
          </w:r>
          <w:r>
            <w:fldChar w:fldCharType="separate"/>
          </w:r>
          <w:r>
            <w:rPr>
              <w:rStyle w:val="33"/>
              <w14:scene3d>
                <w14:lightRig w14:rig="threePt" w14:dir="t">
                  <w14:rot w14:lat="0" w14:lon="0" w14:rev="0"/>
                </w14:lightRig>
              </w14:scene3d>
            </w:rPr>
            <w:t>7.1</w:t>
          </w:r>
          <w:r>
            <w:rPr>
              <w:rStyle w:val="33"/>
            </w:rPr>
            <w:t xml:space="preserve"> 外观及便携性测试</w:t>
          </w:r>
          <w:r>
            <w:rPr>
              <w:rFonts w:hint="eastAsia"/>
            </w:rPr>
            <w:tab/>
          </w:r>
          <w:r>
            <w:rPr>
              <w:rFonts w:hint="eastAsia"/>
            </w:rPr>
            <w:fldChar w:fldCharType="begin"/>
          </w:r>
          <w:r>
            <w:rPr>
              <w:rFonts w:hint="eastAsia"/>
            </w:rPr>
            <w:instrText xml:space="preserve"> </w:instrText>
          </w:r>
          <w:r>
            <w:instrText xml:space="preserve">PAGEREF _Toc237425940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"_Toc237425941" </w:instrText>
          </w:r>
          <w:r>
            <w:fldChar w:fldCharType="separate"/>
          </w:r>
          <w:r>
            <w:rPr>
              <w:rStyle w:val="33"/>
              <w14:scene3d>
                <w14:lightRig w14:rig="threePt" w14:dir="t">
                  <w14:rot w14:lat="0" w14:lon="0" w14:rev="0"/>
                </w14:lightRig>
              </w14:scene3d>
            </w:rPr>
            <w:t>7.2</w:t>
          </w:r>
          <w:r>
            <w:rPr>
              <w:rStyle w:val="33"/>
            </w:rPr>
            <w:t xml:space="preserve"> 功能测试</w:t>
          </w:r>
          <w:r>
            <w:rPr>
              <w:rFonts w:hint="eastAsia"/>
            </w:rPr>
            <w:tab/>
          </w:r>
          <w:r>
            <w:rPr>
              <w:rFonts w:hint="eastAsia"/>
            </w:rPr>
            <w:fldChar w:fldCharType="begin"/>
          </w:r>
          <w:r>
            <w:rPr>
              <w:rFonts w:hint="eastAsia"/>
            </w:rPr>
            <w:instrText xml:space="preserve"> </w:instrText>
          </w:r>
          <w:r>
            <w:instrText xml:space="preserve">PAGEREF _Toc237425941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"_Toc237425942" </w:instrText>
          </w:r>
          <w:r>
            <w:fldChar w:fldCharType="separate"/>
          </w:r>
          <w:r>
            <w:rPr>
              <w:rStyle w:val="33"/>
              <w14:scene3d>
                <w14:lightRig w14:rig="threePt" w14:dir="t">
                  <w14:rot w14:lat="0" w14:lon="0" w14:rev="0"/>
                </w14:lightRig>
              </w14:scene3d>
            </w:rPr>
            <w:t>7.3</w:t>
          </w:r>
          <w:r>
            <w:rPr>
              <w:rStyle w:val="33"/>
            </w:rPr>
            <w:t xml:space="preserve"> 性能测试</w:t>
          </w:r>
          <w:r>
            <w:rPr>
              <w:rFonts w:hint="eastAsia"/>
            </w:rPr>
            <w:tab/>
          </w:r>
          <w:r>
            <w:rPr>
              <w:rFonts w:hint="eastAsia"/>
            </w:rPr>
            <w:fldChar w:fldCharType="begin"/>
          </w:r>
          <w:r>
            <w:rPr>
              <w:rFonts w:hint="eastAsia"/>
            </w:rPr>
            <w:instrText xml:space="preserve"> </w:instrText>
          </w:r>
          <w:r>
            <w:instrText xml:space="preserve">PAGEREF _Toc237425942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rPr>
              <w:rFonts w:hint="eastAsia" w:asciiTheme="minorHAnsi" w:hAnsiTheme="minorHAnsi" w:eastAsiaTheme="minorEastAsia" w:cstheme="minorBidi"/>
              <w:sz w:val="22"/>
              <w:szCs w:val="24"/>
              <w14:ligatures w14:val="standardContextual"/>
            </w:rPr>
          </w:pPr>
          <w:r>
            <w:fldChar w:fldCharType="begin"/>
          </w:r>
          <w:r>
            <w:instrText xml:space="preserve"> HYPERLINK \l "_Toc237425943" </w:instrText>
          </w:r>
          <w:r>
            <w:fldChar w:fldCharType="separate"/>
          </w:r>
          <w:r>
            <w:rPr>
              <w:rStyle w:val="33"/>
              <w14:scene3d>
                <w14:lightRig w14:rig="threePt" w14:dir="t">
                  <w14:rot w14:lat="0" w14:lon="0" w14:rev="0"/>
                </w14:lightRig>
              </w14:scene3d>
            </w:rPr>
            <w:t>7.4</w:t>
          </w:r>
          <w:r>
            <w:rPr>
              <w:rStyle w:val="33"/>
            </w:rPr>
            <w:t xml:space="preserve"> 环境适应性测试</w:t>
          </w:r>
          <w:r>
            <w:rPr>
              <w:rFonts w:hint="eastAsia"/>
            </w:rPr>
            <w:tab/>
          </w:r>
          <w:r>
            <w:rPr>
              <w:rFonts w:hint="eastAsia"/>
            </w:rPr>
            <w:fldChar w:fldCharType="begin"/>
          </w:r>
          <w:r>
            <w:rPr>
              <w:rFonts w:hint="eastAsia"/>
            </w:rPr>
            <w:instrText xml:space="preserve"> </w:instrText>
          </w:r>
          <w:r>
            <w:instrText xml:space="preserve">PAGEREF _Toc237425943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widowControl/>
            <w:adjustRightInd/>
            <w:spacing w:line="240" w:lineRule="auto"/>
            <w:jc w:val="left"/>
            <w:rPr>
              <w:rFonts w:ascii="黑体" w:hAnsi="Times New Roman" w:eastAsia="黑体"/>
              <w:spacing w:val="320"/>
              <w:kern w:val="0"/>
              <w:sz w:val="32"/>
              <w:szCs w:val="20"/>
            </w:rPr>
          </w:pPr>
          <w:r>
            <w:rPr>
              <w:rFonts w:ascii="宋体" w:hAnsi="宋体" w:cs="宋体"/>
            </w:rPr>
            <w:fldChar w:fldCharType="end"/>
          </w:r>
        </w:p>
      </w:sdtContent>
    </w:sdt>
    <w:p>
      <w:pPr>
        <w:pStyle w:val="90"/>
        <w:spacing w:before="900" w:after="360"/>
      </w:pPr>
    </w:p>
    <w:p>
      <w:pPr>
        <w:rPr>
          <w:rFonts w:hint="eastAsia"/>
        </w:rPr>
      </w:pPr>
    </w:p>
    <w:p>
      <w:pPr>
        <w:pStyle w:val="90"/>
        <w:spacing w:before="900" w:after="360"/>
      </w:pPr>
      <w:bookmarkStart w:id="23" w:name="_Toc237425917"/>
      <w:r>
        <w:rPr>
          <w:spacing w:val="320"/>
        </w:rPr>
        <w:t>前</w:t>
      </w:r>
      <w:r>
        <w:t>言</w:t>
      </w:r>
      <w:bookmarkEnd w:id="23"/>
    </w:p>
    <w:p>
      <w:pPr>
        <w:pStyle w:val="57"/>
        <w:ind w:firstLine="420"/>
      </w:pPr>
      <w:r>
        <w:rPr>
          <w:rFonts w:hint="eastAsia"/>
        </w:rPr>
        <w:t>本文件按照GB/T 1.1—2020《标准化工作导则  第1部分：标准化文件的结构和起草规则》的规定起草。</w:t>
      </w:r>
    </w:p>
    <w:p>
      <w:pPr>
        <w:pStyle w:val="57"/>
        <w:ind w:firstLine="420"/>
      </w:pPr>
      <w:r>
        <w:rPr>
          <w:rFonts w:hint="eastAsia"/>
        </w:rPr>
        <w:t>本标准是</w:t>
      </w:r>
      <w:bookmarkStart w:id="24" w:name="OLE_LINK22"/>
      <w:r>
        <w:rPr>
          <w:rFonts w:hint="eastAsia"/>
        </w:rPr>
        <w:t>北斗户外体育赛事管理系统</w:t>
      </w:r>
      <w:bookmarkEnd w:id="24"/>
      <w:r>
        <w:rPr>
          <w:rFonts w:hint="eastAsia"/>
        </w:rPr>
        <w:t>系列标准之一，该系列标准的名称及结构如下：</w:t>
      </w:r>
    </w:p>
    <w:p>
      <w:pPr>
        <w:pStyle w:val="57"/>
        <w:ind w:firstLine="420"/>
      </w:pPr>
      <w:bookmarkStart w:id="250" w:name="_GoBack"/>
      <w:bookmarkEnd w:id="250"/>
    </w:p>
    <w:p>
      <w:pPr>
        <w:pStyle w:val="57"/>
        <w:ind w:firstLine="420"/>
      </w:pPr>
    </w:p>
    <w:p>
      <w:pPr>
        <w:pStyle w:val="57"/>
        <w:ind w:firstLine="420"/>
      </w:pPr>
      <w:r>
        <w:rPr>
          <w:rFonts w:hint="eastAsia"/>
        </w:rPr>
        <w:t>本文件由××××提出并组织起草。</w:t>
      </w:r>
    </w:p>
    <w:p>
      <w:pPr>
        <w:pStyle w:val="57"/>
        <w:ind w:firstLine="420"/>
      </w:pPr>
      <w:r>
        <w:rPr>
          <w:rFonts w:hint="eastAsia"/>
        </w:rPr>
        <w:t>本文件由国家体育总局归口。</w:t>
      </w:r>
    </w:p>
    <w:p>
      <w:pPr>
        <w:pStyle w:val="57"/>
        <w:ind w:firstLine="420"/>
      </w:pPr>
      <w:r>
        <w:rPr>
          <w:rFonts w:hint="eastAsia"/>
        </w:rPr>
        <w:t>本文件主编单位：</w:t>
      </w:r>
    </w:p>
    <w:p>
      <w:pPr>
        <w:pStyle w:val="57"/>
        <w:ind w:firstLine="420"/>
      </w:pPr>
      <w:r>
        <w:rPr>
          <w:rFonts w:hint="eastAsia"/>
        </w:rPr>
        <w:t>本文件参编单位：</w:t>
      </w:r>
    </w:p>
    <w:p>
      <w:pPr>
        <w:pStyle w:val="57"/>
        <w:ind w:firstLine="420"/>
      </w:pPr>
      <w:r>
        <w:rPr>
          <w:rFonts w:hint="eastAsia"/>
        </w:rPr>
        <w:t>本文件主要起草人：</w:t>
      </w:r>
    </w:p>
    <w:p>
      <w:pPr>
        <w:pStyle w:val="57"/>
        <w:ind w:firstLine="420"/>
      </w:pPr>
    </w:p>
    <w:p>
      <w:pPr>
        <w:pStyle w:val="57"/>
        <w:ind w:firstLine="420"/>
        <w:sectPr>
          <w:headerReference r:id="rId11" w:type="default"/>
          <w:footerReference r:id="rId13" w:type="default"/>
          <w:headerReference r:id="rId12" w:type="even"/>
          <w:pgSz w:w="11906" w:h="16838"/>
          <w:pgMar w:top="2410" w:right="1134" w:bottom="1134" w:left="1134" w:header="1418" w:footer="1134" w:gutter="284"/>
          <w:pgNumType w:fmt="upperRoman" w:start="1"/>
          <w:cols w:space="425" w:num="1"/>
          <w:formProt w:val="0"/>
          <w:docGrid w:linePitch="312" w:charSpace="0"/>
        </w:sectPr>
      </w:pPr>
    </w:p>
    <w:bookmarkEnd w:id="22"/>
    <w:p>
      <w:pPr>
        <w:spacing w:line="20" w:lineRule="exact"/>
        <w:jc w:val="center"/>
        <w:rPr>
          <w:rFonts w:hint="eastAsia" w:ascii="黑体" w:hAnsi="黑体" w:eastAsia="黑体"/>
          <w:sz w:val="32"/>
          <w:szCs w:val="32"/>
        </w:rPr>
      </w:pPr>
      <w:bookmarkStart w:id="25" w:name="BookMark4"/>
    </w:p>
    <w:p>
      <w:pPr>
        <w:spacing w:line="20" w:lineRule="exact"/>
        <w:jc w:val="center"/>
        <w:rPr>
          <w:rFonts w:hint="eastAsia" w:ascii="黑体" w:hAnsi="黑体" w:eastAsia="黑体"/>
          <w:sz w:val="32"/>
          <w:szCs w:val="32"/>
        </w:rPr>
      </w:pPr>
    </w:p>
    <w:sdt>
      <w:sdtPr>
        <w:tag w:val="NEW_STAND_NAME"/>
        <w:id w:val="595910757"/>
        <w:lock w:val="sdtLocked"/>
        <w:placeholder>
          <w:docPart w:val="60DAD91DE04C4FD9A1292F0802A35C0C"/>
        </w:placeholder>
      </w:sdtPr>
      <w:sdtContent>
        <w:p>
          <w:pPr>
            <w:pStyle w:val="178"/>
            <w:spacing w:before="0" w:beforeLines="0" w:after="528" w:afterLines="220"/>
            <w:rPr>
              <w:rFonts w:hint="eastAsia"/>
            </w:rPr>
          </w:pPr>
          <w:bookmarkStart w:id="26" w:name="NEW_STAND_NAME"/>
          <w:r>
            <w:rPr>
              <w:rFonts w:hint="eastAsia"/>
            </w:rPr>
            <w:t>北斗户外体育赛事管理系统 第1部分：终端通用技术要求和测试方法</w:t>
          </w:r>
        </w:p>
      </w:sdtContent>
    </w:sdt>
    <w:bookmarkEnd w:id="26"/>
    <w:p>
      <w:pPr>
        <w:pStyle w:val="105"/>
        <w:spacing w:before="240" w:after="240"/>
      </w:pPr>
      <w:bookmarkStart w:id="27" w:name="_Toc24884211"/>
      <w:bookmarkStart w:id="28" w:name="_Toc26718930"/>
      <w:bookmarkStart w:id="29" w:name="_Toc24884218"/>
      <w:bookmarkStart w:id="30" w:name="_Toc26986771"/>
      <w:bookmarkStart w:id="31" w:name="_Toc26986530"/>
      <w:bookmarkStart w:id="32" w:name="_Toc17233333"/>
      <w:bookmarkStart w:id="33" w:name="_Toc17233325"/>
      <w:bookmarkStart w:id="34" w:name="_Toc26648465"/>
      <w:bookmarkStart w:id="35" w:name="_Toc237425918"/>
      <w:r>
        <w:rPr>
          <w:rFonts w:hint="eastAsia"/>
        </w:rPr>
        <w:t>范围</w:t>
      </w:r>
      <w:bookmarkEnd w:id="27"/>
      <w:bookmarkEnd w:id="28"/>
      <w:bookmarkEnd w:id="29"/>
      <w:bookmarkEnd w:id="30"/>
      <w:bookmarkEnd w:id="31"/>
      <w:bookmarkEnd w:id="32"/>
      <w:bookmarkEnd w:id="33"/>
      <w:bookmarkEnd w:id="34"/>
      <w:bookmarkEnd w:id="35"/>
    </w:p>
    <w:p>
      <w:pPr>
        <w:pStyle w:val="57"/>
        <w:ind w:firstLine="420"/>
      </w:pPr>
      <w:bookmarkStart w:id="36" w:name="_Toc24884219"/>
      <w:bookmarkStart w:id="37" w:name="_Toc26648466"/>
      <w:bookmarkStart w:id="38" w:name="_Toc17233326"/>
      <w:bookmarkStart w:id="39" w:name="_Toc17233334"/>
      <w:bookmarkStart w:id="40" w:name="_Toc24884212"/>
      <w:r>
        <w:t>本标准主要规定了用于山地越野、水上运动、空中运动等高风险户外体育赛事的北斗终端</w:t>
      </w:r>
      <w:r>
        <w:rPr>
          <w:rFonts w:hint="eastAsia"/>
        </w:rPr>
        <w:t>通用</w:t>
      </w:r>
      <w:r>
        <w:t>技术要求和测试方法。</w:t>
      </w:r>
    </w:p>
    <w:p>
      <w:pPr>
        <w:pStyle w:val="57"/>
        <w:ind w:firstLine="420"/>
      </w:pPr>
      <w:r>
        <w:t>本</w:t>
      </w:r>
      <w:r>
        <w:rPr>
          <w:rFonts w:hint="eastAsia"/>
        </w:rPr>
        <w:t>标准</w:t>
      </w:r>
      <w:r>
        <w:t>适用于户外体育赛事北斗终端的研制、生产和检验，北斗模块和芯片可参考使用。</w:t>
      </w:r>
      <w:r>
        <w:cr/>
      </w:r>
    </w:p>
    <w:p>
      <w:pPr>
        <w:pStyle w:val="105"/>
        <w:spacing w:before="240" w:after="240"/>
      </w:pPr>
      <w:bookmarkStart w:id="41" w:name="_Toc26718931"/>
      <w:bookmarkStart w:id="42" w:name="_Toc237425919"/>
      <w:bookmarkStart w:id="43" w:name="_Toc26986531"/>
      <w:bookmarkStart w:id="44" w:name="_Toc26986772"/>
      <w:r>
        <w:rPr>
          <w:rFonts w:hint="eastAsia"/>
        </w:rPr>
        <w:t>规范性引用文件</w:t>
      </w:r>
      <w:bookmarkEnd w:id="36"/>
      <w:bookmarkEnd w:id="37"/>
      <w:bookmarkEnd w:id="38"/>
      <w:bookmarkEnd w:id="39"/>
      <w:bookmarkEnd w:id="40"/>
      <w:bookmarkEnd w:id="41"/>
      <w:bookmarkEnd w:id="42"/>
      <w:bookmarkEnd w:id="43"/>
      <w:bookmarkEnd w:id="44"/>
    </w:p>
    <w:sdt>
      <w:sdtPr>
        <w:rPr>
          <w:rFonts w:hint="eastAsia"/>
        </w:rPr>
        <w:id w:val="715848253"/>
        <w:placeholder>
          <w:docPart w:val="2307D11CDF2F47DFA03DC3907225FD28"/>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57"/>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57"/>
        <w:ind w:firstLine="420"/>
        <w:rPr>
          <w:color w:val="000000"/>
        </w:rPr>
      </w:pPr>
      <w:r>
        <w:rPr>
          <w:color w:val="000000"/>
        </w:rPr>
        <w:t xml:space="preserve">GB/T 2423.1—2008 </w:t>
      </w:r>
      <w:r>
        <w:rPr>
          <w:rFonts w:hint="eastAsia"/>
          <w:color w:val="000000"/>
        </w:rPr>
        <w:t>电工电子产品环境试验 第2部分：试验方法试验</w:t>
      </w:r>
      <w:r>
        <w:rPr>
          <w:color w:val="000000"/>
        </w:rPr>
        <w:t xml:space="preserve"> </w:t>
      </w:r>
      <w:r>
        <w:rPr>
          <w:rFonts w:hint="eastAsia"/>
          <w:color w:val="000000"/>
        </w:rPr>
        <w:t>A：低温</w:t>
      </w:r>
    </w:p>
    <w:p>
      <w:pPr>
        <w:pStyle w:val="57"/>
        <w:ind w:firstLine="420"/>
        <w:rPr>
          <w:color w:val="000000"/>
        </w:rPr>
      </w:pPr>
      <w:r>
        <w:rPr>
          <w:rFonts w:hint="eastAsia"/>
          <w:color w:val="000000"/>
        </w:rPr>
        <w:t>GB/T 2423.2</w:t>
      </w:r>
      <w:r>
        <w:rPr>
          <w:color w:val="000000"/>
        </w:rPr>
        <w:t>—</w:t>
      </w:r>
      <w:r>
        <w:rPr>
          <w:rFonts w:hint="eastAsia"/>
          <w:color w:val="000000"/>
        </w:rPr>
        <w:t>2008</w:t>
      </w:r>
      <w:r>
        <w:rPr>
          <w:color w:val="000000"/>
        </w:rPr>
        <w:t xml:space="preserve"> </w:t>
      </w:r>
      <w:r>
        <w:rPr>
          <w:rFonts w:hint="eastAsia"/>
          <w:color w:val="000000"/>
        </w:rPr>
        <w:t>电工电子产品环境试验 第2部分：试验方法试验 B：高温</w:t>
      </w:r>
    </w:p>
    <w:p>
      <w:pPr>
        <w:pStyle w:val="57"/>
        <w:ind w:firstLine="420"/>
        <w:rPr>
          <w:color w:val="000000"/>
        </w:rPr>
      </w:pPr>
      <w:bookmarkStart w:id="45" w:name="OLE_LINK6"/>
      <w:bookmarkStart w:id="46" w:name="OLE_LINK18"/>
      <w:r>
        <w:rPr>
          <w:rFonts w:hint="eastAsia"/>
          <w:color w:val="000000"/>
        </w:rPr>
        <w:t>GB/T</w:t>
      </w:r>
      <w:bookmarkEnd w:id="45"/>
      <w:r>
        <w:rPr>
          <w:rFonts w:hint="eastAsia"/>
          <w:color w:val="000000"/>
        </w:rPr>
        <w:t xml:space="preserve"> 2423.7</w:t>
      </w:r>
      <w:r>
        <w:rPr>
          <w:color w:val="000000"/>
        </w:rPr>
        <w:t>—</w:t>
      </w:r>
      <w:r>
        <w:rPr>
          <w:rFonts w:hint="eastAsia"/>
          <w:color w:val="000000"/>
        </w:rPr>
        <w:t>2018 环境试验第2部分</w:t>
      </w:r>
      <w:r>
        <w:rPr>
          <w:color w:val="000000"/>
        </w:rPr>
        <w:t>：</w:t>
      </w:r>
      <w:r>
        <w:rPr>
          <w:rFonts w:hint="eastAsia"/>
          <w:color w:val="000000"/>
        </w:rPr>
        <w:t>试验方法试验Ec:粗率操作造成的冲击</w:t>
      </w:r>
    </w:p>
    <w:bookmarkEnd w:id="46"/>
    <w:p>
      <w:pPr>
        <w:pStyle w:val="57"/>
        <w:ind w:firstLine="420"/>
        <w:rPr>
          <w:color w:val="000000"/>
        </w:rPr>
      </w:pPr>
      <w:r>
        <w:rPr>
          <w:color w:val="000000"/>
        </w:rPr>
        <w:t>GB/T 2423.8</w:t>
      </w:r>
      <w:r>
        <w:rPr>
          <w:rFonts w:hint="eastAsia"/>
          <w:color w:val="000000"/>
        </w:rPr>
        <w:t>—</w:t>
      </w:r>
      <w:r>
        <w:rPr>
          <w:color w:val="000000"/>
        </w:rPr>
        <w:t>2018</w:t>
      </w:r>
      <w:r>
        <w:rPr>
          <w:rFonts w:hint="eastAsia"/>
          <w:color w:val="000000"/>
        </w:rPr>
        <w:t xml:space="preserve"> </w:t>
      </w:r>
      <w:r>
        <w:rPr>
          <w:color w:val="000000"/>
        </w:rPr>
        <w:t>电工电子产品环境试验 试验Ed：自由跌落</w:t>
      </w:r>
    </w:p>
    <w:p>
      <w:pPr>
        <w:pStyle w:val="57"/>
        <w:ind w:firstLine="420"/>
        <w:rPr>
          <w:color w:val="000000"/>
        </w:rPr>
      </w:pPr>
      <w:r>
        <w:rPr>
          <w:rFonts w:hint="eastAsia"/>
          <w:color w:val="000000"/>
        </w:rPr>
        <w:t>GB/T4208</w:t>
      </w:r>
      <w:r>
        <w:rPr>
          <w:color w:val="000000"/>
        </w:rPr>
        <w:t>—</w:t>
      </w:r>
      <w:r>
        <w:rPr>
          <w:rFonts w:hint="eastAsia"/>
          <w:color w:val="000000"/>
        </w:rPr>
        <w:t>2017 外壳防护等级</w:t>
      </w:r>
      <w:r>
        <w:rPr>
          <w:color w:val="000000"/>
        </w:rPr>
        <w:t>（IP代码）</w:t>
      </w:r>
    </w:p>
    <w:p>
      <w:pPr>
        <w:pStyle w:val="57"/>
        <w:ind w:firstLine="420"/>
        <w:rPr>
          <w:color w:val="000000"/>
        </w:rPr>
      </w:pPr>
      <w:r>
        <w:rPr>
          <w:color w:val="000000"/>
        </w:rPr>
        <w:t>GB/T 39267-2020 北斗卫星导航术语</w:t>
      </w:r>
    </w:p>
    <w:p>
      <w:pPr>
        <w:pStyle w:val="57"/>
        <w:ind w:firstLine="420"/>
        <w:rPr>
          <w:color w:val="000000"/>
        </w:rPr>
      </w:pPr>
      <w:r>
        <w:rPr>
          <w:color w:val="000000"/>
        </w:rPr>
        <w:t xml:space="preserve">GB/T 42979-2023 </w:t>
      </w:r>
      <w:r>
        <w:rPr>
          <w:rFonts w:hint="eastAsia"/>
          <w:color w:val="000000"/>
        </w:rPr>
        <w:t>全球卫星导航系统（GNSS）位置报告/短报文型终端性能要求及测试方法</w:t>
      </w:r>
    </w:p>
    <w:p>
      <w:pPr>
        <w:pStyle w:val="57"/>
        <w:ind w:firstLine="420"/>
        <w:rPr>
          <w:color w:val="000000"/>
        </w:rPr>
      </w:pPr>
      <w:r>
        <w:rPr>
          <w:rFonts w:hint="eastAsia"/>
          <w:color w:val="000000"/>
        </w:rPr>
        <w:t>GB/T 44086.2-2024 北斗三号区域短报文通信用户终端信息接口 第2部分：通用数据接口</w:t>
      </w:r>
    </w:p>
    <w:p>
      <w:pPr>
        <w:pStyle w:val="57"/>
        <w:ind w:firstLine="420"/>
      </w:pPr>
      <w:r>
        <w:rPr>
          <w:rFonts w:hint="eastAsia"/>
        </w:rPr>
        <w:t>GB/T 44088</w:t>
      </w:r>
      <w:r>
        <w:t>—</w:t>
      </w:r>
      <w:r>
        <w:rPr>
          <w:rFonts w:hint="eastAsia"/>
        </w:rPr>
        <w:t>2024 北斗卫星导航系统测量型模块技术要求及测试方法</w:t>
      </w:r>
    </w:p>
    <w:p>
      <w:pPr>
        <w:pStyle w:val="57"/>
        <w:ind w:firstLine="420"/>
      </w:pPr>
      <w:r>
        <w:rPr>
          <w:rFonts w:hint="eastAsia"/>
        </w:rPr>
        <w:t>GB/T 46369—2025 北斗导航型接收终端性能要求及测试方法</w:t>
      </w:r>
    </w:p>
    <w:p>
      <w:pPr>
        <w:pStyle w:val="57"/>
        <w:ind w:firstLine="420"/>
      </w:pPr>
      <w:r>
        <w:rPr>
          <w:rFonts w:hint="eastAsia"/>
        </w:rPr>
        <w:t>BD 410004</w:t>
      </w:r>
      <w:r>
        <w:t>—</w:t>
      </w:r>
      <w:r>
        <w:rPr>
          <w:rFonts w:hint="eastAsia"/>
        </w:rPr>
        <w:t>2015 北斗/全球卫星导航系统（GNSS）接收机导航定位数据输出格式</w:t>
      </w:r>
    </w:p>
    <w:p>
      <w:pPr>
        <w:pStyle w:val="57"/>
        <w:ind w:firstLine="409" w:firstLineChars="195"/>
      </w:pPr>
      <w:r>
        <w:rPr>
          <w:rFonts w:hint="eastAsia"/>
        </w:rPr>
        <w:t>BD 420010</w:t>
      </w:r>
      <w:r>
        <w:t>—</w:t>
      </w:r>
      <w:r>
        <w:rPr>
          <w:rFonts w:hint="eastAsia"/>
        </w:rPr>
        <w:t xml:space="preserve">2015 </w:t>
      </w:r>
      <w:r>
        <w:t>北斗/全球卫星导航系统（GNSS）导航设备通用规范</w:t>
      </w:r>
    </w:p>
    <w:p>
      <w:pPr>
        <w:widowControl/>
        <w:autoSpaceDE w:val="0"/>
        <w:autoSpaceDN w:val="0"/>
        <w:spacing w:line="350" w:lineRule="exact"/>
        <w:ind w:firstLine="420" w:firstLineChars="200"/>
        <w:rPr>
          <w:color w:val="000000"/>
          <w:kern w:val="0"/>
          <w:szCs w:val="20"/>
        </w:rPr>
      </w:pPr>
      <w:r>
        <w:rPr>
          <w:rFonts w:hint="eastAsia"/>
          <w:color w:val="000000"/>
          <w:kern w:val="0"/>
          <w:szCs w:val="20"/>
        </w:rPr>
        <w:t>BD 420011</w:t>
      </w:r>
      <w:r>
        <w:rPr>
          <w:color w:val="000000"/>
        </w:rPr>
        <w:t>—</w:t>
      </w:r>
      <w:r>
        <w:rPr>
          <w:rFonts w:hint="eastAsia"/>
          <w:color w:val="000000"/>
          <w:kern w:val="0"/>
          <w:szCs w:val="20"/>
        </w:rPr>
        <w:t>2015 北斗/全球卫星导航系统（GNSS）定位设备通用规范</w:t>
      </w:r>
    </w:p>
    <w:p>
      <w:pPr>
        <w:pStyle w:val="57"/>
        <w:ind w:firstLine="420"/>
        <w:rPr>
          <w:color w:val="000000"/>
        </w:rPr>
      </w:pPr>
      <w:r>
        <w:rPr>
          <w:color w:val="000000"/>
        </w:rPr>
        <w:t>BD 420005</w:t>
      </w:r>
      <w:bookmarkStart w:id="47" w:name="OLE_LINK7"/>
      <w:r>
        <w:rPr>
          <w:color w:val="000000"/>
        </w:rPr>
        <w:t>—</w:t>
      </w:r>
      <w:bookmarkEnd w:id="47"/>
      <w:r>
        <w:rPr>
          <w:color w:val="000000"/>
        </w:rPr>
        <w:t>2015 北斗</w:t>
      </w:r>
      <w:r>
        <w:rPr>
          <w:rFonts w:hint="eastAsia"/>
          <w:color w:val="000000"/>
        </w:rPr>
        <w:t>/</w:t>
      </w:r>
      <w:r>
        <w:rPr>
          <w:color w:val="000000"/>
        </w:rPr>
        <w:t>全球卫星导航系统（GNSS）导航单元性能要求及测试方法</w:t>
      </w:r>
    </w:p>
    <w:p>
      <w:pPr>
        <w:pStyle w:val="57"/>
        <w:ind w:firstLine="420"/>
        <w:rPr>
          <w:color w:val="000000"/>
        </w:rPr>
      </w:pPr>
      <w:r>
        <w:rPr>
          <w:color w:val="000000"/>
        </w:rPr>
        <w:t>IEC 60945:2002 《海上导航和无线电通信设备及系统一般要求测试方法和要求的测试结果》</w:t>
      </w:r>
    </w:p>
    <w:p>
      <w:pPr>
        <w:pStyle w:val="57"/>
        <w:ind w:firstLine="420"/>
        <w:rPr>
          <w:color w:val="000000"/>
        </w:rPr>
      </w:pPr>
      <w:r>
        <w:rPr>
          <w:rFonts w:hint="eastAsia"/>
          <w:color w:val="000000"/>
        </w:rPr>
        <w:t>中国船级社</w:t>
      </w:r>
      <w:r>
        <w:rPr>
          <w:color w:val="000000"/>
        </w:rPr>
        <w:t>GD32-2023 救生设备搜救信标检验指南</w:t>
      </w:r>
    </w:p>
    <w:p>
      <w:pPr>
        <w:pStyle w:val="57"/>
        <w:ind w:firstLine="420"/>
      </w:pPr>
    </w:p>
    <w:p>
      <w:pPr>
        <w:pStyle w:val="105"/>
        <w:spacing w:before="240" w:after="240"/>
      </w:pPr>
      <w:bookmarkStart w:id="48" w:name="_Toc237425920"/>
      <w:r>
        <w:rPr>
          <w:rFonts w:hint="eastAsia"/>
          <w:szCs w:val="21"/>
        </w:rPr>
        <w:t>术语和定义</w:t>
      </w:r>
      <w:bookmarkEnd w:id="48"/>
    </w:p>
    <w:sdt>
      <w:sdtPr>
        <w:id w:val="-1909835108"/>
        <w:placeholder>
          <w:docPart w:val="DB035C7C5DDF446B8F9A3199E7502CC5"/>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57"/>
            <w:ind w:firstLine="420"/>
          </w:pPr>
          <w:bookmarkStart w:id="49" w:name="_Toc26986532"/>
          <w:bookmarkEnd w:id="49"/>
          <w:r>
            <w:t>下列术语和定义适用于本文件。</w:t>
          </w:r>
        </w:p>
      </w:sdtContent>
    </w:sdt>
    <w:p>
      <w:pPr>
        <w:pStyle w:val="106"/>
        <w:spacing w:before="120" w:after="120"/>
        <w:rPr>
          <w:rFonts w:hint="eastAsia" w:hAnsi="黑体"/>
        </w:rPr>
      </w:pPr>
      <w:bookmarkStart w:id="50" w:name="_Toc236735583"/>
      <w:bookmarkStart w:id="51" w:name="_Toc237425921"/>
      <w:r>
        <w:rPr>
          <w:rFonts w:hint="eastAsia" w:hAnsi="黑体"/>
        </w:rPr>
        <w:t xml:space="preserve">户外体育赛事北斗终端 </w:t>
      </w:r>
      <w:bookmarkStart w:id="52" w:name="OLE_LINK13"/>
      <w:r>
        <w:rPr>
          <w:rFonts w:hAnsi="黑体"/>
        </w:rPr>
        <w:t>BeiDou terminal for outdoor sports event</w:t>
      </w:r>
      <w:bookmarkEnd w:id="50"/>
      <w:bookmarkEnd w:id="51"/>
    </w:p>
    <w:p>
      <w:pPr>
        <w:pStyle w:val="57"/>
        <w:spacing w:line="360" w:lineRule="auto"/>
        <w:ind w:firstLine="420"/>
        <w:jc w:val="left"/>
      </w:pPr>
      <w:r>
        <w:rPr>
          <w:rFonts w:hint="eastAsia"/>
        </w:rPr>
        <w:t>针对山地、</w:t>
      </w:r>
      <w:r>
        <w:t>水上</w:t>
      </w:r>
      <w:r>
        <w:rPr>
          <w:rFonts w:hint="eastAsia"/>
        </w:rPr>
        <w:t>、空中等高风险运动赛事</w:t>
      </w:r>
      <w:bookmarkEnd w:id="52"/>
      <w:r>
        <w:rPr>
          <w:rFonts w:hint="eastAsia"/>
        </w:rPr>
        <w:t>的</w:t>
      </w:r>
      <w:r>
        <w:t>运动员户外行进定位、轨迹追踪、紧急求救</w:t>
      </w:r>
      <w:r>
        <w:rPr>
          <w:rFonts w:hint="eastAsia"/>
        </w:rPr>
        <w:t>等需求提供</w:t>
      </w:r>
      <w:r>
        <w:t>北斗卫星</w:t>
      </w:r>
      <w:r>
        <w:rPr>
          <w:rFonts w:hint="eastAsia"/>
        </w:rPr>
        <w:t>导航</w:t>
      </w:r>
      <w:r>
        <w:t>定位和</w:t>
      </w:r>
      <w:r>
        <w:rPr>
          <w:rFonts w:hint="eastAsia"/>
        </w:rPr>
        <w:t>北斗</w:t>
      </w:r>
      <w:r>
        <w:t>短报文通</w:t>
      </w:r>
      <w:r>
        <w:rPr>
          <w:rFonts w:hint="eastAsia"/>
        </w:rPr>
        <w:t>信服务的终端</w:t>
      </w:r>
      <w:r>
        <w:t>。</w:t>
      </w:r>
    </w:p>
    <w:p>
      <w:pPr>
        <w:pStyle w:val="106"/>
        <w:spacing w:before="120" w:after="120"/>
      </w:pPr>
      <w:bookmarkStart w:id="53" w:name="_Toc236735584"/>
      <w:bookmarkStart w:id="54" w:name="_Toc237425922"/>
      <w:r>
        <w:rPr>
          <w:rFonts w:hint="eastAsia" w:hAnsi="黑体"/>
        </w:rPr>
        <w:t>北斗短报文通信 BeiDou Short Message Communication</w:t>
      </w:r>
      <w:bookmarkEnd w:id="53"/>
      <w:bookmarkEnd w:id="54"/>
    </w:p>
    <w:p>
      <w:pPr>
        <w:pStyle w:val="57"/>
        <w:spacing w:line="360" w:lineRule="auto"/>
        <w:ind w:firstLine="420"/>
        <w:jc w:val="left"/>
      </w:pPr>
      <w:r>
        <w:rPr>
          <w:rFonts w:hint="eastAsia"/>
        </w:rPr>
        <w:t>北斗卫星导航系统基于区域短报文技术所提供的一种双向收发信号服务。</w:t>
      </w:r>
    </w:p>
    <w:p>
      <w:pPr>
        <w:pStyle w:val="106"/>
        <w:spacing w:before="120" w:after="120"/>
      </w:pPr>
      <w:bookmarkStart w:id="55" w:name="_Toc236735585"/>
      <w:bookmarkStart w:id="56" w:name="_Toc237425923"/>
      <w:r>
        <w:rPr>
          <w:rFonts w:hint="eastAsia" w:hAnsi="黑体"/>
        </w:rPr>
        <w:t xml:space="preserve">通信回执 </w:t>
      </w:r>
      <w:r>
        <w:rPr>
          <w:rFonts w:hAnsi="黑体"/>
        </w:rPr>
        <w:t>correspondence</w:t>
      </w:r>
      <w:r>
        <w:rPr>
          <w:rFonts w:hint="eastAsia" w:hAnsi="黑体"/>
        </w:rPr>
        <w:t xml:space="preserve"> receipt</w:t>
      </w:r>
      <w:bookmarkEnd w:id="55"/>
      <w:bookmarkEnd w:id="56"/>
    </w:p>
    <w:p>
      <w:pPr>
        <w:pStyle w:val="57"/>
        <w:spacing w:line="360" w:lineRule="auto"/>
        <w:ind w:firstLine="420"/>
        <w:jc w:val="left"/>
      </w:pPr>
      <w:r>
        <w:t>北斗三号短报文地面运营平台接收到报文信息后，通过北斗三号卫星，返回给终端的确认信息。</w:t>
      </w:r>
    </w:p>
    <w:p>
      <w:pPr>
        <w:pStyle w:val="106"/>
        <w:spacing w:before="120" w:after="120"/>
      </w:pPr>
      <w:bookmarkStart w:id="57" w:name="_Toc236735586"/>
      <w:bookmarkStart w:id="58" w:name="_Toc237425924"/>
      <w:r>
        <w:rPr>
          <w:rFonts w:hint="eastAsia"/>
        </w:rPr>
        <w:t>冷启动首次定位时间 cold start time to first fix</w:t>
      </w:r>
      <w:bookmarkEnd w:id="57"/>
      <w:bookmarkEnd w:id="58"/>
      <w:r>
        <w:rPr>
          <w:rFonts w:hint="eastAsia"/>
        </w:rPr>
        <w:t xml:space="preserve"> </w:t>
      </w:r>
    </w:p>
    <w:p>
      <w:pPr>
        <w:pStyle w:val="57"/>
        <w:ind w:firstLine="420"/>
      </w:pPr>
      <w:r>
        <w:rPr>
          <w:rFonts w:hint="eastAsia"/>
        </w:rPr>
        <w:t>用户设备在星历、历书、概略时间和概略位置未知的状态下，从开机到首次正常定位所需的时间。</w:t>
      </w:r>
    </w:p>
    <w:p>
      <w:pPr>
        <w:pStyle w:val="106"/>
        <w:spacing w:before="120" w:after="120"/>
      </w:pPr>
      <w:bookmarkStart w:id="59" w:name="_Toc236735587"/>
      <w:bookmarkStart w:id="60" w:name="_Toc237425925"/>
      <w:bookmarkStart w:id="61" w:name="_Toc196391749"/>
      <w:bookmarkStart w:id="62" w:name="_Toc196390805"/>
      <w:r>
        <w:t>捕获灵敏度 acquisition sensitivity</w:t>
      </w:r>
      <w:bookmarkEnd w:id="59"/>
      <w:bookmarkEnd w:id="60"/>
      <w:r>
        <w:t xml:space="preserve"> </w:t>
      </w:r>
    </w:p>
    <w:p>
      <w:pPr>
        <w:pStyle w:val="57"/>
        <w:ind w:firstLine="420"/>
      </w:pPr>
      <w:r>
        <w:rPr>
          <w:rFonts w:hint="eastAsia"/>
        </w:rPr>
        <w:t>终端</w:t>
      </w:r>
      <w:r>
        <w:t>在冷启动条件下，捕获导航信号并正常定位所需的最低信号电平。</w:t>
      </w:r>
    </w:p>
    <w:p>
      <w:pPr>
        <w:pStyle w:val="106"/>
        <w:spacing w:before="120" w:after="120"/>
      </w:pPr>
      <w:bookmarkStart w:id="63" w:name="_Toc236735588"/>
      <w:bookmarkStart w:id="64" w:name="_Toc237425926"/>
      <w:r>
        <w:t>跟踪灵敏度 tracking sensitivity</w:t>
      </w:r>
      <w:bookmarkEnd w:id="63"/>
      <w:bookmarkEnd w:id="64"/>
      <w:r>
        <w:t xml:space="preserve"> </w:t>
      </w:r>
    </w:p>
    <w:p>
      <w:pPr>
        <w:pStyle w:val="57"/>
        <w:ind w:firstLine="420"/>
      </w:pPr>
      <w:r>
        <w:t>用户设备在正常定位后，能够继续保持对导航信号的跟踪和定位所需的最低信号电平。</w:t>
      </w:r>
    </w:p>
    <w:bookmarkEnd w:id="61"/>
    <w:bookmarkEnd w:id="62"/>
    <w:p>
      <w:pPr>
        <w:pStyle w:val="106"/>
        <w:spacing w:before="120" w:after="120"/>
      </w:pPr>
      <w:bookmarkStart w:id="65" w:name="_Toc196391750"/>
      <w:bookmarkEnd w:id="65"/>
      <w:bookmarkStart w:id="66" w:name="_Toc196390806"/>
      <w:bookmarkEnd w:id="66"/>
      <w:bookmarkStart w:id="67" w:name="_Toc236735589"/>
      <w:bookmarkStart w:id="68" w:name="_Toc237425927"/>
      <w:bookmarkStart w:id="69" w:name="_Toc196391751"/>
      <w:bookmarkStart w:id="70" w:name="_Toc196390807"/>
      <w:r>
        <w:rPr>
          <w:rFonts w:hint="eastAsia"/>
        </w:rPr>
        <w:t>管理平台 management platform</w:t>
      </w:r>
      <w:bookmarkEnd w:id="67"/>
      <w:bookmarkEnd w:id="68"/>
      <w:bookmarkEnd w:id="69"/>
      <w:bookmarkEnd w:id="70"/>
    </w:p>
    <w:p>
      <w:pPr>
        <w:pStyle w:val="231"/>
        <w:rPr>
          <w:rFonts w:ascii="Times New Roman"/>
          <w:color w:val="000000" w:themeColor="text1"/>
          <w:kern w:val="2"/>
          <w:szCs w:val="24"/>
          <w14:textFill>
            <w14:solidFill>
              <w14:schemeClr w14:val="tx1"/>
            </w14:solidFill>
          </w14:textFill>
        </w:rPr>
      </w:pPr>
      <w:r>
        <w:rPr>
          <w:rFonts w:hint="eastAsia" w:ascii="Times New Roman"/>
          <w:color w:val="000000" w:themeColor="text1"/>
          <w:kern w:val="2"/>
          <w:szCs w:val="24"/>
          <w14:textFill>
            <w14:solidFill>
              <w14:schemeClr w14:val="tx1"/>
            </w14:solidFill>
          </w14:textFill>
        </w:rPr>
        <w:t>具备</w:t>
      </w:r>
      <w:r>
        <w:rPr>
          <w:rFonts w:ascii="Times New Roman"/>
          <w:color w:val="000000" w:themeColor="text1"/>
          <w:kern w:val="2"/>
          <w:szCs w:val="24"/>
          <w14:textFill>
            <w14:solidFill>
              <w14:schemeClr w14:val="tx1"/>
            </w14:solidFill>
          </w14:textFill>
        </w:rPr>
        <w:t>对</w:t>
      </w:r>
      <w:r>
        <w:rPr>
          <w:rFonts w:hint="eastAsia" w:ascii="Times New Roman"/>
          <w:color w:val="000000" w:themeColor="text1"/>
          <w:kern w:val="2"/>
          <w:szCs w:val="24"/>
          <w14:textFill>
            <w14:solidFill>
              <w14:schemeClr w14:val="tx1"/>
            </w14:solidFill>
          </w14:textFill>
        </w:rPr>
        <w:t>山地、水上、空中等各类</w:t>
      </w:r>
      <w:r>
        <w:rPr>
          <w:rFonts w:ascii="Times New Roman"/>
          <w:color w:val="000000" w:themeColor="text1"/>
          <w:kern w:val="2"/>
          <w:szCs w:val="24"/>
          <w14:textFill>
            <w14:solidFill>
              <w14:schemeClr w14:val="tx1"/>
            </w14:solidFill>
          </w14:textFill>
        </w:rPr>
        <w:t>赛事全程实时监控、轨迹追踪、风险预警和应急救援调度</w:t>
      </w:r>
      <w:r>
        <w:rPr>
          <w:rFonts w:hint="eastAsia" w:ascii="Times New Roman"/>
          <w:color w:val="000000" w:themeColor="text1"/>
          <w:kern w:val="2"/>
          <w:szCs w:val="24"/>
          <w14:textFill>
            <w14:solidFill>
              <w14:schemeClr w14:val="tx1"/>
            </w14:solidFill>
          </w14:textFill>
        </w:rPr>
        <w:t>等功能的管理平台</w:t>
      </w:r>
      <w:r>
        <w:rPr>
          <w:rFonts w:ascii="Times New Roman"/>
          <w:color w:val="000000" w:themeColor="text1"/>
          <w:kern w:val="2"/>
          <w:szCs w:val="24"/>
          <w14:textFill>
            <w14:solidFill>
              <w14:schemeClr w14:val="tx1"/>
            </w14:solidFill>
          </w14:textFill>
        </w:rPr>
        <w:t>。</w:t>
      </w:r>
    </w:p>
    <w:p>
      <w:pPr>
        <w:pStyle w:val="57"/>
        <w:ind w:firstLine="420"/>
      </w:pPr>
    </w:p>
    <w:p>
      <w:pPr>
        <w:pStyle w:val="105"/>
        <w:spacing w:before="240" w:after="240"/>
        <w:rPr>
          <w:szCs w:val="21"/>
        </w:rPr>
      </w:pPr>
      <w:bookmarkStart w:id="71" w:name="_Toc237425928"/>
      <w:bookmarkStart w:id="72" w:name="_Toc413834071"/>
      <w:bookmarkStart w:id="73" w:name="_Toc236735590"/>
      <w:r>
        <w:rPr>
          <w:rFonts w:hint="eastAsia"/>
          <w:szCs w:val="21"/>
        </w:rPr>
        <w:t>缩略语</w:t>
      </w:r>
      <w:bookmarkEnd w:id="71"/>
      <w:bookmarkEnd w:id="72"/>
      <w:bookmarkEnd w:id="73"/>
    </w:p>
    <w:p>
      <w:pPr>
        <w:pStyle w:val="231"/>
      </w:pPr>
      <w:r>
        <w:rPr>
          <w:rFonts w:hint="eastAsia"/>
        </w:rPr>
        <w:t>下列缩略语适用于本标准。</w:t>
      </w:r>
    </w:p>
    <w:tbl>
      <w:tblPr>
        <w:tblStyle w:val="27"/>
        <w:tblW w:w="7684" w:type="dxa"/>
        <w:jc w:val="center"/>
        <w:tblLayout w:type="fixed"/>
        <w:tblCellMar>
          <w:top w:w="0" w:type="dxa"/>
          <w:left w:w="108" w:type="dxa"/>
          <w:bottom w:w="0" w:type="dxa"/>
          <w:right w:w="108" w:type="dxa"/>
        </w:tblCellMar>
      </w:tblPr>
      <w:tblGrid>
        <w:gridCol w:w="1150"/>
        <w:gridCol w:w="3215"/>
        <w:gridCol w:w="3319"/>
      </w:tblGrid>
      <w:tr>
        <w:tblPrEx>
          <w:tblCellMar>
            <w:top w:w="0" w:type="dxa"/>
            <w:left w:w="108" w:type="dxa"/>
            <w:bottom w:w="0" w:type="dxa"/>
            <w:right w:w="108" w:type="dxa"/>
          </w:tblCellMar>
        </w:tblPrEx>
        <w:trPr>
          <w:trHeight w:val="270" w:hRule="atLeast"/>
          <w:jc w:val="center"/>
        </w:trPr>
        <w:tc>
          <w:tcPr>
            <w:tcW w:w="1150" w:type="dxa"/>
            <w:tcBorders>
              <w:top w:val="nil"/>
              <w:left w:val="nil"/>
              <w:bottom w:val="nil"/>
              <w:right w:val="nil"/>
            </w:tcBorders>
            <w:vAlign w:val="center"/>
          </w:tcPr>
          <w:p>
            <w:pPr>
              <w:widowControl/>
              <w:rPr>
                <w:color w:val="000000"/>
                <w:kern w:val="0"/>
              </w:rPr>
            </w:pPr>
            <w:r>
              <w:rPr>
                <w:rFonts w:hint="eastAsia"/>
                <w:color w:val="000000"/>
                <w:kern w:val="0"/>
              </w:rPr>
              <w:t>BDS</w:t>
            </w:r>
          </w:p>
        </w:tc>
        <w:tc>
          <w:tcPr>
            <w:tcW w:w="3215" w:type="dxa"/>
            <w:tcBorders>
              <w:top w:val="nil"/>
              <w:left w:val="nil"/>
              <w:bottom w:val="nil"/>
              <w:right w:val="nil"/>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北斗卫星定位系统</w:t>
            </w:r>
          </w:p>
        </w:tc>
        <w:tc>
          <w:tcPr>
            <w:tcW w:w="3319" w:type="dxa"/>
            <w:tcBorders>
              <w:top w:val="nil"/>
              <w:left w:val="nil"/>
              <w:bottom w:val="nil"/>
              <w:right w:val="nil"/>
            </w:tcBorders>
            <w:vAlign w:val="center"/>
          </w:tcPr>
          <w:p>
            <w:pPr>
              <w:widowControl/>
              <w:jc w:val="left"/>
              <w:rPr>
                <w:color w:val="000000"/>
                <w:kern w:val="0"/>
              </w:rPr>
            </w:pPr>
            <w:r>
              <w:rPr>
                <w:color w:val="000000"/>
              </w:rPr>
              <w:t>BeiDou Navigation Satellite System</w:t>
            </w:r>
          </w:p>
        </w:tc>
      </w:tr>
      <w:tr>
        <w:tblPrEx>
          <w:tblCellMar>
            <w:top w:w="0" w:type="dxa"/>
            <w:left w:w="108" w:type="dxa"/>
            <w:bottom w:w="0" w:type="dxa"/>
            <w:right w:w="108" w:type="dxa"/>
          </w:tblCellMar>
        </w:tblPrEx>
        <w:trPr>
          <w:trHeight w:val="270" w:hRule="atLeast"/>
          <w:jc w:val="center"/>
        </w:trPr>
        <w:tc>
          <w:tcPr>
            <w:tcW w:w="1150" w:type="dxa"/>
            <w:tcBorders>
              <w:top w:val="nil"/>
              <w:left w:val="nil"/>
              <w:bottom w:val="nil"/>
              <w:right w:val="nil"/>
            </w:tcBorders>
            <w:vAlign w:val="center"/>
          </w:tcPr>
          <w:p>
            <w:pPr>
              <w:widowControl/>
              <w:rPr>
                <w:color w:val="000000"/>
                <w:kern w:val="0"/>
              </w:rPr>
            </w:pPr>
            <w:r>
              <w:rPr>
                <w:rFonts w:hint="eastAsia"/>
                <w:color w:val="000000"/>
                <w:kern w:val="0"/>
              </w:rPr>
              <w:t>GPS</w:t>
            </w:r>
          </w:p>
        </w:tc>
        <w:tc>
          <w:tcPr>
            <w:tcW w:w="3215" w:type="dxa"/>
            <w:tcBorders>
              <w:top w:val="nil"/>
              <w:left w:val="nil"/>
              <w:bottom w:val="nil"/>
              <w:right w:val="nil"/>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全球定位系统</w:t>
            </w:r>
          </w:p>
        </w:tc>
        <w:tc>
          <w:tcPr>
            <w:tcW w:w="3319" w:type="dxa"/>
            <w:tcBorders>
              <w:top w:val="nil"/>
              <w:left w:val="nil"/>
              <w:bottom w:val="nil"/>
              <w:right w:val="nil"/>
            </w:tcBorders>
            <w:vAlign w:val="center"/>
          </w:tcPr>
          <w:p>
            <w:pPr>
              <w:widowControl/>
              <w:jc w:val="left"/>
              <w:rPr>
                <w:color w:val="000000"/>
                <w:kern w:val="0"/>
              </w:rPr>
            </w:pPr>
            <w:r>
              <w:rPr>
                <w:color w:val="000000"/>
                <w:kern w:val="0"/>
              </w:rPr>
              <w:t>Global Positioning System</w:t>
            </w:r>
          </w:p>
        </w:tc>
      </w:tr>
      <w:tr>
        <w:tblPrEx>
          <w:tblCellMar>
            <w:top w:w="0" w:type="dxa"/>
            <w:left w:w="108" w:type="dxa"/>
            <w:bottom w:w="0" w:type="dxa"/>
            <w:right w:w="108" w:type="dxa"/>
          </w:tblCellMar>
        </w:tblPrEx>
        <w:trPr>
          <w:trHeight w:val="270" w:hRule="atLeast"/>
          <w:jc w:val="center"/>
        </w:trPr>
        <w:tc>
          <w:tcPr>
            <w:tcW w:w="1150" w:type="dxa"/>
            <w:tcBorders>
              <w:top w:val="nil"/>
              <w:left w:val="nil"/>
              <w:bottom w:val="nil"/>
              <w:right w:val="nil"/>
            </w:tcBorders>
            <w:vAlign w:val="center"/>
          </w:tcPr>
          <w:p>
            <w:pPr>
              <w:widowControl/>
              <w:rPr>
                <w:color w:val="000000"/>
                <w:kern w:val="0"/>
              </w:rPr>
            </w:pPr>
            <w:r>
              <w:rPr>
                <w:rFonts w:hint="eastAsia"/>
                <w:color w:val="000000"/>
                <w:kern w:val="0"/>
              </w:rPr>
              <w:t>GNSS</w:t>
            </w:r>
          </w:p>
        </w:tc>
        <w:tc>
          <w:tcPr>
            <w:tcW w:w="3215" w:type="dxa"/>
            <w:tcBorders>
              <w:top w:val="nil"/>
              <w:left w:val="nil"/>
              <w:bottom w:val="nil"/>
              <w:right w:val="nil"/>
            </w:tcBorders>
            <w:vAlign w:val="center"/>
          </w:tcPr>
          <w:p>
            <w:pPr>
              <w:widowControl/>
              <w:jc w:val="left"/>
              <w:rPr>
                <w:rFonts w:hint="eastAsia" w:ascii="宋体" w:hAnsi="宋体" w:cs="宋体"/>
                <w:color w:val="000000"/>
                <w:kern w:val="0"/>
                <w:sz w:val="22"/>
                <w:szCs w:val="22"/>
              </w:rPr>
            </w:pPr>
            <w:r>
              <w:rPr>
                <w:rFonts w:ascii="Arial" w:hAnsi="Arial" w:cs="Arial"/>
                <w:color w:val="333333"/>
              </w:rPr>
              <w:t>全球导航卫星系统</w:t>
            </w:r>
          </w:p>
        </w:tc>
        <w:tc>
          <w:tcPr>
            <w:tcW w:w="3319" w:type="dxa"/>
            <w:tcBorders>
              <w:top w:val="nil"/>
              <w:left w:val="nil"/>
              <w:bottom w:val="nil"/>
              <w:right w:val="nil"/>
            </w:tcBorders>
            <w:vAlign w:val="center"/>
          </w:tcPr>
          <w:p>
            <w:pPr>
              <w:widowControl/>
              <w:jc w:val="left"/>
              <w:rPr>
                <w:color w:val="000000"/>
                <w:kern w:val="0"/>
              </w:rPr>
            </w:pPr>
            <w:r>
              <w:rPr>
                <w:color w:val="333333"/>
              </w:rPr>
              <w:t>Global Navigation Satellite System</w:t>
            </w:r>
          </w:p>
        </w:tc>
      </w:tr>
      <w:tr>
        <w:tblPrEx>
          <w:tblCellMar>
            <w:top w:w="0" w:type="dxa"/>
            <w:left w:w="108" w:type="dxa"/>
            <w:bottom w:w="0" w:type="dxa"/>
            <w:right w:w="108" w:type="dxa"/>
          </w:tblCellMar>
        </w:tblPrEx>
        <w:trPr>
          <w:trHeight w:val="270" w:hRule="atLeast"/>
          <w:jc w:val="center"/>
        </w:trPr>
        <w:tc>
          <w:tcPr>
            <w:tcW w:w="1150" w:type="dxa"/>
            <w:tcBorders>
              <w:top w:val="nil"/>
              <w:left w:val="nil"/>
              <w:bottom w:val="nil"/>
              <w:right w:val="nil"/>
            </w:tcBorders>
            <w:vAlign w:val="center"/>
          </w:tcPr>
          <w:p>
            <w:pPr>
              <w:widowControl/>
              <w:rPr>
                <w:color w:val="000000"/>
                <w:kern w:val="0"/>
              </w:rPr>
            </w:pPr>
            <w:r>
              <w:rPr>
                <w:rFonts w:hint="eastAsia" w:hAnsi="宋体"/>
                <w:szCs w:val="22"/>
              </w:rPr>
              <w:t>PDOP</w:t>
            </w:r>
          </w:p>
        </w:tc>
        <w:tc>
          <w:tcPr>
            <w:tcW w:w="3215" w:type="dxa"/>
            <w:tcBorders>
              <w:top w:val="nil"/>
              <w:left w:val="nil"/>
              <w:bottom w:val="nil"/>
              <w:right w:val="nil"/>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位置精度因子</w:t>
            </w:r>
          </w:p>
        </w:tc>
        <w:tc>
          <w:tcPr>
            <w:tcW w:w="3319" w:type="dxa"/>
            <w:tcBorders>
              <w:top w:val="nil"/>
              <w:left w:val="nil"/>
              <w:bottom w:val="nil"/>
              <w:right w:val="nil"/>
            </w:tcBorders>
            <w:vAlign w:val="center"/>
          </w:tcPr>
          <w:p>
            <w:pPr>
              <w:widowControl/>
              <w:jc w:val="left"/>
              <w:rPr>
                <w:color w:val="000000"/>
                <w:kern w:val="0"/>
              </w:rPr>
            </w:pPr>
            <w:r>
              <w:rPr>
                <w:rFonts w:hint="eastAsia" w:hAnsi="宋体"/>
                <w:szCs w:val="22"/>
              </w:rPr>
              <w:t>Positional Dilution Of Precision</w:t>
            </w:r>
          </w:p>
        </w:tc>
      </w:tr>
      <w:tr>
        <w:tblPrEx>
          <w:tblCellMar>
            <w:top w:w="0" w:type="dxa"/>
            <w:left w:w="108" w:type="dxa"/>
            <w:bottom w:w="0" w:type="dxa"/>
            <w:right w:w="108" w:type="dxa"/>
          </w:tblCellMar>
        </w:tblPrEx>
        <w:trPr>
          <w:trHeight w:val="270" w:hRule="atLeast"/>
          <w:jc w:val="center"/>
        </w:trPr>
        <w:tc>
          <w:tcPr>
            <w:tcW w:w="1150" w:type="dxa"/>
            <w:tcBorders>
              <w:top w:val="nil"/>
              <w:left w:val="nil"/>
              <w:bottom w:val="nil"/>
              <w:right w:val="nil"/>
            </w:tcBorders>
            <w:vAlign w:val="center"/>
          </w:tcPr>
          <w:p>
            <w:pPr>
              <w:widowControl/>
              <w:rPr>
                <w:color w:val="000000"/>
                <w:kern w:val="0"/>
              </w:rPr>
            </w:pPr>
            <w:r>
              <w:rPr>
                <w:rFonts w:hint="eastAsia"/>
                <w:color w:val="000000"/>
                <w:kern w:val="0"/>
              </w:rPr>
              <w:t>TTFF</w:t>
            </w:r>
          </w:p>
        </w:tc>
        <w:tc>
          <w:tcPr>
            <w:tcW w:w="3215" w:type="dxa"/>
            <w:tcBorders>
              <w:top w:val="nil"/>
              <w:left w:val="nil"/>
              <w:bottom w:val="nil"/>
              <w:right w:val="nil"/>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首次定位时间</w:t>
            </w:r>
          </w:p>
        </w:tc>
        <w:tc>
          <w:tcPr>
            <w:tcW w:w="3319" w:type="dxa"/>
            <w:tcBorders>
              <w:top w:val="nil"/>
              <w:left w:val="nil"/>
              <w:bottom w:val="nil"/>
              <w:right w:val="nil"/>
            </w:tcBorders>
            <w:vAlign w:val="center"/>
          </w:tcPr>
          <w:p>
            <w:pPr>
              <w:widowControl/>
              <w:jc w:val="left"/>
              <w:rPr>
                <w:color w:val="000000"/>
                <w:kern w:val="0"/>
              </w:rPr>
            </w:pPr>
            <w:r>
              <w:rPr>
                <w:rFonts w:hint="eastAsia"/>
                <w:color w:val="000000"/>
                <w:kern w:val="0"/>
              </w:rPr>
              <w:t>Time To First Fix</w:t>
            </w:r>
          </w:p>
        </w:tc>
      </w:tr>
    </w:tbl>
    <w:p>
      <w:pPr>
        <w:pStyle w:val="57"/>
        <w:ind w:firstLine="420"/>
      </w:pPr>
    </w:p>
    <w:bookmarkEnd w:id="25"/>
    <w:p>
      <w:pPr>
        <w:pStyle w:val="105"/>
        <w:spacing w:before="240" w:after="240"/>
        <w:rPr>
          <w:szCs w:val="21"/>
        </w:rPr>
      </w:pPr>
      <w:bookmarkStart w:id="74" w:name="_Toc2073398531"/>
      <w:bookmarkStart w:id="75" w:name="_Toc192187744"/>
      <w:bookmarkStart w:id="76" w:name="_Toc10176"/>
      <w:bookmarkStart w:id="77" w:name="_Toc236735591"/>
      <w:bookmarkStart w:id="78" w:name="_Toc1656685763"/>
      <w:bookmarkStart w:id="79" w:name="_Toc237425929"/>
      <w:r>
        <w:rPr>
          <w:rFonts w:hint="eastAsia"/>
          <w:szCs w:val="21"/>
        </w:rPr>
        <w:t>通用</w:t>
      </w:r>
      <w:r>
        <w:rPr>
          <w:szCs w:val="21"/>
        </w:rPr>
        <w:t>技术要求</w:t>
      </w:r>
      <w:bookmarkEnd w:id="74"/>
      <w:bookmarkEnd w:id="75"/>
      <w:bookmarkEnd w:id="76"/>
      <w:bookmarkEnd w:id="77"/>
      <w:bookmarkEnd w:id="78"/>
      <w:bookmarkEnd w:id="79"/>
    </w:p>
    <w:p>
      <w:pPr>
        <w:pStyle w:val="106"/>
        <w:spacing w:before="120" w:after="120"/>
      </w:pPr>
      <w:bookmarkStart w:id="80" w:name="_Toc237425930"/>
      <w:bookmarkStart w:id="81" w:name="_Toc236735592"/>
      <w:r>
        <w:rPr>
          <w:rFonts w:hint="eastAsia"/>
        </w:rPr>
        <w:t>外观及便携性要求</w:t>
      </w:r>
      <w:bookmarkEnd w:id="80"/>
      <w:bookmarkEnd w:id="81"/>
    </w:p>
    <w:p>
      <w:pPr>
        <w:pStyle w:val="236"/>
        <w:spacing w:before="120" w:after="120"/>
      </w:pPr>
      <w:bookmarkStart w:id="82" w:name="_Toc236735593"/>
      <w:r>
        <w:rPr>
          <w:rFonts w:hint="eastAsia"/>
        </w:rPr>
        <w:t>5.1.1 终端重量</w:t>
      </w:r>
      <w:bookmarkEnd w:id="82"/>
    </w:p>
    <w:p>
      <w:pPr>
        <w:pStyle w:val="231"/>
      </w:pPr>
      <w:r>
        <w:t>整机体积小巧轻量化，不增加运动员负重负担</w:t>
      </w:r>
      <w:r>
        <w:rPr>
          <w:rFonts w:hint="eastAsia"/>
        </w:rPr>
        <w:t>。</w:t>
      </w:r>
      <w:bookmarkStart w:id="83" w:name="OLE_LINK8"/>
      <w:r>
        <w:rPr>
          <w:rFonts w:hint="eastAsia"/>
        </w:rPr>
        <w:t>对于山地越野等户外运动场景</w:t>
      </w:r>
      <w:bookmarkEnd w:id="83"/>
      <w:r>
        <w:rPr>
          <w:rFonts w:hint="eastAsia"/>
        </w:rPr>
        <w:t>，</w:t>
      </w:r>
      <w:r>
        <w:t>设备整机</w:t>
      </w:r>
      <w:r>
        <w:rPr>
          <w:rFonts w:hint="eastAsia"/>
        </w:rPr>
        <w:t>（</w:t>
      </w:r>
      <w:r>
        <w:t>含配件</w:t>
      </w:r>
      <w:r>
        <w:rPr>
          <w:rFonts w:hint="eastAsia"/>
        </w:rPr>
        <w:t>）</w:t>
      </w:r>
      <w:r>
        <w:t>重量≤</w:t>
      </w:r>
      <w:r>
        <w:rPr>
          <w:rFonts w:hint="eastAsia"/>
        </w:rPr>
        <w:t>100</w:t>
      </w:r>
      <w:r>
        <w:t>g</w:t>
      </w:r>
      <w:r>
        <w:rPr>
          <w:rFonts w:hint="eastAsia"/>
        </w:rPr>
        <w:t>；对于水上</w:t>
      </w:r>
      <w:r>
        <w:t>及空中运动</w:t>
      </w:r>
      <w:r>
        <w:rPr>
          <w:rFonts w:hint="eastAsia"/>
        </w:rPr>
        <w:t>场景，</w:t>
      </w:r>
      <w:r>
        <w:t>设备整机</w:t>
      </w:r>
      <w:r>
        <w:rPr>
          <w:rFonts w:hint="eastAsia"/>
        </w:rPr>
        <w:t>（</w:t>
      </w:r>
      <w:r>
        <w:t>含配件</w:t>
      </w:r>
      <w:r>
        <w:rPr>
          <w:rFonts w:hint="eastAsia"/>
        </w:rPr>
        <w:t>）</w:t>
      </w:r>
      <w:r>
        <w:t>重量≤250g。</w:t>
      </w:r>
    </w:p>
    <w:p>
      <w:pPr>
        <w:pStyle w:val="236"/>
        <w:spacing w:before="120" w:after="120"/>
      </w:pPr>
      <w:bookmarkStart w:id="84" w:name="_Toc236735595"/>
      <w:r>
        <w:rPr>
          <w:rFonts w:hint="eastAsia"/>
        </w:rPr>
        <w:t xml:space="preserve">5.1.2 </w:t>
      </w:r>
      <w:r>
        <w:t>包装方式</w:t>
      </w:r>
      <w:bookmarkEnd w:id="84"/>
    </w:p>
    <w:p>
      <w:pPr>
        <w:pStyle w:val="231"/>
      </w:pPr>
      <w:r>
        <w:t>可快速收纳存放，赛后方便回收清点。</w:t>
      </w:r>
    </w:p>
    <w:p>
      <w:pPr>
        <w:pStyle w:val="236"/>
        <w:spacing w:before="120" w:after="120"/>
      </w:pPr>
      <w:bookmarkStart w:id="85" w:name="_Toc236735596"/>
      <w:r>
        <w:rPr>
          <w:rFonts w:hint="eastAsia"/>
        </w:rPr>
        <w:t xml:space="preserve">5.1.3 </w:t>
      </w:r>
      <w:r>
        <w:t>设备标识</w:t>
      </w:r>
      <w:bookmarkEnd w:id="85"/>
    </w:p>
    <w:p>
      <w:pPr>
        <w:pStyle w:val="231"/>
      </w:pPr>
      <w:r>
        <w:t>设备外表具有清晰、耐久唯一标识码，不易磨损</w:t>
      </w:r>
      <w:r>
        <w:rPr>
          <w:rFonts w:hint="eastAsia"/>
        </w:rPr>
        <w:t>，</w:t>
      </w:r>
      <w:r>
        <w:t>便于赛前发放、赛中更换、赛后回收，支持快速建立设备和运动员的绑定关系。</w:t>
      </w:r>
    </w:p>
    <w:p>
      <w:pPr>
        <w:pStyle w:val="106"/>
        <w:spacing w:before="120" w:after="120"/>
      </w:pPr>
      <w:bookmarkStart w:id="86" w:name="_Toc236735597"/>
      <w:bookmarkStart w:id="87" w:name="_Toc237425931"/>
      <w:r>
        <w:rPr>
          <w:rFonts w:hint="eastAsia"/>
        </w:rPr>
        <w:t>基本功能要求</w:t>
      </w:r>
      <w:bookmarkEnd w:id="86"/>
      <w:bookmarkEnd w:id="87"/>
    </w:p>
    <w:p>
      <w:pPr>
        <w:pStyle w:val="236"/>
        <w:spacing w:before="120" w:after="120"/>
      </w:pPr>
      <w:bookmarkStart w:id="88" w:name="_Toc236735598"/>
      <w:r>
        <w:rPr>
          <w:rFonts w:hint="eastAsia"/>
        </w:rPr>
        <w:t>5.2.1北斗定位功能</w:t>
      </w:r>
      <w:bookmarkEnd w:id="88"/>
    </w:p>
    <w:p>
      <w:pPr>
        <w:pStyle w:val="231"/>
      </w:pPr>
      <w:r>
        <w:t>终端应支持接收北斗三号卫星B1I和B1C信号，实时解算获取设备位置、速度和时间信息。终端宜支持接收北斗三号卫星B2a信号，利用B2a单频或者B1C/B2a双频信号解算位置、速度和时间信息。</w:t>
      </w:r>
    </w:p>
    <w:p>
      <w:pPr>
        <w:pStyle w:val="236"/>
        <w:spacing w:before="120" w:after="120"/>
      </w:pPr>
      <w:r>
        <w:t>5.2.2 北斗短报文通信功能</w:t>
      </w:r>
    </w:p>
    <w:p>
      <w:pPr>
        <w:pStyle w:val="237"/>
        <w:numPr>
          <w:ilvl w:val="4"/>
          <w:numId w:val="2"/>
        </w:numPr>
        <w:spacing w:before="120" w:after="120"/>
      </w:pPr>
      <w:r>
        <w:rPr>
          <w:rFonts w:hint="eastAsia"/>
        </w:rPr>
        <w:t>北斗短报文消息发送</w:t>
      </w:r>
    </w:p>
    <w:p>
      <w:pPr>
        <w:pStyle w:val="231"/>
      </w:pPr>
      <w:r>
        <w:t>终端应能通过北斗</w:t>
      </w:r>
      <w:r>
        <w:rPr>
          <w:rFonts w:hint="eastAsia"/>
        </w:rPr>
        <w:t>三号</w:t>
      </w:r>
      <w:r>
        <w:t>区域短报文信号</w:t>
      </w:r>
      <w:r>
        <w:rPr>
          <w:rFonts w:hint="eastAsia"/>
        </w:rPr>
        <w:t>向管理平台</w:t>
      </w:r>
      <w:r>
        <w:t>发送</w:t>
      </w:r>
      <w:r>
        <w:rPr>
          <w:rFonts w:hint="eastAsia"/>
        </w:rPr>
        <w:t>北斗短报文</w:t>
      </w:r>
      <w:r>
        <w:t>消息。</w:t>
      </w:r>
    </w:p>
    <w:p>
      <w:pPr>
        <w:pStyle w:val="237"/>
        <w:numPr>
          <w:ilvl w:val="4"/>
          <w:numId w:val="2"/>
        </w:numPr>
        <w:spacing w:before="120" w:after="120"/>
      </w:pPr>
      <w:r>
        <w:rPr>
          <w:rFonts w:hint="eastAsia"/>
        </w:rPr>
        <w:t>北斗短报文消息接收</w:t>
      </w:r>
    </w:p>
    <w:p>
      <w:pPr>
        <w:pStyle w:val="231"/>
      </w:pPr>
      <w:r>
        <w:rPr>
          <w:rFonts w:hint="eastAsia" w:hAnsi="宋体"/>
        </w:rPr>
        <w:t>终端设备应能支持在主动接收情况下，通过支持北斗短报文通信服务的北斗卫星，接收管理平台发送的北斗短报文消息。</w:t>
      </w:r>
    </w:p>
    <w:p>
      <w:pPr>
        <w:pStyle w:val="236"/>
        <w:spacing w:before="120" w:after="120"/>
      </w:pPr>
      <w:bookmarkStart w:id="89" w:name="_Toc236735600"/>
      <w:r>
        <w:rPr>
          <w:rFonts w:hint="eastAsia"/>
        </w:rPr>
        <w:t>5.2.3 身份认证鉴权</w:t>
      </w:r>
      <w:bookmarkEnd w:id="89"/>
    </w:p>
    <w:p>
      <w:pPr>
        <w:pStyle w:val="231"/>
      </w:pPr>
      <w:r>
        <w:rPr>
          <w:rFonts w:hint="eastAsia"/>
        </w:rPr>
        <w:t>终端应集成预置鉴权参数的北斗短报文通信身份认证模组，并通过该模组完成北斗短报文业务身份认证鉴权。</w:t>
      </w:r>
    </w:p>
    <w:p>
      <w:pPr>
        <w:pStyle w:val="236"/>
        <w:spacing w:before="120" w:after="120"/>
      </w:pPr>
      <w:bookmarkStart w:id="90" w:name="_Toc236735601"/>
      <w:r>
        <w:rPr>
          <w:rFonts w:hint="eastAsia"/>
        </w:rPr>
        <w:t>5.2.4 其他通信功能</w:t>
      </w:r>
      <w:bookmarkEnd w:id="90"/>
    </w:p>
    <w:p>
      <w:pPr>
        <w:pStyle w:val="231"/>
      </w:pPr>
      <w:r>
        <w:rPr>
          <w:rFonts w:hint="eastAsia"/>
        </w:rPr>
        <w:t>终端应支持地面蜂窝网4G或5G通信功能，在有4G/5G基站信号覆盖时使用地面通信网络，当无地面通信网络时，可自动切换到北斗短报文通信模式。</w:t>
      </w:r>
    </w:p>
    <w:p>
      <w:pPr>
        <w:pStyle w:val="236"/>
        <w:spacing w:before="120" w:after="120"/>
      </w:pPr>
      <w:bookmarkStart w:id="91" w:name="_Toc236735602"/>
      <w:r>
        <w:rPr>
          <w:rFonts w:hint="eastAsia"/>
        </w:rPr>
        <w:t xml:space="preserve">5.2.5 </w:t>
      </w:r>
      <w:r>
        <w:t>一键SOS报警</w:t>
      </w:r>
      <w:r>
        <w:rPr>
          <w:rFonts w:hint="eastAsia"/>
        </w:rPr>
        <w:t>功能</w:t>
      </w:r>
      <w:bookmarkEnd w:id="91"/>
    </w:p>
    <w:p>
      <w:pPr>
        <w:pStyle w:val="231"/>
        <w:rPr>
          <w:rFonts w:hint="eastAsia" w:hAnsi="宋体"/>
        </w:rPr>
      </w:pPr>
      <w:r>
        <w:rPr>
          <w:rFonts w:hint="eastAsia"/>
        </w:rPr>
        <w:t>终端应具备</w:t>
      </w:r>
      <w:r>
        <w:rPr>
          <w:rFonts w:hint="eastAsia" w:hAnsi="宋体"/>
        </w:rPr>
        <w:t>一键SOS报警按钮，通过该按钮触发报警后，终端应在120s内完成呼救，并</w:t>
      </w:r>
      <w:r>
        <w:rPr>
          <w:rFonts w:hAnsi="宋体"/>
        </w:rPr>
        <w:t>自动向平台同步精准北斗定位坐标、运动员编号、组别、求救时间等信息。</w:t>
      </w:r>
      <w:r>
        <w:rPr>
          <w:rFonts w:hint="eastAsia" w:hAnsi="宋体"/>
        </w:rPr>
        <w:t>该按钮</w:t>
      </w:r>
      <w:r>
        <w:rPr>
          <w:rFonts w:hAnsi="宋体"/>
        </w:rPr>
        <w:t>有防误触机制或设计，操作简单，支持单手操作。</w:t>
      </w:r>
    </w:p>
    <w:p>
      <w:pPr>
        <w:pStyle w:val="236"/>
        <w:spacing w:before="120" w:after="120"/>
      </w:pPr>
      <w:bookmarkStart w:id="92" w:name="_Toc236735603"/>
      <w:r>
        <w:rPr>
          <w:rFonts w:hint="eastAsia"/>
        </w:rPr>
        <w:t>5.2.6 自动感应报警功能</w:t>
      </w:r>
      <w:bookmarkEnd w:id="92"/>
    </w:p>
    <w:p>
      <w:pPr>
        <w:pStyle w:val="231"/>
      </w:pPr>
      <w:r>
        <w:rPr>
          <w:rFonts w:hint="eastAsia"/>
        </w:rPr>
        <w:t>对于水上运动场景，终端应支持落水感应自动触发SOS报警，触发后至少连续报警72小时。</w:t>
      </w:r>
    </w:p>
    <w:p>
      <w:pPr>
        <w:pStyle w:val="231"/>
      </w:pPr>
      <w:r>
        <w:rPr>
          <w:rFonts w:hint="eastAsia"/>
        </w:rPr>
        <w:t>对于空中运动场景，分三种情况进行自动预警或报警，提醒方式为语音播报：</w:t>
      </w:r>
    </w:p>
    <w:p>
      <w:pPr>
        <w:pStyle w:val="231"/>
      </w:pPr>
      <w:r>
        <w:rPr>
          <w:rFonts w:hint="eastAsia"/>
        </w:rPr>
        <w:t>（1）提醒级：当实时上升速度≥0.4m/s、下降速度≥1.6m/s、海拔≥3000米，满足任意一个条件时设备应语音提醒运动员控制速度；</w:t>
      </w:r>
    </w:p>
    <w:p>
      <w:pPr>
        <w:pStyle w:val="231"/>
      </w:pPr>
      <w:r>
        <w:rPr>
          <w:rFonts w:hint="eastAsia"/>
        </w:rPr>
        <w:t>（2）警告级：当上升速度≥5m/s时且持续时间≥10秒、或下降速度≥8m/s且持续时间≥8秒，或海拔超过4500米时，满足任意一个条件时设备应升级到警告模式；</w:t>
      </w:r>
    </w:p>
    <w:p>
      <w:pPr>
        <w:pStyle w:val="231"/>
      </w:pPr>
      <w:r>
        <w:rPr>
          <w:rFonts w:hint="eastAsia"/>
        </w:rPr>
        <w:t>（3）自动触发SOS报警：当上升速度≥8m/s时且持续时间≥30s，下降速度≥12m/s且持续时间≥15秒，或海拔超过5500米且持续超过30秒时，满足任意一个条件时设备立即自动触发SOS告警模式。</w:t>
      </w:r>
    </w:p>
    <w:p>
      <w:pPr>
        <w:pStyle w:val="236"/>
        <w:spacing w:before="120" w:after="120"/>
      </w:pPr>
      <w:bookmarkStart w:id="93" w:name="_Toc236735604"/>
      <w:r>
        <w:rPr>
          <w:rFonts w:hint="eastAsia"/>
        </w:rPr>
        <w:t>5.2.7 回执确认提示</w:t>
      </w:r>
      <w:bookmarkEnd w:id="93"/>
    </w:p>
    <w:p>
      <w:pPr>
        <w:pStyle w:val="231"/>
      </w:pPr>
      <w:r>
        <w:rPr>
          <w:rFonts w:hint="eastAsia"/>
        </w:rPr>
        <w:t>终端触发SOS报警后，收到平台确认回执时，应能通过声光信号提示确认求救信息送达，缓解运动员焦虑情绪。若超过等待时间后未收到平台确认回执，终端自动重发，直至收到平台确认回执，并进行声光提示。</w:t>
      </w:r>
    </w:p>
    <w:p>
      <w:pPr>
        <w:pStyle w:val="236"/>
        <w:spacing w:before="120" w:after="120"/>
      </w:pPr>
      <w:bookmarkStart w:id="94" w:name="_Toc236735605"/>
      <w:r>
        <w:rPr>
          <w:rFonts w:hint="eastAsia"/>
        </w:rPr>
        <w:t>5.2.8 消息接收等待时间</w:t>
      </w:r>
      <w:bookmarkEnd w:id="94"/>
    </w:p>
    <w:p>
      <w:pPr>
        <w:pStyle w:val="231"/>
      </w:pPr>
      <w:r>
        <w:rPr>
          <w:rFonts w:hint="eastAsia"/>
        </w:rPr>
        <w:t>终端进行北斗短报文接收时，等待时间应不小于10秒，等待期间应通过声光方式提示用户保持对星状态。</w:t>
      </w:r>
    </w:p>
    <w:p>
      <w:pPr>
        <w:pStyle w:val="236"/>
        <w:spacing w:before="120" w:after="120"/>
      </w:pPr>
      <w:bookmarkStart w:id="95" w:name="_Toc236735606"/>
      <w:bookmarkStart w:id="96" w:name="OLE_LINK4"/>
      <w:r>
        <w:rPr>
          <w:rFonts w:hint="eastAsia"/>
        </w:rPr>
        <w:t xml:space="preserve">5.2.9 </w:t>
      </w:r>
      <w:r>
        <w:t>位置上报</w:t>
      </w:r>
      <w:r>
        <w:rPr>
          <w:rFonts w:hint="eastAsia"/>
        </w:rPr>
        <w:t>功能</w:t>
      </w:r>
      <w:bookmarkEnd w:id="95"/>
    </w:p>
    <w:bookmarkEnd w:id="96"/>
    <w:p>
      <w:pPr>
        <w:pStyle w:val="231"/>
        <w:rPr>
          <w:rFonts w:hint="eastAsia" w:hAnsi="宋体"/>
        </w:rPr>
      </w:pPr>
      <w:r>
        <w:rPr>
          <w:rFonts w:hint="eastAsia" w:hAnsi="宋体"/>
        </w:rPr>
        <w:t>终端应能向管理平台或指定接收方发送连续位置报告或单次位置报告。</w:t>
      </w:r>
      <w:r>
        <w:rPr>
          <w:rFonts w:hint="eastAsia"/>
        </w:rPr>
        <w:t>终端</w:t>
      </w:r>
      <w:r>
        <w:rPr>
          <w:rFonts w:hAnsi="宋体"/>
        </w:rPr>
        <w:t>开机自动连接北斗卫星，</w:t>
      </w:r>
      <w:r>
        <w:rPr>
          <w:rFonts w:hint="eastAsia" w:hAnsi="宋体"/>
        </w:rPr>
        <w:t>60秒内完成自动上线，并</w:t>
      </w:r>
      <w:r>
        <w:rPr>
          <w:rFonts w:hAnsi="宋体"/>
        </w:rPr>
        <w:t>进入位置上报模式</w:t>
      </w:r>
      <w:r>
        <w:rPr>
          <w:rFonts w:hint="eastAsia" w:hAnsi="宋体"/>
        </w:rPr>
        <w:t>。</w:t>
      </w:r>
    </w:p>
    <w:p>
      <w:pPr>
        <w:pStyle w:val="236"/>
        <w:spacing w:before="120" w:after="120"/>
      </w:pPr>
      <w:bookmarkStart w:id="97" w:name="_Toc236735607"/>
      <w:r>
        <w:rPr>
          <w:rFonts w:hint="eastAsia"/>
        </w:rPr>
        <w:t xml:space="preserve">5.2.10 </w:t>
      </w:r>
      <w:r>
        <w:t>位置上报</w:t>
      </w:r>
      <w:r>
        <w:rPr>
          <w:rFonts w:hint="eastAsia"/>
        </w:rPr>
        <w:t>频度</w:t>
      </w:r>
      <w:bookmarkEnd w:id="97"/>
    </w:p>
    <w:p>
      <w:pPr>
        <w:pStyle w:val="231"/>
        <w:rPr>
          <w:rFonts w:hint="eastAsia" w:hAnsi="宋体"/>
        </w:rPr>
      </w:pPr>
      <w:r>
        <w:rPr>
          <w:rFonts w:hint="eastAsia"/>
        </w:rPr>
        <w:t>对于山地越野等户外运动场景</w:t>
      </w:r>
      <w:r>
        <w:rPr>
          <w:rFonts w:hint="eastAsia" w:hAnsi="宋体"/>
        </w:rPr>
        <w:t>，</w:t>
      </w:r>
      <w:r>
        <w:rPr>
          <w:rFonts w:hAnsi="宋体"/>
        </w:rPr>
        <w:t>常规模式下</w:t>
      </w:r>
      <w:r>
        <w:rPr>
          <w:rFonts w:hint="eastAsia" w:hAnsi="宋体"/>
        </w:rPr>
        <w:t>，终端支持</w:t>
      </w:r>
      <w:r>
        <w:rPr>
          <w:rFonts w:hAnsi="宋体"/>
        </w:rPr>
        <w:t xml:space="preserve"> 1分钟/次打点定位，5分钟/次回传定位信</w:t>
      </w:r>
      <w:r>
        <w:rPr>
          <w:rFonts w:hint="eastAsia" w:hAnsi="宋体"/>
        </w:rPr>
        <w:t>；</w:t>
      </w:r>
      <w:r>
        <w:rPr>
          <w:rFonts w:hAnsi="宋体"/>
        </w:rPr>
        <w:t>可根据赛事需求</w:t>
      </w:r>
      <w:r>
        <w:rPr>
          <w:rFonts w:hint="eastAsia" w:hAnsi="宋体"/>
        </w:rPr>
        <w:t>，通过本地或远程</w:t>
      </w:r>
      <w:r>
        <w:rPr>
          <w:rFonts w:hAnsi="宋体"/>
        </w:rPr>
        <w:t>配置打点定位频度和回传频度。</w:t>
      </w:r>
    </w:p>
    <w:p>
      <w:pPr>
        <w:pStyle w:val="231"/>
        <w:rPr>
          <w:rFonts w:hint="eastAsia" w:hAnsi="宋体"/>
        </w:rPr>
      </w:pPr>
      <w:r>
        <w:rPr>
          <w:rFonts w:hint="eastAsia" w:hAnsi="宋体"/>
        </w:rPr>
        <w:t>对于水上运动场景，</w:t>
      </w:r>
      <w:r>
        <w:rPr>
          <w:rFonts w:hAnsi="宋体"/>
        </w:rPr>
        <w:t>常规模式下，终端支持 1分钟/次打点定位，5分钟/次回传定位信；可根据赛事需求，通过本地或远程配置打点定位频度和回传频度。</w:t>
      </w:r>
    </w:p>
    <w:p>
      <w:pPr>
        <w:pStyle w:val="231"/>
        <w:rPr>
          <w:rFonts w:hint="eastAsia" w:hAnsi="宋体"/>
        </w:rPr>
      </w:pPr>
      <w:r>
        <w:rPr>
          <w:rFonts w:hint="eastAsia" w:hAnsi="宋体"/>
        </w:rPr>
        <w:t>对于空中运动场景，常规模式下，支持持续每秒实时监控定位状态，5秒/次打点定位，2分钟/次回传定位信息，可根据赛事需求配置打点定位频度和回传频度。</w:t>
      </w:r>
    </w:p>
    <w:p>
      <w:pPr>
        <w:pStyle w:val="236"/>
        <w:spacing w:before="120" w:after="120"/>
      </w:pPr>
      <w:bookmarkStart w:id="98" w:name="_Toc236735608"/>
      <w:r>
        <w:rPr>
          <w:rFonts w:hint="eastAsia"/>
        </w:rPr>
        <w:t>5.2.11 轨迹存储功能</w:t>
      </w:r>
      <w:bookmarkEnd w:id="98"/>
    </w:p>
    <w:p>
      <w:pPr>
        <w:pStyle w:val="231"/>
      </w:pPr>
      <w:r>
        <w:rPr>
          <w:rFonts w:hint="eastAsia"/>
        </w:rPr>
        <w:t>终端应支持离线轨迹存储。通信信号丢失时，终端支持本地缓存定位数据（离线存储空间不低于1000条位置），恢复信号后自动补传。</w:t>
      </w:r>
    </w:p>
    <w:p>
      <w:pPr>
        <w:pStyle w:val="236"/>
        <w:spacing w:before="120" w:after="120"/>
      </w:pPr>
      <w:bookmarkStart w:id="99" w:name="_Toc236735609"/>
      <w:r>
        <w:rPr>
          <w:rFonts w:hint="eastAsia"/>
        </w:rPr>
        <w:t>5.2.12 平台消息接收播报功能</w:t>
      </w:r>
      <w:bookmarkEnd w:id="99"/>
    </w:p>
    <w:p>
      <w:pPr>
        <w:pStyle w:val="231"/>
      </w:pPr>
      <w:r>
        <w:rPr>
          <w:rFonts w:hint="eastAsia"/>
        </w:rPr>
        <w:t>终端收到平台应急消息后应能自动进行播报，并有重读机制或重播按键。终端成功接收平台应急消息后，应能反馈通信回执至平台。</w:t>
      </w:r>
    </w:p>
    <w:p>
      <w:pPr>
        <w:pStyle w:val="236"/>
        <w:spacing w:before="120" w:after="120"/>
      </w:pPr>
      <w:bookmarkStart w:id="100" w:name="_Toc236735610"/>
      <w:r>
        <w:rPr>
          <w:rFonts w:hint="eastAsia"/>
        </w:rPr>
        <w:t>5.2.13 参数动态配置功能</w:t>
      </w:r>
      <w:bookmarkEnd w:id="100"/>
    </w:p>
    <w:p>
      <w:pPr>
        <w:pStyle w:val="231"/>
      </w:pPr>
      <w:r>
        <w:rPr>
          <w:rFonts w:hint="eastAsia"/>
        </w:rPr>
        <w:t>终端应具备业务参数动态配置功能，支持调整北斗短报文发射功率、发射频点等配置信息。</w:t>
      </w:r>
    </w:p>
    <w:p>
      <w:pPr>
        <w:pStyle w:val="106"/>
        <w:spacing w:before="120" w:after="120"/>
      </w:pPr>
      <w:bookmarkStart w:id="101" w:name="_Toc237425932"/>
      <w:bookmarkStart w:id="102" w:name="_Toc192187753"/>
      <w:bookmarkStart w:id="103" w:name="_Toc22797"/>
      <w:bookmarkStart w:id="104" w:name="_Toc236735611"/>
      <w:r>
        <w:rPr>
          <w:rFonts w:hint="eastAsia"/>
        </w:rPr>
        <w:t>基本性能要求</w:t>
      </w:r>
      <w:bookmarkEnd w:id="101"/>
      <w:bookmarkEnd w:id="102"/>
      <w:bookmarkEnd w:id="103"/>
      <w:bookmarkEnd w:id="104"/>
    </w:p>
    <w:p>
      <w:pPr>
        <w:pStyle w:val="245"/>
        <w:numPr>
          <w:ilvl w:val="0"/>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p>
    <w:p>
      <w:pPr>
        <w:pStyle w:val="245"/>
        <w:numPr>
          <w:ilvl w:val="0"/>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p>
    <w:p>
      <w:pPr>
        <w:pStyle w:val="245"/>
        <w:numPr>
          <w:ilvl w:val="1"/>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bookmarkStart w:id="105" w:name="_Toc236336517"/>
      <w:bookmarkEnd w:id="105"/>
      <w:bookmarkStart w:id="106" w:name="_Toc236735612"/>
      <w:bookmarkEnd w:id="106"/>
    </w:p>
    <w:p>
      <w:pPr>
        <w:pStyle w:val="245"/>
        <w:numPr>
          <w:ilvl w:val="1"/>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bookmarkStart w:id="107" w:name="_Toc236735613"/>
      <w:bookmarkEnd w:id="107"/>
      <w:bookmarkStart w:id="108" w:name="_Toc236336518"/>
      <w:bookmarkEnd w:id="108"/>
    </w:p>
    <w:p>
      <w:pPr>
        <w:pStyle w:val="245"/>
        <w:numPr>
          <w:ilvl w:val="1"/>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bookmarkStart w:id="109" w:name="_Toc236336519"/>
      <w:bookmarkEnd w:id="109"/>
      <w:bookmarkStart w:id="110" w:name="_Toc236735614"/>
      <w:bookmarkEnd w:id="110"/>
    </w:p>
    <w:p>
      <w:pPr>
        <w:pStyle w:val="245"/>
        <w:numPr>
          <w:ilvl w:val="1"/>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bookmarkStart w:id="111" w:name="_Toc236336520"/>
      <w:bookmarkEnd w:id="111"/>
      <w:bookmarkStart w:id="112" w:name="_Toc236735615"/>
      <w:bookmarkEnd w:id="112"/>
    </w:p>
    <w:p>
      <w:pPr>
        <w:pStyle w:val="245"/>
        <w:numPr>
          <w:ilvl w:val="2"/>
          <w:numId w:val="33"/>
        </w:numPr>
        <w:adjustRightInd/>
        <w:spacing w:before="120" w:beforeLines="50" w:after="120" w:afterLines="50" w:line="360" w:lineRule="auto"/>
        <w:ind w:firstLineChars="0"/>
        <w:jc w:val="left"/>
        <w:outlineLvl w:val="2"/>
        <w:rPr>
          <w:rFonts w:ascii="黑体" w:hAnsi="Times New Roman" w:eastAsia="黑体"/>
          <w:vanish/>
          <w:kern w:val="0"/>
          <w:szCs w:val="20"/>
        </w:rPr>
      </w:pPr>
      <w:bookmarkStart w:id="113" w:name="_Toc236735616"/>
      <w:bookmarkEnd w:id="113"/>
    </w:p>
    <w:p>
      <w:pPr>
        <w:pStyle w:val="245"/>
        <w:keepNext/>
        <w:keepLines/>
        <w:numPr>
          <w:ilvl w:val="1"/>
          <w:numId w:val="0"/>
        </w:numPr>
        <w:spacing w:before="120" w:after="120" w:line="360" w:lineRule="auto"/>
        <w:ind w:left="576" w:hanging="576"/>
        <w:jc w:val="left"/>
        <w:outlineLvl w:val="1"/>
        <w:rPr>
          <w:rFonts w:hint="eastAsia" w:ascii="黑体" w:hAnsi="黑体" w:eastAsia="黑体"/>
          <w:vanish/>
          <w:sz w:val="28"/>
          <w:szCs w:val="28"/>
        </w:rPr>
      </w:pPr>
      <w:bookmarkStart w:id="114" w:name="_Toc192187754"/>
      <w:bookmarkEnd w:id="114"/>
      <w:bookmarkStart w:id="115" w:name="_Toc192171038"/>
      <w:bookmarkEnd w:id="115"/>
    </w:p>
    <w:p>
      <w:pPr>
        <w:pStyle w:val="236"/>
        <w:numPr>
          <w:ilvl w:val="0"/>
          <w:numId w:val="33"/>
        </w:numPr>
        <w:spacing w:before="120" w:after="120"/>
      </w:pPr>
      <w:bookmarkStart w:id="116" w:name="_Toc236735617"/>
      <w:r>
        <w:rPr>
          <w:rFonts w:hint="eastAsia"/>
        </w:rPr>
        <w:t>5.3.1 北斗定位性能</w:t>
      </w:r>
      <w:bookmarkEnd w:id="116"/>
    </w:p>
    <w:p>
      <w:pPr>
        <w:pStyle w:val="245"/>
        <w:widowControl/>
        <w:numPr>
          <w:ilvl w:val="2"/>
          <w:numId w:val="34"/>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17" w:name="_Toc236735618"/>
      <w:bookmarkEnd w:id="117"/>
    </w:p>
    <w:p>
      <w:pPr>
        <w:pStyle w:val="245"/>
        <w:widowControl/>
        <w:numPr>
          <w:ilvl w:val="3"/>
          <w:numId w:val="34"/>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18" w:name="_Toc236336524"/>
      <w:bookmarkEnd w:id="118"/>
      <w:bookmarkStart w:id="119" w:name="_Toc236735619"/>
      <w:bookmarkEnd w:id="119"/>
    </w:p>
    <w:p>
      <w:pPr>
        <w:pStyle w:val="237"/>
        <w:numPr>
          <w:ilvl w:val="4"/>
          <w:numId w:val="2"/>
        </w:numPr>
        <w:spacing w:before="120" w:after="120"/>
      </w:pPr>
      <w:bookmarkStart w:id="120" w:name="_Toc236735620"/>
      <w:r>
        <w:rPr>
          <w:rFonts w:hint="eastAsia"/>
        </w:rPr>
        <w:t>工作频段</w:t>
      </w:r>
      <w:bookmarkEnd w:id="120"/>
    </w:p>
    <w:p>
      <w:pPr>
        <w:pStyle w:val="244"/>
        <w:spacing w:line="360" w:lineRule="auto"/>
        <w:ind w:left="420" w:firstLine="0" w:firstLineChars="0"/>
        <w:jc w:val="left"/>
      </w:pPr>
      <w:r>
        <w:rPr>
          <w:rFonts w:hint="eastAsia"/>
        </w:rPr>
        <w:t>终端北斗定位功能应支持B1I和B1C频段：</w:t>
      </w:r>
    </w:p>
    <w:p>
      <w:pPr>
        <w:pStyle w:val="244"/>
        <w:numPr>
          <w:ilvl w:val="0"/>
          <w:numId w:val="35"/>
        </w:numPr>
        <w:spacing w:line="360" w:lineRule="auto"/>
        <w:ind w:firstLine="420"/>
        <w:jc w:val="left"/>
      </w:pPr>
      <w:r>
        <w:rPr>
          <w:rFonts w:hint="eastAsia"/>
        </w:rPr>
        <w:t>BDS B1I：1561.098 MHz±2.046 MHz；</w:t>
      </w:r>
    </w:p>
    <w:p>
      <w:pPr>
        <w:pStyle w:val="244"/>
        <w:numPr>
          <w:ilvl w:val="0"/>
          <w:numId w:val="35"/>
        </w:numPr>
        <w:spacing w:line="360" w:lineRule="auto"/>
        <w:ind w:firstLine="420"/>
        <w:jc w:val="left"/>
      </w:pPr>
      <w:r>
        <w:rPr>
          <w:rFonts w:hint="eastAsia"/>
        </w:rPr>
        <w:t>BDS B1C：1575.42 MHz±16.368 MHz。</w:t>
      </w:r>
    </w:p>
    <w:p>
      <w:pPr>
        <w:pStyle w:val="244"/>
        <w:spacing w:line="360" w:lineRule="auto"/>
        <w:ind w:left="420" w:firstLine="0" w:firstLineChars="0"/>
        <w:jc w:val="left"/>
      </w:pPr>
      <w:r>
        <w:rPr>
          <w:rFonts w:hint="eastAsia"/>
        </w:rPr>
        <w:t>终端宜支持B2a信号频段：</w:t>
      </w:r>
    </w:p>
    <w:p>
      <w:pPr>
        <w:pStyle w:val="244"/>
        <w:spacing w:line="360" w:lineRule="auto"/>
        <w:ind w:firstLine="420"/>
        <w:jc w:val="left"/>
      </w:pPr>
      <w:r>
        <w:rPr>
          <w:rFonts w:hint="eastAsia"/>
        </w:rPr>
        <w:t>BDS B2a：1176.45 MHz±10.23 MHz。</w:t>
      </w:r>
    </w:p>
    <w:p>
      <w:pPr>
        <w:pStyle w:val="237"/>
        <w:numPr>
          <w:ilvl w:val="4"/>
          <w:numId w:val="2"/>
        </w:numPr>
        <w:spacing w:before="120" w:after="120"/>
      </w:pPr>
      <w:bookmarkStart w:id="121" w:name="_Toc236735621"/>
      <w:r>
        <w:rPr>
          <w:rFonts w:hint="eastAsia"/>
        </w:rPr>
        <w:t>定位精度</w:t>
      </w:r>
      <w:bookmarkEnd w:id="121"/>
    </w:p>
    <w:p>
      <w:pPr>
        <w:pStyle w:val="244"/>
        <w:ind w:left="420" w:firstLine="0" w:firstLineChars="0"/>
      </w:pPr>
      <w:r>
        <w:rPr>
          <w:rFonts w:hint="eastAsia"/>
        </w:rPr>
        <w:t>终端应满足在PDOP≤4的条件下，水平精度应优于3m（95%），垂直精度应优于5m（95%）。</w:t>
      </w:r>
    </w:p>
    <w:p>
      <w:pPr>
        <w:pStyle w:val="237"/>
        <w:numPr>
          <w:ilvl w:val="4"/>
          <w:numId w:val="2"/>
        </w:numPr>
        <w:spacing w:before="120" w:after="120"/>
      </w:pPr>
      <w:bookmarkStart w:id="122" w:name="_Toc236735622"/>
      <w:r>
        <w:rPr>
          <w:rFonts w:hint="eastAsia"/>
        </w:rPr>
        <w:t>测速精度</w:t>
      </w:r>
      <w:bookmarkEnd w:id="122"/>
    </w:p>
    <w:p>
      <w:pPr>
        <w:pStyle w:val="57"/>
        <w:spacing w:line="360" w:lineRule="auto"/>
        <w:ind w:firstLine="420"/>
        <w:jc w:val="left"/>
      </w:pPr>
      <w:r>
        <w:rPr>
          <w:rFonts w:hint="eastAsia"/>
        </w:rPr>
        <w:t>终端</w:t>
      </w:r>
      <w:r>
        <w:t>测速精度优于0.1m/s（95%）。</w:t>
      </w:r>
    </w:p>
    <w:p>
      <w:pPr>
        <w:pStyle w:val="237"/>
        <w:numPr>
          <w:ilvl w:val="4"/>
          <w:numId w:val="2"/>
        </w:numPr>
        <w:spacing w:before="120" w:after="120"/>
      </w:pPr>
      <w:bookmarkStart w:id="123" w:name="_Toc236735623"/>
      <w:r>
        <w:rPr>
          <w:rFonts w:hint="eastAsia"/>
        </w:rPr>
        <w:t>首次定位时间</w:t>
      </w:r>
      <w:bookmarkEnd w:id="123"/>
    </w:p>
    <w:p>
      <w:pPr>
        <w:pStyle w:val="244"/>
        <w:ind w:left="420" w:firstLine="0" w:firstLineChars="0"/>
      </w:pPr>
      <w:r>
        <w:rPr>
          <w:rFonts w:hint="eastAsia"/>
        </w:rPr>
        <w:t>北斗卫星导航信号-127dBm的条件下，终端冷启动定位时间</w:t>
      </w:r>
      <w:r>
        <w:t>≤</w:t>
      </w:r>
      <w:r>
        <w:rPr>
          <w:rFonts w:hint="eastAsia"/>
        </w:rPr>
        <w:t>6</w:t>
      </w:r>
      <w:r>
        <w:t>0s</w:t>
      </w:r>
      <w:r>
        <w:rPr>
          <w:rFonts w:hint="eastAsia"/>
        </w:rPr>
        <w:t>；</w:t>
      </w:r>
      <w:r>
        <w:t>热启动</w:t>
      </w:r>
      <w:r>
        <w:rPr>
          <w:rFonts w:hint="eastAsia"/>
        </w:rPr>
        <w:t>定位时间</w:t>
      </w:r>
      <w:r>
        <w:t>≤5s；关机5h后重新启动机器并测量获得冷启动首次定位时间;关机5 min内重新启动机器并测量获得热启动首次定位时间。</w:t>
      </w:r>
    </w:p>
    <w:p>
      <w:pPr>
        <w:pStyle w:val="237"/>
        <w:numPr>
          <w:ilvl w:val="4"/>
          <w:numId w:val="2"/>
        </w:numPr>
        <w:spacing w:before="120" w:after="120"/>
      </w:pPr>
      <w:bookmarkStart w:id="124" w:name="_Toc236735624"/>
      <w:r>
        <w:rPr>
          <w:rFonts w:hint="eastAsia"/>
        </w:rPr>
        <w:t>捕获灵敏度</w:t>
      </w:r>
      <w:bookmarkEnd w:id="124"/>
    </w:p>
    <w:p>
      <w:pPr>
        <w:pStyle w:val="57"/>
        <w:spacing w:line="360" w:lineRule="auto"/>
        <w:ind w:firstLine="420"/>
        <w:jc w:val="left"/>
        <w:rPr>
          <w:rFonts w:hint="eastAsia" w:hAnsi="宋体"/>
          <w:bCs/>
          <w:szCs w:val="21"/>
        </w:rPr>
      </w:pPr>
      <w:r>
        <w:rPr>
          <w:rFonts w:hint="eastAsia" w:hAnsi="黑体"/>
        </w:rPr>
        <w:t>终端捕获灵敏度</w:t>
      </w:r>
      <w:r>
        <w:rPr>
          <w:rFonts w:hAnsi="黑体"/>
        </w:rPr>
        <w:t>≤</w:t>
      </w:r>
      <w:r>
        <w:rPr>
          <w:rFonts w:hint="eastAsia" w:hAnsi="黑体"/>
        </w:rPr>
        <w:t>-</w:t>
      </w:r>
      <w:r>
        <w:rPr>
          <w:rFonts w:hAnsi="黑体"/>
        </w:rPr>
        <w:t>133dBm</w:t>
      </w:r>
      <w:r>
        <w:rPr>
          <w:rFonts w:hint="eastAsia" w:hAnsi="宋体"/>
          <w:bCs/>
          <w:szCs w:val="21"/>
        </w:rPr>
        <w:t>。</w:t>
      </w:r>
    </w:p>
    <w:p>
      <w:pPr>
        <w:pStyle w:val="237"/>
        <w:numPr>
          <w:ilvl w:val="4"/>
          <w:numId w:val="2"/>
        </w:numPr>
        <w:spacing w:before="120" w:after="120"/>
      </w:pPr>
      <w:bookmarkStart w:id="125" w:name="_Toc236735625"/>
      <w:r>
        <w:rPr>
          <w:rFonts w:hint="eastAsia"/>
        </w:rPr>
        <w:t>跟踪灵敏度</w:t>
      </w:r>
      <w:bookmarkEnd w:id="125"/>
    </w:p>
    <w:p>
      <w:pPr>
        <w:pStyle w:val="57"/>
        <w:spacing w:line="360" w:lineRule="auto"/>
        <w:ind w:firstLine="420"/>
        <w:jc w:val="left"/>
        <w:rPr>
          <w:rFonts w:hint="eastAsia" w:hAnsi="黑体"/>
        </w:rPr>
      </w:pPr>
      <w:r>
        <w:rPr>
          <w:rFonts w:hint="eastAsia" w:hAnsi="黑体"/>
        </w:rPr>
        <w:t>终端跟踪灵敏度</w:t>
      </w:r>
      <w:r>
        <w:rPr>
          <w:rFonts w:hAnsi="黑体"/>
        </w:rPr>
        <w:t>≤</w:t>
      </w:r>
      <w:r>
        <w:rPr>
          <w:rFonts w:hint="eastAsia" w:hAnsi="黑体"/>
        </w:rPr>
        <w:t>-</w:t>
      </w:r>
      <w:r>
        <w:rPr>
          <w:rFonts w:hAnsi="黑体"/>
        </w:rPr>
        <w:t>1</w:t>
      </w:r>
      <w:r>
        <w:rPr>
          <w:rFonts w:hint="eastAsia" w:hAnsi="黑体"/>
        </w:rPr>
        <w:t>40</w:t>
      </w:r>
      <w:r>
        <w:rPr>
          <w:rFonts w:hAnsi="黑体"/>
        </w:rPr>
        <w:t>dBm</w:t>
      </w:r>
      <w:r>
        <w:rPr>
          <w:rFonts w:hint="eastAsia" w:hAnsi="宋体"/>
          <w:bCs/>
          <w:szCs w:val="21"/>
        </w:rPr>
        <w:t>。</w:t>
      </w:r>
    </w:p>
    <w:p>
      <w:pPr>
        <w:pStyle w:val="237"/>
        <w:numPr>
          <w:ilvl w:val="4"/>
          <w:numId w:val="2"/>
        </w:numPr>
        <w:spacing w:before="120" w:after="120"/>
      </w:pPr>
      <w:bookmarkStart w:id="126" w:name="_Toc236735626"/>
      <w:r>
        <w:t>信号重捕获时间</w:t>
      </w:r>
      <w:bookmarkEnd w:id="126"/>
      <w:r>
        <w:t xml:space="preserve"> </w:t>
      </w:r>
    </w:p>
    <w:p>
      <w:pPr>
        <w:pStyle w:val="57"/>
        <w:spacing w:line="360" w:lineRule="auto"/>
        <w:ind w:firstLine="420"/>
        <w:jc w:val="left"/>
        <w:rPr>
          <w:rFonts w:hint="eastAsia" w:hAnsi="黑体"/>
        </w:rPr>
      </w:pPr>
      <w:r>
        <w:rPr>
          <w:rFonts w:hAnsi="黑体"/>
        </w:rPr>
        <w:t xml:space="preserve"> </w:t>
      </w:r>
      <w:r>
        <w:rPr>
          <w:rFonts w:hint="eastAsia" w:hAnsi="黑体"/>
        </w:rPr>
        <w:t>斗卫星导航</w:t>
      </w:r>
      <w:r>
        <w:rPr>
          <w:rFonts w:hAnsi="黑体"/>
        </w:rPr>
        <w:t>信号重捕获时间≤1s</w:t>
      </w:r>
      <w:r>
        <w:rPr>
          <w:rFonts w:hint="eastAsia" w:hAnsi="黑体"/>
        </w:rPr>
        <w:t>。</w:t>
      </w:r>
    </w:p>
    <w:p>
      <w:pPr>
        <w:pStyle w:val="236"/>
        <w:numPr>
          <w:ilvl w:val="0"/>
          <w:numId w:val="33"/>
        </w:numPr>
        <w:spacing w:before="120" w:after="120"/>
      </w:pPr>
      <w:bookmarkStart w:id="127" w:name="_Toc236735627"/>
      <w:r>
        <w:rPr>
          <w:rFonts w:hint="eastAsia"/>
        </w:rPr>
        <w:t>5.3.2 北斗短报文通信性能</w:t>
      </w:r>
      <w:bookmarkEnd w:id="127"/>
    </w:p>
    <w:p>
      <w:pPr>
        <w:pStyle w:val="245"/>
        <w:widowControl/>
        <w:numPr>
          <w:ilvl w:val="0"/>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p>
    <w:p>
      <w:pPr>
        <w:pStyle w:val="245"/>
        <w:widowControl/>
        <w:numPr>
          <w:ilvl w:val="0"/>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p>
    <w:p>
      <w:pPr>
        <w:pStyle w:val="245"/>
        <w:widowControl/>
        <w:numPr>
          <w:ilvl w:val="0"/>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p>
    <w:p>
      <w:pPr>
        <w:pStyle w:val="245"/>
        <w:widowControl/>
        <w:numPr>
          <w:ilvl w:val="1"/>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28" w:name="_Toc236336533"/>
      <w:bookmarkEnd w:id="128"/>
      <w:bookmarkStart w:id="129" w:name="_Toc236735628"/>
      <w:bookmarkEnd w:id="129"/>
    </w:p>
    <w:p>
      <w:pPr>
        <w:pStyle w:val="245"/>
        <w:widowControl/>
        <w:numPr>
          <w:ilvl w:val="1"/>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0" w:name="_Toc236735629"/>
      <w:bookmarkEnd w:id="130"/>
      <w:bookmarkStart w:id="131" w:name="_Toc236336534"/>
      <w:bookmarkEnd w:id="131"/>
    </w:p>
    <w:p>
      <w:pPr>
        <w:pStyle w:val="245"/>
        <w:widowControl/>
        <w:numPr>
          <w:ilvl w:val="2"/>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2" w:name="_Toc236735630"/>
      <w:bookmarkEnd w:id="132"/>
    </w:p>
    <w:p>
      <w:pPr>
        <w:pStyle w:val="245"/>
        <w:widowControl/>
        <w:numPr>
          <w:ilvl w:val="2"/>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3" w:name="_Toc236735631"/>
      <w:bookmarkEnd w:id="133"/>
    </w:p>
    <w:p>
      <w:pPr>
        <w:pStyle w:val="245"/>
        <w:widowControl/>
        <w:numPr>
          <w:ilvl w:val="2"/>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4" w:name="_Toc236735632"/>
      <w:bookmarkEnd w:id="134"/>
    </w:p>
    <w:p>
      <w:pPr>
        <w:pStyle w:val="245"/>
        <w:widowControl/>
        <w:numPr>
          <w:ilvl w:val="3"/>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5" w:name="_Toc236735633"/>
      <w:bookmarkEnd w:id="135"/>
      <w:bookmarkStart w:id="136" w:name="_Toc236336538"/>
      <w:bookmarkEnd w:id="136"/>
    </w:p>
    <w:p>
      <w:pPr>
        <w:pStyle w:val="245"/>
        <w:widowControl/>
        <w:numPr>
          <w:ilvl w:val="3"/>
          <w:numId w:val="36"/>
        </w:numPr>
        <w:adjustRightInd/>
        <w:spacing w:before="120" w:beforeLines="50" w:after="120" w:afterLines="50" w:line="360" w:lineRule="auto"/>
        <w:ind w:firstLineChars="0"/>
        <w:jc w:val="left"/>
        <w:outlineLvl w:val="3"/>
        <w:rPr>
          <w:rFonts w:hint="eastAsia" w:ascii="黑体" w:hAnsi="黑体" w:eastAsia="黑体"/>
          <w:vanish/>
          <w:kern w:val="0"/>
          <w:szCs w:val="20"/>
        </w:rPr>
      </w:pPr>
      <w:bookmarkStart w:id="137" w:name="_Toc236336539"/>
      <w:bookmarkEnd w:id="137"/>
      <w:bookmarkStart w:id="138" w:name="_Toc236735634"/>
      <w:bookmarkEnd w:id="138"/>
    </w:p>
    <w:p>
      <w:pPr>
        <w:pStyle w:val="237"/>
        <w:spacing w:before="120" w:after="120"/>
      </w:pPr>
      <w:bookmarkStart w:id="139" w:name="_Toc236735635"/>
      <w:r>
        <w:rPr>
          <w:rFonts w:hint="eastAsia"/>
        </w:rPr>
        <w:t>5.3.</w:t>
      </w:r>
      <w:bookmarkEnd w:id="139"/>
      <w:r>
        <w:rPr>
          <w:rFonts w:hint="eastAsia"/>
        </w:rPr>
        <w:t xml:space="preserve">2.1 </w:t>
      </w:r>
      <w:r>
        <w:t>业务频段</w:t>
      </w:r>
    </w:p>
    <w:p>
      <w:pPr>
        <w:pStyle w:val="57"/>
        <w:spacing w:line="360" w:lineRule="auto"/>
        <w:ind w:firstLine="420"/>
        <w:jc w:val="left"/>
      </w:pPr>
      <w:r>
        <w:t>终端使用频段应符合国家无线电管理等部门的相关规定。</w:t>
      </w:r>
    </w:p>
    <w:p>
      <w:pPr>
        <w:pStyle w:val="57"/>
        <w:spacing w:line="360" w:lineRule="auto"/>
        <w:ind w:firstLine="420"/>
        <w:jc w:val="left"/>
      </w:pPr>
      <w:r>
        <w:t>应支持上行频段：1610MHz-1626.5MHz，中心频点包括： 1614.26 MHz、1618.34 MHz。</w:t>
      </w:r>
    </w:p>
    <w:p>
      <w:pPr>
        <w:pStyle w:val="57"/>
        <w:spacing w:line="360" w:lineRule="auto"/>
        <w:ind w:firstLine="420"/>
        <w:jc w:val="left"/>
      </w:pPr>
      <w:r>
        <w:t>应支持下行频段：2483.5MHz-2500MHz。</w:t>
      </w:r>
    </w:p>
    <w:p>
      <w:pPr>
        <w:pStyle w:val="237"/>
        <w:spacing w:before="120" w:after="120"/>
      </w:pPr>
      <w:bookmarkStart w:id="140" w:name="_Toc192187755"/>
      <w:bookmarkEnd w:id="140"/>
      <w:bookmarkStart w:id="141" w:name="_Toc192171039"/>
      <w:bookmarkEnd w:id="141"/>
      <w:bookmarkStart w:id="142" w:name="_Ref164348669"/>
      <w:r>
        <w:rPr>
          <w:rFonts w:hint="eastAsia"/>
        </w:rPr>
        <w:t xml:space="preserve">5.3.2.2 </w:t>
      </w:r>
      <w:bookmarkStart w:id="143" w:name="_Toc236735636"/>
      <w:r>
        <w:t>等效全向辐射功率限值</w:t>
      </w:r>
      <w:bookmarkEnd w:id="143"/>
    </w:p>
    <w:bookmarkEnd w:id="142"/>
    <w:p>
      <w:pPr>
        <w:pStyle w:val="57"/>
        <w:spacing w:line="360" w:lineRule="auto"/>
        <w:ind w:firstLine="420"/>
        <w:jc w:val="left"/>
      </w:pPr>
      <w:bookmarkStart w:id="144" w:name="_Toc192187756"/>
      <w:bookmarkEnd w:id="144"/>
      <w:bookmarkStart w:id="145" w:name="_Toc192171040"/>
      <w:bookmarkEnd w:id="145"/>
      <w:r>
        <w:rPr>
          <w:rFonts w:hint="eastAsia"/>
        </w:rPr>
        <w:t>终端发射信号EIRP应不大于36</w:t>
      </w:r>
      <w:r>
        <w:t>dB</w:t>
      </w:r>
      <w:r>
        <w:rPr>
          <w:rFonts w:hint="eastAsia"/>
        </w:rPr>
        <w:t>m。</w:t>
      </w:r>
    </w:p>
    <w:p>
      <w:pPr>
        <w:pStyle w:val="237"/>
        <w:spacing w:before="120" w:after="120"/>
      </w:pPr>
      <w:bookmarkStart w:id="146" w:name="OLE_LINK2"/>
      <w:r>
        <w:rPr>
          <w:rFonts w:hint="eastAsia"/>
        </w:rPr>
        <w:t xml:space="preserve">5.3.2.3 </w:t>
      </w:r>
      <w:bookmarkStart w:id="147" w:name="_Toc170112587"/>
      <w:bookmarkStart w:id="148" w:name="_Toc236735637"/>
      <w:r>
        <w:t>射频传导接收灵敏度</w:t>
      </w:r>
      <w:bookmarkEnd w:id="147"/>
      <w:bookmarkEnd w:id="148"/>
    </w:p>
    <w:bookmarkEnd w:id="146"/>
    <w:p>
      <w:pPr>
        <w:ind w:firstLine="420" w:firstLineChars="200"/>
        <w:rPr>
          <w:rFonts w:ascii="宋体"/>
          <w:kern w:val="0"/>
          <w:sz w:val="28"/>
          <w:highlight w:val="yellow"/>
        </w:rPr>
      </w:pPr>
      <w:r>
        <w:rPr>
          <w:rFonts w:hint="eastAsia" w:ascii="宋体" w:hAnsi="宋体"/>
        </w:rPr>
        <w:t>终端下行信息速率的数据支路传导接收</w:t>
      </w:r>
      <w:r>
        <w:rPr>
          <w:rFonts w:ascii="宋体" w:hAnsi="宋体"/>
        </w:rPr>
        <w:t>灵敏度应优于-127dBm</w:t>
      </w:r>
      <w:r>
        <w:rPr>
          <w:rFonts w:hint="eastAsia" w:ascii="宋体" w:hAnsi="宋体"/>
        </w:rPr>
        <w:t>。</w:t>
      </w:r>
    </w:p>
    <w:p>
      <w:pPr>
        <w:pStyle w:val="236"/>
        <w:numPr>
          <w:ilvl w:val="0"/>
          <w:numId w:val="33"/>
        </w:numPr>
        <w:spacing w:before="120" w:after="120"/>
      </w:pPr>
      <w:r>
        <w:t>5.3.3 供电及续航要求</w:t>
      </w:r>
    </w:p>
    <w:p>
      <w:pPr>
        <w:pStyle w:val="237"/>
        <w:spacing w:before="120" w:after="120"/>
      </w:pPr>
      <w:bookmarkStart w:id="149" w:name="_Toc236735640"/>
      <w:r>
        <w:rPr>
          <w:rFonts w:hint="eastAsia"/>
        </w:rPr>
        <w:t>5.</w:t>
      </w:r>
      <w:bookmarkEnd w:id="149"/>
      <w:r>
        <w:rPr>
          <w:rFonts w:hint="eastAsia"/>
        </w:rPr>
        <w:t>3.3.1</w:t>
      </w:r>
      <w:r>
        <w:t>充电模式</w:t>
      </w:r>
    </w:p>
    <w:p>
      <w:pPr>
        <w:pStyle w:val="231"/>
      </w:pPr>
      <w:r>
        <w:rPr>
          <w:rFonts w:hint="eastAsia"/>
        </w:rPr>
        <w:t>终端应具备Type-C通用充电接口，运动员可使用户外充电宝、赛事补给站充电设备补电，支持快充功能。</w:t>
      </w:r>
    </w:p>
    <w:p>
      <w:pPr>
        <w:pStyle w:val="237"/>
        <w:spacing w:before="120" w:after="120"/>
      </w:pPr>
      <w:r>
        <w:rPr>
          <w:rFonts w:hint="eastAsia"/>
        </w:rPr>
        <w:t xml:space="preserve">5.3.3.1 </w:t>
      </w:r>
      <w:bookmarkStart w:id="150" w:name="_Toc236735642"/>
      <w:r>
        <w:rPr>
          <w:rFonts w:hint="eastAsia"/>
        </w:rPr>
        <w:t>低电量分级提醒</w:t>
      </w:r>
      <w:bookmarkEnd w:id="150"/>
    </w:p>
    <w:p>
      <w:pPr>
        <w:pStyle w:val="231"/>
      </w:pPr>
      <w:r>
        <w:rPr>
          <w:rFonts w:hint="eastAsia"/>
        </w:rPr>
        <w:t>终端具备剩余电量20%、10%、5%三级声光提醒功能，提前告知运动员电量不足，便于在补给站及时更换设备。</w:t>
      </w:r>
    </w:p>
    <w:p>
      <w:pPr>
        <w:pStyle w:val="237"/>
        <w:spacing w:before="120" w:after="120"/>
      </w:pPr>
      <w:r>
        <w:rPr>
          <w:rFonts w:hint="eastAsia"/>
        </w:rPr>
        <w:t xml:space="preserve">5.3.3.2 </w:t>
      </w:r>
      <w:bookmarkStart w:id="151" w:name="_Toc236735643"/>
      <w:r>
        <w:rPr>
          <w:rFonts w:hint="eastAsia"/>
        </w:rPr>
        <w:t>低电量消息发送能力</w:t>
      </w:r>
      <w:bookmarkEnd w:id="151"/>
    </w:p>
    <w:p>
      <w:pPr>
        <w:pStyle w:val="231"/>
      </w:pPr>
      <w:r>
        <w:rPr>
          <w:rFonts w:hint="eastAsia"/>
        </w:rPr>
        <w:t>电池电量低于5%时，终端应至少保留一次北斗短报文紧急发送能力，发射功率无明显下降。</w:t>
      </w:r>
    </w:p>
    <w:p>
      <w:pPr>
        <w:pStyle w:val="236"/>
        <w:numPr>
          <w:ilvl w:val="0"/>
          <w:numId w:val="33"/>
        </w:numPr>
        <w:spacing w:before="120" w:after="120"/>
      </w:pPr>
      <w:r>
        <w:rPr>
          <w:rFonts w:hint="eastAsia"/>
        </w:rPr>
        <w:t xml:space="preserve">5.3.4 </w:t>
      </w:r>
      <w:bookmarkStart w:id="152" w:name="_Toc236735644"/>
      <w:r>
        <w:rPr>
          <w:rFonts w:hint="eastAsia"/>
        </w:rPr>
        <w:t>操作交互要求</w:t>
      </w:r>
      <w:bookmarkEnd w:id="152"/>
    </w:p>
    <w:p>
      <w:pPr>
        <w:pStyle w:val="237"/>
        <w:spacing w:before="120" w:after="120"/>
      </w:pPr>
      <w:bookmarkStart w:id="153" w:name="OLE_LINK14"/>
      <w:r>
        <w:rPr>
          <w:rFonts w:hint="eastAsia"/>
        </w:rPr>
        <w:t>5.3.4.1</w:t>
      </w:r>
      <w:bookmarkStart w:id="154" w:name="_Toc236735645"/>
      <w:r>
        <w:rPr>
          <w:rFonts w:hint="eastAsia"/>
        </w:rPr>
        <w:t>操作便捷性</w:t>
      </w:r>
      <w:bookmarkEnd w:id="154"/>
    </w:p>
    <w:bookmarkEnd w:id="153"/>
    <w:p>
      <w:pPr>
        <w:pStyle w:val="231"/>
      </w:pPr>
      <w:r>
        <w:rPr>
          <w:rFonts w:hint="eastAsia"/>
        </w:rPr>
        <w:t>终端操作逻辑简单，无需复杂设置，赛前经工作人员简单培训即可上手快速使用。</w:t>
      </w:r>
    </w:p>
    <w:p>
      <w:pPr>
        <w:pStyle w:val="237"/>
        <w:spacing w:before="120" w:after="120"/>
      </w:pPr>
      <w:r>
        <w:rPr>
          <w:rFonts w:hint="eastAsia"/>
        </w:rPr>
        <w:t xml:space="preserve">5.3.4.2 </w:t>
      </w:r>
      <w:bookmarkStart w:id="155" w:name="_Toc236735646"/>
      <w:r>
        <w:rPr>
          <w:rFonts w:hint="eastAsia"/>
        </w:rPr>
        <w:t>状态显示可读性</w:t>
      </w:r>
      <w:bookmarkEnd w:id="155"/>
    </w:p>
    <w:p>
      <w:pPr>
        <w:pStyle w:val="231"/>
      </w:pPr>
      <w:r>
        <w:rPr>
          <w:rFonts w:hint="eastAsia"/>
        </w:rPr>
        <w:t>终端应具有状态显示方式，显示实时电量、卫星信号及公网信号强度等状态，强光、雨夜、夜间低光环境下清晰可见。</w:t>
      </w:r>
    </w:p>
    <w:p>
      <w:pPr>
        <w:pStyle w:val="106"/>
        <w:spacing w:before="120" w:after="120"/>
      </w:pPr>
      <w:bookmarkStart w:id="156" w:name="_Toc192187760"/>
      <w:bookmarkStart w:id="157" w:name="_Toc1643812477"/>
      <w:bookmarkStart w:id="158" w:name="_Toc2126719312"/>
      <w:bookmarkStart w:id="159" w:name="_Toc15566"/>
      <w:bookmarkStart w:id="160" w:name="_Toc236735647"/>
      <w:bookmarkStart w:id="161" w:name="_Toc237425933"/>
      <w:bookmarkStart w:id="162" w:name="OLE_LINK11"/>
      <w:r>
        <w:rPr>
          <w:rFonts w:hint="eastAsia"/>
        </w:rPr>
        <w:t>环境适应性</w:t>
      </w:r>
      <w:r>
        <w:t>要求</w:t>
      </w:r>
      <w:bookmarkEnd w:id="156"/>
      <w:bookmarkEnd w:id="157"/>
      <w:bookmarkEnd w:id="158"/>
      <w:bookmarkEnd w:id="159"/>
      <w:bookmarkEnd w:id="160"/>
      <w:bookmarkEnd w:id="161"/>
    </w:p>
    <w:bookmarkEnd w:id="162"/>
    <w:p>
      <w:pPr>
        <w:pStyle w:val="236"/>
        <w:spacing w:before="120" w:after="120"/>
      </w:pPr>
      <w:bookmarkStart w:id="163" w:name="OLE_LINK9"/>
      <w:r>
        <w:rPr>
          <w:rFonts w:hint="eastAsia"/>
        </w:rPr>
        <w:t xml:space="preserve">5.4.1 </w:t>
      </w:r>
      <w:bookmarkStart w:id="164" w:name="_Toc143769863"/>
      <w:bookmarkStart w:id="165" w:name="_Toc137484401"/>
      <w:bookmarkStart w:id="166" w:name="_Toc236735648"/>
      <w:r>
        <w:rPr>
          <w:rFonts w:hint="eastAsia"/>
        </w:rPr>
        <w:t>工作温度</w:t>
      </w:r>
      <w:bookmarkEnd w:id="164"/>
      <w:bookmarkEnd w:id="165"/>
      <w:r>
        <w:rPr>
          <w:rFonts w:hint="eastAsia"/>
        </w:rPr>
        <w:t>要求</w:t>
      </w:r>
      <w:bookmarkEnd w:id="166"/>
    </w:p>
    <w:bookmarkEnd w:id="163"/>
    <w:p>
      <w:pPr>
        <w:pStyle w:val="231"/>
      </w:pPr>
      <w:r>
        <w:rPr>
          <w:rFonts w:hint="eastAsia"/>
        </w:rPr>
        <w:t>在-20℃-60℃温度环境下，终端可正常工作。</w:t>
      </w:r>
    </w:p>
    <w:p>
      <w:pPr>
        <w:pStyle w:val="236"/>
        <w:spacing w:before="120" w:after="120"/>
      </w:pPr>
      <w:r>
        <w:rPr>
          <w:rFonts w:hint="eastAsia"/>
        </w:rPr>
        <w:t xml:space="preserve">5.4.2 </w:t>
      </w:r>
      <w:bookmarkStart w:id="167" w:name="_Toc236735649"/>
      <w:r>
        <w:t>防跌落</w:t>
      </w:r>
      <w:bookmarkEnd w:id="167"/>
    </w:p>
    <w:p>
      <w:pPr>
        <w:pStyle w:val="231"/>
      </w:pPr>
      <w:r>
        <w:rPr>
          <w:rFonts w:hint="eastAsia"/>
        </w:rPr>
        <w:t>终端具备高度</w:t>
      </w:r>
      <w:r>
        <w:t>1米以上抗摔的防护性能</w:t>
      </w:r>
      <w:r>
        <w:rPr>
          <w:rFonts w:hint="eastAsia"/>
        </w:rPr>
        <w:t>（待补充引用标准）</w:t>
      </w:r>
      <w:r>
        <w:t>。</w:t>
      </w:r>
    </w:p>
    <w:p>
      <w:pPr>
        <w:pStyle w:val="236"/>
        <w:spacing w:before="120" w:after="120"/>
      </w:pPr>
      <w:r>
        <w:rPr>
          <w:rFonts w:hint="eastAsia"/>
        </w:rPr>
        <w:t xml:space="preserve">5.4.3 </w:t>
      </w:r>
      <w:bookmarkStart w:id="168" w:name="_Toc236735650"/>
      <w:r>
        <w:rPr>
          <w:rFonts w:hint="eastAsia"/>
        </w:rPr>
        <w:t>外壳</w:t>
      </w:r>
      <w:r>
        <w:t>防护等级</w:t>
      </w:r>
      <w:bookmarkEnd w:id="168"/>
    </w:p>
    <w:p>
      <w:pPr>
        <w:pStyle w:val="231"/>
      </w:pPr>
      <w:r>
        <w:rPr>
          <w:rFonts w:hint="eastAsia"/>
        </w:rPr>
        <w:t>对于山地越野等户外运动场景，终端应</w:t>
      </w:r>
      <w:r>
        <w:t>满足IP</w:t>
      </w:r>
      <w:r>
        <w:rPr>
          <w:rFonts w:hint="eastAsia"/>
        </w:rPr>
        <w:t>X7</w:t>
      </w:r>
      <w:r>
        <w:t>及以上级别防水</w:t>
      </w:r>
      <w:r>
        <w:rPr>
          <w:rFonts w:hint="eastAsia"/>
        </w:rPr>
        <w:t>；</w:t>
      </w:r>
    </w:p>
    <w:p>
      <w:pPr>
        <w:pStyle w:val="231"/>
      </w:pPr>
      <w:bookmarkStart w:id="169" w:name="OLE_LINK10"/>
      <w:r>
        <w:rPr>
          <w:rFonts w:hint="eastAsia"/>
        </w:rPr>
        <w:t>对于水上运动场景，</w:t>
      </w:r>
      <w:bookmarkEnd w:id="169"/>
      <w:r>
        <w:t>终端应满足IP6</w:t>
      </w:r>
      <w:r>
        <w:rPr>
          <w:rFonts w:hint="eastAsia"/>
        </w:rPr>
        <w:t>8</w:t>
      </w:r>
      <w:r>
        <w:t>及以上级别防水；</w:t>
      </w:r>
    </w:p>
    <w:p>
      <w:pPr>
        <w:pStyle w:val="231"/>
      </w:pPr>
      <w:r>
        <w:t>对于</w:t>
      </w:r>
      <w:r>
        <w:rPr>
          <w:rFonts w:hint="eastAsia"/>
        </w:rPr>
        <w:t>空中</w:t>
      </w:r>
      <w:r>
        <w:t>运动场景，终端应满足IP</w:t>
      </w:r>
      <w:r>
        <w:rPr>
          <w:rFonts w:hint="eastAsia"/>
        </w:rPr>
        <w:t>X6</w:t>
      </w:r>
      <w:r>
        <w:t>及以上级别防水；</w:t>
      </w:r>
    </w:p>
    <w:p>
      <w:pPr>
        <w:pStyle w:val="236"/>
        <w:spacing w:before="120" w:after="120"/>
      </w:pPr>
      <w:r>
        <w:rPr>
          <w:rFonts w:hint="eastAsia"/>
        </w:rPr>
        <w:t xml:space="preserve">5.4.4 </w:t>
      </w:r>
      <w:bookmarkStart w:id="170" w:name="_Toc236735651"/>
      <w:r>
        <w:rPr>
          <w:rFonts w:hint="eastAsia"/>
        </w:rPr>
        <w:t>抗盐雾</w:t>
      </w:r>
      <w:bookmarkEnd w:id="170"/>
    </w:p>
    <w:p>
      <w:pPr>
        <w:pStyle w:val="231"/>
      </w:pPr>
      <w:r>
        <w:rPr>
          <w:rFonts w:hint="eastAsia"/>
        </w:rPr>
        <w:t>对于水上运动场景，终端抗盐雾腐蚀性能，应符合IEC 60945:2002/COR1:2008中8.12的规定。</w:t>
      </w:r>
    </w:p>
    <w:p>
      <w:pPr>
        <w:pStyle w:val="57"/>
        <w:ind w:firstLine="420"/>
      </w:pPr>
    </w:p>
    <w:p>
      <w:pPr>
        <w:pStyle w:val="105"/>
        <w:spacing w:before="240" w:after="240"/>
        <w:rPr>
          <w:szCs w:val="21"/>
        </w:rPr>
      </w:pPr>
      <w:bookmarkStart w:id="171" w:name="_Toc236735652"/>
      <w:bookmarkStart w:id="172" w:name="_Toc237425934"/>
      <w:bookmarkStart w:id="173" w:name="OLE_LINK5"/>
      <w:r>
        <w:rPr>
          <w:rFonts w:hint="eastAsia"/>
          <w:szCs w:val="21"/>
        </w:rPr>
        <w:t>测试环境</w:t>
      </w:r>
      <w:bookmarkEnd w:id="171"/>
      <w:bookmarkEnd w:id="172"/>
    </w:p>
    <w:bookmarkEnd w:id="173"/>
    <w:p>
      <w:pPr>
        <w:pStyle w:val="106"/>
        <w:spacing w:before="120" w:after="120"/>
      </w:pPr>
      <w:bookmarkStart w:id="174" w:name="_Toc349912822"/>
      <w:bookmarkStart w:id="175" w:name="_Toc413834073"/>
      <w:bookmarkStart w:id="176" w:name="_Toc236735653"/>
      <w:bookmarkStart w:id="177" w:name="_Toc237425935"/>
      <w:r>
        <w:rPr>
          <w:rFonts w:hint="eastAsia"/>
        </w:rPr>
        <w:t>测试</w:t>
      </w:r>
      <w:bookmarkEnd w:id="174"/>
      <w:r>
        <w:rPr>
          <w:rFonts w:hint="eastAsia"/>
        </w:rPr>
        <w:t>环境说明</w:t>
      </w:r>
      <w:bookmarkEnd w:id="175"/>
      <w:bookmarkEnd w:id="176"/>
      <w:bookmarkEnd w:id="177"/>
    </w:p>
    <w:p>
      <w:pPr>
        <w:ind w:firstLine="420"/>
        <w:rPr>
          <w:rFonts w:hint="eastAsia" w:ascii="宋体" w:hAnsi="宋体"/>
          <w:kern w:val="0"/>
        </w:rPr>
      </w:pPr>
      <w:r>
        <w:rPr>
          <w:rFonts w:hint="eastAsia" w:ascii="宋体" w:hAnsi="宋体"/>
          <w:kern w:val="0"/>
        </w:rPr>
        <w:t>一致性测试对温度、湿度、电压等测试环境的具体测试要求如下：</w:t>
      </w:r>
    </w:p>
    <w:p>
      <w:pPr>
        <w:ind w:firstLine="420"/>
      </w:pPr>
      <w:r>
        <w:t>温度：</w:t>
      </w:r>
      <w:r>
        <w:rPr>
          <w:rFonts w:hint="eastAsia"/>
        </w:rPr>
        <w:t>-10</w:t>
      </w:r>
      <w:r>
        <w:rPr>
          <w:vertAlign w:val="superscript"/>
        </w:rPr>
        <w:t>o</w:t>
      </w:r>
      <w:r>
        <w:t>C</w:t>
      </w:r>
      <w:r>
        <w:rPr>
          <w:rFonts w:hint="eastAsia"/>
        </w:rPr>
        <w:t>～</w:t>
      </w:r>
      <w:r>
        <w:t>35</w:t>
      </w:r>
      <w:r>
        <w:rPr>
          <w:vertAlign w:val="superscript"/>
        </w:rPr>
        <w:t>o</w:t>
      </w:r>
      <w:r>
        <w:t>C</w:t>
      </w:r>
    </w:p>
    <w:p>
      <w:pPr>
        <w:ind w:firstLine="420"/>
      </w:pPr>
      <w:r>
        <w:t>相对湿度：0%</w:t>
      </w:r>
      <w:r>
        <w:rPr>
          <w:rFonts w:hint="eastAsia"/>
        </w:rPr>
        <w:t>～9</w:t>
      </w:r>
      <w:r>
        <w:t>5%</w:t>
      </w:r>
    </w:p>
    <w:p>
      <w:pPr>
        <w:pStyle w:val="231"/>
      </w:pPr>
      <w:r>
        <w:t>电源：厂家给出的标称值</w:t>
      </w:r>
    </w:p>
    <w:p>
      <w:pPr>
        <w:pStyle w:val="231"/>
      </w:pPr>
      <w:r>
        <w:rPr>
          <w:rFonts w:hint="eastAsia"/>
        </w:rPr>
        <w:t>被测终端与测试系统通过射频线缆互联的测试方式，根据具体测试点不同，适当增加频谱仪、信道模拟器、干扰信号发生器等仪器设备以满足检测和测试条件的要求。</w:t>
      </w:r>
    </w:p>
    <w:p>
      <w:pPr>
        <w:pStyle w:val="106"/>
        <w:spacing w:before="120" w:after="120"/>
      </w:pPr>
      <w:bookmarkStart w:id="178" w:name="_Toc192187769"/>
      <w:bookmarkStart w:id="179" w:name="_Toc236735654"/>
      <w:bookmarkStart w:id="180" w:name="_Toc237425936"/>
      <w:r>
        <w:rPr>
          <w:rFonts w:hint="eastAsia"/>
        </w:rPr>
        <w:t>测试设备连接图</w:t>
      </w:r>
      <w:bookmarkEnd w:id="178"/>
      <w:bookmarkEnd w:id="179"/>
      <w:bookmarkEnd w:id="180"/>
    </w:p>
    <w:p>
      <w:pPr>
        <w:pStyle w:val="231"/>
        <w:ind w:firstLine="0" w:firstLineChars="0"/>
        <w:jc w:val="center"/>
      </w:pPr>
      <w:r>
        <w:object>
          <v:shape id="_x0000_i1025" o:spt="75" type="#_x0000_t75" style="height:156.5pt;width:301.75pt;" o:ole="t" filled="f" o:preferrelative="t" stroked="f" coordsize="21600,21600">
            <v:path/>
            <v:fill on="f" focussize="0,0"/>
            <v:stroke on="f" joinstyle="miter"/>
            <v:imagedata r:id="rId16" o:title=""/>
            <o:lock v:ext="edit" aspectratio="f"/>
            <w10:wrap type="none"/>
            <w10:anchorlock/>
          </v:shape>
          <o:OLEObject Type="Embed" ProgID="Visio.Drawing.15" ShapeID="_x0000_i1025" DrawAspect="Content" ObjectID="_1468075725" r:id="rId15">
            <o:LockedField>false</o:LockedField>
          </o:OLEObject>
        </w:object>
      </w:r>
    </w:p>
    <w:p>
      <w:pPr>
        <w:pStyle w:val="115"/>
        <w:spacing w:before="120" w:after="120"/>
      </w:pPr>
      <w:r>
        <w:rPr>
          <w:rFonts w:hint="eastAsia"/>
        </w:rPr>
        <w:t>实验室测试环境测试连接示意图</w:t>
      </w:r>
    </w:p>
    <w:p>
      <w:pPr>
        <w:pStyle w:val="106"/>
        <w:spacing w:before="120" w:after="120"/>
      </w:pPr>
      <w:bookmarkStart w:id="181" w:name="_Toc236735655"/>
      <w:bookmarkStart w:id="182" w:name="_Toc237425937"/>
      <w:r>
        <w:rPr>
          <w:rFonts w:hint="eastAsia"/>
        </w:rPr>
        <w:t>仿真测试场景</w:t>
      </w:r>
      <w:bookmarkEnd w:id="181"/>
      <w:bookmarkEnd w:id="182"/>
    </w:p>
    <w:p>
      <w:pPr>
        <w:ind w:firstLine="420" w:firstLineChars="200"/>
      </w:pPr>
      <w:r>
        <w:rPr>
          <w:rFonts w:hint="eastAsia"/>
        </w:rPr>
        <w:t>实验室微波暗室无线测试环境模拟器测试中,在不同的测试需求下,仿真测试场景需要调整卫星导航系统、卫星数、卫星星历、卫星历书、时间、用户位置及运动状态等参数。其中，用户运动状态包括静态、准静态和动态：</w:t>
      </w:r>
    </w:p>
    <w:p>
      <w:pPr>
        <w:ind w:firstLine="420" w:firstLineChars="200"/>
      </w:pPr>
      <w:r>
        <w:rPr>
          <w:rFonts w:hint="eastAsia"/>
        </w:rPr>
        <w:t>a) 静态：运动速度和加速度为零；</w:t>
      </w:r>
    </w:p>
    <w:p>
      <w:pPr>
        <w:ind w:firstLine="420" w:firstLineChars="200"/>
      </w:pPr>
      <w:r>
        <w:rPr>
          <w:rFonts w:hint="eastAsia"/>
        </w:rPr>
        <w:t>b) 准静态：运动速度不高于30m/s且加速度不高于5m/s</w:t>
      </w:r>
      <w:r>
        <w:rPr>
          <w:rFonts w:hint="eastAsia"/>
          <w:vertAlign w:val="superscript"/>
        </w:rPr>
        <w:t>2</w:t>
      </w:r>
      <w:r>
        <w:rPr>
          <w:rFonts w:hint="eastAsia"/>
        </w:rPr>
        <w:t>；</w:t>
      </w:r>
    </w:p>
    <w:p>
      <w:pPr>
        <w:ind w:firstLine="420" w:firstLineChars="200"/>
      </w:pPr>
      <w:r>
        <w:rPr>
          <w:rFonts w:hint="eastAsia"/>
        </w:rPr>
        <w:t>c) 动态：运动速度不高于300m/s且加速度不高于40m/s</w:t>
      </w:r>
      <w:r>
        <w:rPr>
          <w:rFonts w:hint="eastAsia"/>
          <w:vertAlign w:val="superscript"/>
        </w:rPr>
        <w:t>2</w:t>
      </w:r>
      <w:r>
        <w:rPr>
          <w:rFonts w:hint="eastAsia"/>
        </w:rPr>
        <w:t>。</w:t>
      </w:r>
    </w:p>
    <w:p>
      <w:pPr>
        <w:ind w:firstLine="420" w:firstLineChars="200"/>
      </w:pPr>
      <w:r>
        <w:rPr>
          <w:rFonts w:hint="eastAsia"/>
        </w:rPr>
        <w:t>无特殊说明时，默认使用准静态场景。</w:t>
      </w:r>
    </w:p>
    <w:p>
      <w:pPr>
        <w:pStyle w:val="106"/>
        <w:spacing w:before="120" w:after="120"/>
      </w:pPr>
      <w:bookmarkStart w:id="183" w:name="_Toc168457116"/>
      <w:bookmarkEnd w:id="183"/>
      <w:bookmarkStart w:id="184" w:name="_Toc167259531"/>
      <w:bookmarkEnd w:id="184"/>
      <w:bookmarkStart w:id="185" w:name="_Toc164844207"/>
      <w:bookmarkEnd w:id="185"/>
      <w:bookmarkStart w:id="186" w:name="_Toc237425938"/>
      <w:bookmarkStart w:id="187" w:name="_Toc236735656"/>
      <w:bookmarkStart w:id="188" w:name="_Toc168457117"/>
      <w:bookmarkStart w:id="189" w:name="_Toc349912823"/>
      <w:bookmarkStart w:id="190" w:name="_Toc414892681"/>
      <w:bookmarkStart w:id="191" w:name="_Toc413834077"/>
      <w:r>
        <w:rPr>
          <w:rFonts w:hint="eastAsia"/>
        </w:rPr>
        <w:t>终端信息</w:t>
      </w:r>
      <w:bookmarkEnd w:id="186"/>
      <w:bookmarkEnd w:id="187"/>
      <w:bookmarkEnd w:id="188"/>
      <w:bookmarkEnd w:id="189"/>
      <w:bookmarkEnd w:id="190"/>
      <w:bookmarkEnd w:id="191"/>
    </w:p>
    <w:p>
      <w:pPr>
        <w:ind w:firstLine="420"/>
      </w:pPr>
      <w:r>
        <w:rPr>
          <w:rFonts w:hint="eastAsia"/>
        </w:rPr>
        <w:t>表1列出终端生产厂商准备进行测试前需要提供的信息。</w:t>
      </w:r>
    </w:p>
    <w:p>
      <w:pPr>
        <w:pStyle w:val="13"/>
        <w:jc w:val="center"/>
      </w:pPr>
      <w:r>
        <w:rPr>
          <w:rFonts w:hint="eastAsia"/>
        </w:rPr>
        <w:t>表</w:t>
      </w:r>
      <w:r>
        <w:fldChar w:fldCharType="begin"/>
      </w:r>
      <w:r>
        <w:rPr>
          <w:rFonts w:hint="eastAsia"/>
        </w:rPr>
        <w:instrText xml:space="preserve">SEQ 表 \* ARABIC</w:instrText>
      </w:r>
      <w:r>
        <w:fldChar w:fldCharType="separate"/>
      </w:r>
      <w:r>
        <w:t>1</w:t>
      </w:r>
      <w:r>
        <w:fldChar w:fldCharType="end"/>
      </w:r>
      <w:r>
        <w:rPr>
          <w:rFonts w:hint="eastAsia"/>
        </w:rPr>
        <w:t>测试测试前厂商应提供的信息</w:t>
      </w:r>
    </w:p>
    <w:tbl>
      <w:tblPr>
        <w:tblStyle w:val="27"/>
        <w:tblW w:w="7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6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3" w:type="dxa"/>
            <w:vAlign w:val="center"/>
          </w:tcPr>
          <w:p>
            <w:pPr>
              <w:pStyle w:val="260"/>
              <w:jc w:val="center"/>
              <w:rPr>
                <w:rFonts w:hint="eastAsia" w:hAnsi="宋体"/>
                <w:b/>
                <w:kern w:val="21"/>
                <w:sz w:val="18"/>
                <w:szCs w:val="18"/>
              </w:rPr>
            </w:pPr>
            <w:r>
              <w:rPr>
                <w:rFonts w:hint="eastAsia" w:hAnsi="宋体"/>
                <w:b/>
                <w:kern w:val="21"/>
                <w:sz w:val="18"/>
                <w:szCs w:val="18"/>
              </w:rPr>
              <w:t>序号</w:t>
            </w:r>
          </w:p>
        </w:tc>
        <w:tc>
          <w:tcPr>
            <w:tcW w:w="6535" w:type="dxa"/>
            <w:vAlign w:val="center"/>
          </w:tcPr>
          <w:p>
            <w:pPr>
              <w:pStyle w:val="260"/>
              <w:ind w:firstLine="361"/>
              <w:jc w:val="center"/>
              <w:rPr>
                <w:rFonts w:hint="eastAsia" w:hAnsi="宋体"/>
                <w:b/>
                <w:kern w:val="21"/>
                <w:sz w:val="18"/>
                <w:szCs w:val="18"/>
              </w:rPr>
            </w:pPr>
            <w:r>
              <w:rPr>
                <w:rFonts w:hint="eastAsia" w:hAnsi="宋体"/>
                <w:b/>
                <w:kern w:val="21"/>
                <w:sz w:val="18"/>
                <w:szCs w:val="1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3" w:type="dxa"/>
            <w:vAlign w:val="center"/>
          </w:tcPr>
          <w:p>
            <w:pPr>
              <w:pStyle w:val="260"/>
              <w:ind w:firstLine="190" w:firstLineChars="95"/>
              <w:rPr>
                <w:rFonts w:hint="eastAsia" w:hAnsi="宋体"/>
                <w:kern w:val="21"/>
                <w:sz w:val="20"/>
                <w:szCs w:val="18"/>
              </w:rPr>
            </w:pPr>
            <w:r>
              <w:rPr>
                <w:rFonts w:hint="eastAsia" w:hAnsi="宋体"/>
                <w:kern w:val="21"/>
                <w:sz w:val="20"/>
                <w:szCs w:val="18"/>
              </w:rPr>
              <w:t>1</w:t>
            </w:r>
          </w:p>
        </w:tc>
        <w:tc>
          <w:tcPr>
            <w:tcW w:w="6535" w:type="dxa"/>
            <w:vAlign w:val="center"/>
          </w:tcPr>
          <w:p>
            <w:pPr>
              <w:pStyle w:val="260"/>
              <w:rPr>
                <w:rFonts w:hint="eastAsia" w:hAnsi="宋体"/>
                <w:kern w:val="21"/>
                <w:sz w:val="20"/>
                <w:szCs w:val="18"/>
              </w:rPr>
            </w:pPr>
            <w:r>
              <w:rPr>
                <w:rFonts w:hint="eastAsia" w:hAnsi="宋体"/>
                <w:kern w:val="21"/>
                <w:sz w:val="20"/>
                <w:szCs w:val="18"/>
              </w:rPr>
              <w:t>终端型号标识、芯片型号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3" w:type="dxa"/>
            <w:vAlign w:val="center"/>
          </w:tcPr>
          <w:p>
            <w:pPr>
              <w:pStyle w:val="260"/>
              <w:ind w:firstLine="190" w:firstLineChars="95"/>
              <w:rPr>
                <w:rFonts w:hint="eastAsia" w:hAnsi="宋体"/>
                <w:kern w:val="21"/>
                <w:sz w:val="20"/>
                <w:szCs w:val="18"/>
              </w:rPr>
            </w:pPr>
            <w:r>
              <w:rPr>
                <w:rFonts w:hint="eastAsia" w:hAnsi="宋体"/>
                <w:kern w:val="21"/>
                <w:sz w:val="20"/>
                <w:szCs w:val="18"/>
              </w:rPr>
              <w:t>2</w:t>
            </w:r>
          </w:p>
        </w:tc>
        <w:tc>
          <w:tcPr>
            <w:tcW w:w="6535" w:type="dxa"/>
            <w:vAlign w:val="center"/>
          </w:tcPr>
          <w:p>
            <w:pPr>
              <w:pStyle w:val="260"/>
              <w:rPr>
                <w:rFonts w:hint="eastAsia" w:hAnsi="宋体"/>
                <w:kern w:val="21"/>
                <w:sz w:val="20"/>
                <w:szCs w:val="18"/>
              </w:rPr>
            </w:pPr>
            <w:r>
              <w:rPr>
                <w:rFonts w:hint="eastAsia" w:hAnsi="宋体"/>
                <w:kern w:val="21"/>
                <w:sz w:val="20"/>
                <w:szCs w:val="18"/>
              </w:rPr>
              <w:t>硬件及软件版本编号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3" w:type="dxa"/>
            <w:vAlign w:val="center"/>
          </w:tcPr>
          <w:p>
            <w:pPr>
              <w:pStyle w:val="260"/>
              <w:ind w:firstLine="190" w:firstLineChars="95"/>
              <w:rPr>
                <w:rFonts w:hint="eastAsia" w:hAnsi="宋体"/>
                <w:kern w:val="21"/>
                <w:sz w:val="20"/>
                <w:szCs w:val="18"/>
              </w:rPr>
            </w:pPr>
            <w:r>
              <w:rPr>
                <w:rFonts w:hint="eastAsia" w:hAnsi="宋体"/>
                <w:kern w:val="21"/>
                <w:sz w:val="20"/>
                <w:szCs w:val="18"/>
              </w:rPr>
              <w:t>3</w:t>
            </w:r>
          </w:p>
        </w:tc>
        <w:tc>
          <w:tcPr>
            <w:tcW w:w="6535" w:type="dxa"/>
            <w:vAlign w:val="center"/>
          </w:tcPr>
          <w:p>
            <w:pPr>
              <w:pStyle w:val="260"/>
              <w:rPr>
                <w:rFonts w:hint="eastAsia" w:hAnsi="宋体"/>
                <w:kern w:val="21"/>
                <w:sz w:val="20"/>
                <w:szCs w:val="18"/>
              </w:rPr>
            </w:pPr>
            <w:r>
              <w:rPr>
                <w:rFonts w:hint="eastAsia" w:hAnsi="宋体"/>
                <w:kern w:val="21"/>
                <w:sz w:val="20"/>
                <w:szCs w:val="18"/>
              </w:rPr>
              <w:t>终端进行测试的必要性设备信息，例如连接电缆、连接器、电源需求、配置编程信息等。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3" w:type="dxa"/>
            <w:vAlign w:val="center"/>
          </w:tcPr>
          <w:p>
            <w:pPr>
              <w:pStyle w:val="260"/>
              <w:ind w:firstLine="190" w:firstLineChars="95"/>
              <w:rPr>
                <w:rFonts w:hint="eastAsia" w:hAnsi="宋体"/>
                <w:kern w:val="21"/>
                <w:sz w:val="20"/>
                <w:szCs w:val="18"/>
              </w:rPr>
            </w:pPr>
            <w:r>
              <w:rPr>
                <w:rFonts w:hint="eastAsia" w:hAnsi="宋体"/>
                <w:kern w:val="21"/>
                <w:sz w:val="20"/>
                <w:szCs w:val="18"/>
              </w:rPr>
              <w:t>4</w:t>
            </w:r>
          </w:p>
        </w:tc>
        <w:tc>
          <w:tcPr>
            <w:tcW w:w="6535" w:type="dxa"/>
            <w:vAlign w:val="center"/>
          </w:tcPr>
          <w:p>
            <w:pPr>
              <w:pStyle w:val="260"/>
              <w:rPr>
                <w:rFonts w:hint="eastAsia" w:hAnsi="宋体"/>
                <w:kern w:val="21"/>
                <w:sz w:val="20"/>
                <w:szCs w:val="18"/>
              </w:rPr>
            </w:pPr>
            <w:r>
              <w:rPr>
                <w:rFonts w:hint="eastAsia" w:hAnsi="宋体"/>
                <w:kern w:val="21"/>
                <w:sz w:val="20"/>
                <w:szCs w:val="18"/>
              </w:rPr>
              <w:t>终端支持的功能和技术特性</w:t>
            </w:r>
          </w:p>
        </w:tc>
      </w:tr>
    </w:tbl>
    <w:p>
      <w:pPr>
        <w:pStyle w:val="231"/>
        <w:rPr>
          <w:rFonts w:ascii="Times New Roman"/>
          <w:color w:val="000000" w:themeColor="text1"/>
          <w:kern w:val="2"/>
          <w:szCs w:val="24"/>
          <w14:textFill>
            <w14:solidFill>
              <w14:schemeClr w14:val="tx1"/>
            </w14:solidFill>
          </w14:textFill>
        </w:rPr>
      </w:pPr>
    </w:p>
    <w:p>
      <w:pPr>
        <w:pStyle w:val="105"/>
        <w:spacing w:before="240" w:after="240"/>
        <w:rPr>
          <w:szCs w:val="21"/>
        </w:rPr>
      </w:pPr>
      <w:bookmarkStart w:id="192" w:name="_Toc237425939"/>
      <w:bookmarkStart w:id="193" w:name="_Toc236735657"/>
      <w:r>
        <w:rPr>
          <w:rFonts w:hint="eastAsia"/>
          <w:szCs w:val="21"/>
        </w:rPr>
        <w:t>测试方法</w:t>
      </w:r>
      <w:bookmarkEnd w:id="192"/>
      <w:bookmarkEnd w:id="193"/>
    </w:p>
    <w:p>
      <w:pPr>
        <w:pStyle w:val="106"/>
        <w:spacing w:before="120" w:after="120"/>
      </w:pPr>
      <w:bookmarkStart w:id="194" w:name="_Toc236735658"/>
      <w:bookmarkStart w:id="195" w:name="_Toc237425940"/>
      <w:r>
        <w:rPr>
          <w:rFonts w:hint="eastAsia"/>
        </w:rPr>
        <w:t>外观及便携性测试</w:t>
      </w:r>
      <w:bookmarkEnd w:id="194"/>
      <w:bookmarkEnd w:id="195"/>
    </w:p>
    <w:p>
      <w:pPr>
        <w:pStyle w:val="236"/>
        <w:spacing w:before="120" w:after="120"/>
      </w:pPr>
      <w:r>
        <w:rPr>
          <w:rFonts w:hint="eastAsia"/>
        </w:rPr>
        <w:t>7.1.1</w:t>
      </w:r>
      <w:bookmarkStart w:id="196" w:name="_Toc236735659"/>
      <w:r>
        <w:rPr>
          <w:rFonts w:hint="eastAsia"/>
        </w:rPr>
        <w:t xml:space="preserve"> </w:t>
      </w:r>
      <w:bookmarkEnd w:id="196"/>
      <w:r>
        <w:rPr>
          <w:rFonts w:hint="eastAsia"/>
        </w:rPr>
        <w:t>终端重量</w:t>
      </w:r>
    </w:p>
    <w:p>
      <w:pPr>
        <w:pStyle w:val="231"/>
      </w:pPr>
      <w:r>
        <w:rPr>
          <w:rFonts w:hint="eastAsia"/>
        </w:rPr>
        <w:t>用标准衡器衡量，若满足5.1.1指标要求，则该项合格。</w:t>
      </w:r>
    </w:p>
    <w:p>
      <w:pPr>
        <w:pStyle w:val="236"/>
        <w:spacing w:before="120" w:after="120"/>
      </w:pPr>
      <w:bookmarkStart w:id="197" w:name="Table_R1"/>
      <w:bookmarkEnd w:id="197"/>
      <w:r>
        <w:rPr>
          <w:rFonts w:hint="eastAsia"/>
        </w:rPr>
        <w:t xml:space="preserve">7.1.2 </w:t>
      </w:r>
      <w:bookmarkStart w:id="198" w:name="_Toc236735661"/>
      <w:r>
        <w:rPr>
          <w:rFonts w:hint="eastAsia"/>
        </w:rPr>
        <w:t>包装方式</w:t>
      </w:r>
      <w:bookmarkEnd w:id="198"/>
    </w:p>
    <w:p>
      <w:pPr>
        <w:pStyle w:val="231"/>
      </w:pPr>
      <w:r>
        <w:rPr>
          <w:rFonts w:hint="eastAsia"/>
        </w:rPr>
        <w:t>实际收纳和回收检查，若</w:t>
      </w:r>
      <w:r>
        <w:t>赛前可快速收纳存放，赛后回收清点方便</w:t>
      </w:r>
      <w:r>
        <w:rPr>
          <w:rFonts w:hint="eastAsia"/>
        </w:rPr>
        <w:t>，则该项合格</w:t>
      </w:r>
      <w:r>
        <w:t>。</w:t>
      </w:r>
    </w:p>
    <w:p>
      <w:pPr>
        <w:pStyle w:val="236"/>
        <w:spacing w:before="120" w:after="120"/>
      </w:pPr>
      <w:r>
        <w:rPr>
          <w:rFonts w:hint="eastAsia"/>
        </w:rPr>
        <w:t xml:space="preserve">7.1.3 </w:t>
      </w:r>
      <w:bookmarkStart w:id="199" w:name="_Toc236735662"/>
      <w:r>
        <w:rPr>
          <w:rFonts w:hint="eastAsia"/>
        </w:rPr>
        <w:t>设备标识</w:t>
      </w:r>
      <w:bookmarkEnd w:id="199"/>
    </w:p>
    <w:p>
      <w:pPr>
        <w:pStyle w:val="231"/>
      </w:pPr>
      <w:r>
        <w:rPr>
          <w:rFonts w:hint="eastAsia"/>
        </w:rPr>
        <w:t>实际操作检查，若</w:t>
      </w:r>
      <w:r>
        <w:t>设备外表具有清晰、耐久唯一标识码，便于赛前发放、赛中更换、赛后回收，支持快速建立设备和运动员的绑定关系</w:t>
      </w:r>
      <w:r>
        <w:rPr>
          <w:rFonts w:hint="eastAsia"/>
        </w:rPr>
        <w:t>，则该项合格</w:t>
      </w:r>
      <w:r>
        <w:t>。</w:t>
      </w:r>
    </w:p>
    <w:p>
      <w:pPr>
        <w:pStyle w:val="106"/>
        <w:spacing w:before="120" w:after="120"/>
      </w:pPr>
      <w:bookmarkStart w:id="200" w:name="_Toc236735663"/>
      <w:bookmarkStart w:id="201" w:name="_Toc237425941"/>
      <w:r>
        <w:rPr>
          <w:rFonts w:hint="eastAsia"/>
        </w:rPr>
        <w:t>功能测试</w:t>
      </w:r>
      <w:bookmarkEnd w:id="200"/>
      <w:bookmarkEnd w:id="201"/>
    </w:p>
    <w:p>
      <w:pPr>
        <w:pStyle w:val="236"/>
        <w:spacing w:before="120" w:after="120"/>
      </w:pPr>
      <w:bookmarkStart w:id="202" w:name="_Toc236735664"/>
      <w:r>
        <w:rPr>
          <w:rFonts w:hint="eastAsia"/>
        </w:rPr>
        <w:t>7.2.1 北斗定位功能</w:t>
      </w:r>
      <w:bookmarkEnd w:id="202"/>
    </w:p>
    <w:p>
      <w:pPr>
        <w:pStyle w:val="231"/>
      </w:pPr>
      <w:r>
        <w:rPr>
          <w:rFonts w:hint="eastAsia"/>
        </w:rPr>
        <w:t>测试步骤如下：</w:t>
      </w:r>
    </w:p>
    <w:p>
      <w:pPr>
        <w:pStyle w:val="231"/>
      </w:pPr>
      <w:r>
        <w:rPr>
          <w:rFonts w:hint="eastAsia"/>
        </w:rPr>
        <w:t>a) 查看被测设备的产品说明书,若支持接收北斗三号卫星B1I和B1C信号,则继续b),否则终止本项测试并判定该功能不具备。</w:t>
      </w:r>
    </w:p>
    <w:p>
      <w:pPr>
        <w:pStyle w:val="231"/>
      </w:pPr>
      <w:r>
        <w:rPr>
          <w:rFonts w:hint="eastAsia"/>
        </w:rPr>
        <w:t>b) 按图1连接,控制卫星导航信号模拟器播发被测设备支持的BDS卫星导航模拟信号(PDOP≤6),使其到达被测设备天线口面的信号强度满足4.3.1.5中的要求。</w:t>
      </w:r>
    </w:p>
    <w:p>
      <w:pPr>
        <w:pStyle w:val="231"/>
      </w:pPr>
      <w:r>
        <w:rPr>
          <w:rFonts w:hint="eastAsia"/>
        </w:rPr>
        <w:t>c) 将被测设备开机,性能评估设备记录被测设备输出的定位结果、测速结果、时间信息。</w:t>
      </w:r>
    </w:p>
    <w:p>
      <w:pPr>
        <w:pStyle w:val="231"/>
      </w:pPr>
      <w:r>
        <w:rPr>
          <w:rFonts w:hint="eastAsia"/>
        </w:rPr>
        <w:t>d) 若在被测设备开机后300s内性能评估设备接收到的数据满足有BDS定位、测速和时间信息结果,则将被测设备关机并继续e),否则终止本项测试并判定该功能不具备。</w:t>
      </w:r>
    </w:p>
    <w:p>
      <w:pPr>
        <w:pStyle w:val="231"/>
      </w:pPr>
      <w:r>
        <w:rPr>
          <w:rFonts w:hint="eastAsia"/>
        </w:rPr>
        <w:t>e) 更换仿真测试场景(使被测设备预存的卫星历书、卫星星历、时间和用户位置信息无效),控制</w:t>
      </w:r>
    </w:p>
    <w:p>
      <w:pPr>
        <w:pStyle w:val="231"/>
      </w:pPr>
      <w:r>
        <w:rPr>
          <w:rFonts w:hint="eastAsia"/>
        </w:rPr>
        <w:t>卫星导航信号模拟器播发BDS B2a卫星导航模拟信号(PDOP≤6),使其到达被测设备天线口面的信号强度满足4.3.1.5中的要求。</w:t>
      </w:r>
    </w:p>
    <w:p>
      <w:pPr>
        <w:pStyle w:val="231"/>
      </w:pPr>
      <w:r>
        <w:rPr>
          <w:rFonts w:hint="eastAsia"/>
        </w:rPr>
        <w:t>f) 将被测设备开机,性能评估设备记录被测设备输出的定位、测速、时间信息等结果。</w:t>
      </w:r>
    </w:p>
    <w:p>
      <w:pPr>
        <w:pStyle w:val="231"/>
      </w:pPr>
      <w:r>
        <w:rPr>
          <w:rFonts w:hint="eastAsia"/>
        </w:rPr>
        <w:t>g) 若在被测设备开机后300s内性能评估设备接收到的数据有BDS定位、测速和时间信息结果,则终端支持BDS B2a单频定位功能，否则不支持该功能，将被测设备关机并继续h)。</w:t>
      </w:r>
    </w:p>
    <w:p>
      <w:pPr>
        <w:pStyle w:val="231"/>
      </w:pPr>
      <w:r>
        <w:rPr>
          <w:rFonts w:hint="eastAsia"/>
        </w:rPr>
        <w:t>h) 控制卫星导航信号模拟器在同时播发BDS B1c/B2a的卫星导航模拟信号,使其到达被测设备天线口面的信号强度满足4.3.1.5的要求。</w:t>
      </w:r>
    </w:p>
    <w:p>
      <w:pPr>
        <w:pStyle w:val="231"/>
      </w:pPr>
      <w:r>
        <w:rPr>
          <w:rFonts w:hint="eastAsia"/>
        </w:rPr>
        <w:t>i) 将被测设备开机,性能评估设备记录被测设备输出的定位、测速、时间信息等结果、参与定位</w:t>
      </w:r>
    </w:p>
    <w:p>
      <w:pPr>
        <w:pStyle w:val="231"/>
      </w:pPr>
      <w:r>
        <w:rPr>
          <w:rFonts w:hint="eastAsia"/>
        </w:rPr>
        <w:t>的卫星情况和接收处理的卫星情况。</w:t>
      </w:r>
    </w:p>
    <w:p>
      <w:pPr>
        <w:pStyle w:val="231"/>
      </w:pPr>
      <w:r>
        <w:rPr>
          <w:rFonts w:hint="eastAsia"/>
        </w:rPr>
        <w:t>j) 若在被测设备开机后300s内性能评估设备接收到的数据有BDS定位、测速和时间信息,则终端支持BDS B1c/B2a</w:t>
      </w:r>
      <w:r>
        <w:t>双频信号解算位置、速度和时间信息</w:t>
      </w:r>
      <w:r>
        <w:rPr>
          <w:rFonts w:hint="eastAsia"/>
        </w:rPr>
        <w:t>功能。</w:t>
      </w:r>
    </w:p>
    <w:p>
      <w:pPr>
        <w:pStyle w:val="236"/>
        <w:spacing w:before="120" w:after="120"/>
      </w:pPr>
      <w:bookmarkStart w:id="203" w:name="_Toc236735665"/>
      <w:r>
        <w:rPr>
          <w:rFonts w:hint="eastAsia"/>
        </w:rPr>
        <w:t>7.2.2 北斗短报文通信功能</w:t>
      </w:r>
      <w:bookmarkEnd w:id="203"/>
    </w:p>
    <w:p>
      <w:pPr>
        <w:pStyle w:val="237"/>
        <w:spacing w:before="120" w:after="120"/>
      </w:pPr>
      <w:bookmarkStart w:id="204" w:name="_Toc236735666"/>
      <w:r>
        <w:rPr>
          <w:rFonts w:hint="eastAsia"/>
        </w:rPr>
        <w:t>7.2.2.1 北斗短报文消息发送</w:t>
      </w:r>
    </w:p>
    <w:bookmarkEnd w:id="204"/>
    <w:p>
      <w:pPr>
        <w:pStyle w:val="231"/>
      </w:pPr>
      <w:r>
        <w:rPr>
          <w:rFonts w:hint="eastAsia"/>
        </w:rPr>
        <w:t>测试步骤如下：</w:t>
      </w:r>
    </w:p>
    <w:p>
      <w:pPr>
        <w:pStyle w:val="231"/>
      </w:pPr>
      <w:r>
        <w:rPr>
          <w:rFonts w:hint="eastAsia"/>
        </w:rPr>
        <w:t>a) 终端功能正常，处于室外开阔无遮挡的外场测试环境或处于等效的模拟测试环境中，已正常接收北斗卫星区域短报文信号；</w:t>
      </w:r>
    </w:p>
    <w:p>
      <w:pPr>
        <w:pStyle w:val="231"/>
      </w:pPr>
      <w:r>
        <w:rPr>
          <w:rFonts w:hint="eastAsia"/>
        </w:rPr>
        <w:t>b) 操作终端向管理平台或模拟平台发送北斗短报文消息；</w:t>
      </w:r>
    </w:p>
    <w:p>
      <w:pPr>
        <w:pStyle w:val="231"/>
      </w:pPr>
      <w:r>
        <w:rPr>
          <w:rFonts w:hint="eastAsia"/>
        </w:rPr>
        <w:t>c) 通过管理平台或模拟平台查看是否接收到北斗短报文消息，并检查消息内容是否准确。</w:t>
      </w:r>
    </w:p>
    <w:p>
      <w:pPr>
        <w:pStyle w:val="237"/>
        <w:spacing w:before="120" w:after="120"/>
      </w:pPr>
      <w:r>
        <w:rPr>
          <w:rFonts w:hint="eastAsia"/>
        </w:rPr>
        <w:t>7.2.2.2 北斗短报文信息接收</w:t>
      </w:r>
    </w:p>
    <w:p>
      <w:pPr>
        <w:pStyle w:val="231"/>
      </w:pPr>
      <w:r>
        <w:rPr>
          <w:rFonts w:hint="eastAsia"/>
        </w:rPr>
        <w:t>测试步骤如下：</w:t>
      </w:r>
    </w:p>
    <w:p>
      <w:pPr>
        <w:pStyle w:val="231"/>
        <w:numPr>
          <w:ilvl w:val="0"/>
          <w:numId w:val="37"/>
        </w:numPr>
      </w:pPr>
      <w:r>
        <w:rPr>
          <w:rFonts w:hint="eastAsia"/>
        </w:rPr>
        <w:t>终端功能正常，处于室外开阔无遮挡的外场测试环境或处于等效的模拟测试环境中，已正常接收北斗卫星区域短报文信号</w:t>
      </w:r>
    </w:p>
    <w:p>
      <w:pPr>
        <w:pStyle w:val="231"/>
        <w:numPr>
          <w:ilvl w:val="0"/>
          <w:numId w:val="37"/>
        </w:numPr>
      </w:pPr>
      <w:r>
        <w:rPr>
          <w:rFonts w:hint="eastAsia"/>
        </w:rPr>
        <w:t>管理平台或模拟平台向终端发送北斗短报文消息。</w:t>
      </w:r>
    </w:p>
    <w:p>
      <w:pPr>
        <w:pStyle w:val="231"/>
        <w:numPr>
          <w:ilvl w:val="0"/>
          <w:numId w:val="37"/>
        </w:numPr>
      </w:pPr>
      <w:r>
        <w:rPr>
          <w:rFonts w:hint="eastAsia"/>
        </w:rPr>
        <w:t>终端发起北斗短报文消息的接收查询；</w:t>
      </w:r>
    </w:p>
    <w:p>
      <w:pPr>
        <w:pStyle w:val="231"/>
        <w:numPr>
          <w:ilvl w:val="0"/>
          <w:numId w:val="37"/>
        </w:numPr>
      </w:pPr>
      <w:r>
        <w:rPr>
          <w:rFonts w:hint="eastAsia"/>
        </w:rPr>
        <w:t>检查终端是否接收到管理平台或模拟平台发送的北斗短报文消息，并检测消息内容是否准确。</w:t>
      </w:r>
    </w:p>
    <w:p>
      <w:pPr>
        <w:pStyle w:val="236"/>
        <w:spacing w:before="120" w:after="120"/>
      </w:pPr>
      <w:bookmarkStart w:id="205" w:name="_Toc236735669"/>
      <w:r>
        <w:rPr>
          <w:rFonts w:hint="eastAsia"/>
        </w:rPr>
        <w:t>7.2.3 身份认证鉴权</w:t>
      </w:r>
      <w:bookmarkEnd w:id="205"/>
    </w:p>
    <w:p>
      <w:pPr>
        <w:pStyle w:val="231"/>
      </w:pPr>
      <w:r>
        <w:rPr>
          <w:rFonts w:hint="eastAsia"/>
        </w:rPr>
        <w:t>测试步骤如下：</w:t>
      </w:r>
    </w:p>
    <w:p>
      <w:pPr>
        <w:pStyle w:val="231"/>
      </w:pPr>
      <w:r>
        <w:rPr>
          <w:rFonts w:hint="eastAsia"/>
        </w:rPr>
        <w:t>a） 按图1连接被测终端；</w:t>
      </w:r>
    </w:p>
    <w:p>
      <w:pPr>
        <w:pStyle w:val="231"/>
      </w:pPr>
      <w:r>
        <w:rPr>
          <w:rFonts w:hint="eastAsia"/>
        </w:rPr>
        <w:t>b） 测试系统</w:t>
      </w:r>
      <w:r>
        <w:t>播发1个波束</w:t>
      </w:r>
      <w:r>
        <w:rPr>
          <w:rFonts w:hint="eastAsia"/>
        </w:rPr>
        <w:t>S2C</w:t>
      </w:r>
      <w:r>
        <w:t>出站模拟信号</w:t>
      </w:r>
      <w:r>
        <w:rPr>
          <w:rFonts w:hint="eastAsia"/>
        </w:rPr>
        <w:t>，待被测终端锁定信号；</w:t>
      </w:r>
    </w:p>
    <w:p>
      <w:pPr>
        <w:pStyle w:val="231"/>
      </w:pPr>
      <w:r>
        <w:rPr>
          <w:rFonts w:hint="eastAsia"/>
        </w:rPr>
        <w:t>c） 控制被测终端发射入站，检测入站信息中的身份认证字段是否正确。</w:t>
      </w:r>
    </w:p>
    <w:p>
      <w:pPr>
        <w:pStyle w:val="231"/>
      </w:pPr>
      <w:r>
        <w:rPr>
          <w:rFonts w:hint="eastAsia"/>
        </w:rPr>
        <w:t>被测终端入站信息中的身份认证字段正确，则满足4.3.2.4要求。</w:t>
      </w:r>
    </w:p>
    <w:p>
      <w:pPr>
        <w:pStyle w:val="236"/>
        <w:spacing w:before="120" w:after="120"/>
      </w:pPr>
      <w:bookmarkStart w:id="206" w:name="_Toc236735670"/>
      <w:r>
        <w:rPr>
          <w:rFonts w:hint="eastAsia"/>
        </w:rPr>
        <w:t>7.2.4 其他通信功能</w:t>
      </w:r>
      <w:bookmarkEnd w:id="206"/>
    </w:p>
    <w:p>
      <w:pPr>
        <w:pStyle w:val="231"/>
      </w:pPr>
      <w:r>
        <w:rPr>
          <w:rFonts w:hint="eastAsia"/>
        </w:rPr>
        <w:t>将终端置于有4G/5G基站信号覆盖的使用地面通信网络环境中，插入具备地面蜂窝网4G或5G通信的SIM卡和短报文测试卡，通过显示界面检查是否具有4G/5G基站网络信号，若在网络信号下，终端能正常通信，则终端支持地面蜂窝网4G或5G通信功能。</w:t>
      </w:r>
    </w:p>
    <w:p>
      <w:pPr>
        <w:pStyle w:val="231"/>
      </w:pPr>
      <w:r>
        <w:rPr>
          <w:rFonts w:hint="eastAsia"/>
        </w:rPr>
        <w:t>接下来，将终端放于屏蔽暗室环境中，连接测试系统，播发卫星BDS S2C卫星模拟信号，测试系统下发通信申请，检查终端是否进入短报文通信模式，若能正确响应，则该项合格。</w:t>
      </w:r>
    </w:p>
    <w:p>
      <w:pPr>
        <w:pStyle w:val="236"/>
        <w:spacing w:before="120" w:after="120"/>
      </w:pPr>
      <w:bookmarkStart w:id="207" w:name="_Toc236735671"/>
      <w:r>
        <w:rPr>
          <w:rFonts w:hint="eastAsia"/>
        </w:rPr>
        <w:t xml:space="preserve">7.2.5 </w:t>
      </w:r>
      <w:r>
        <w:t>一键SOS报警</w:t>
      </w:r>
      <w:r>
        <w:rPr>
          <w:rFonts w:hint="eastAsia"/>
        </w:rPr>
        <w:t>功能</w:t>
      </w:r>
      <w:bookmarkEnd w:id="207"/>
    </w:p>
    <w:p>
      <w:pPr>
        <w:pStyle w:val="231"/>
        <w:rPr>
          <w:rFonts w:hint="eastAsia" w:hAnsi="宋体"/>
        </w:rPr>
      </w:pPr>
      <w:r>
        <w:rPr>
          <w:rFonts w:hint="eastAsia" w:hAnsi="宋体"/>
        </w:rPr>
        <w:t>检查终端是否有一键SOS报警按钮，若有则将终端置于外场实际环境中，周围无明显的电磁干扰，视野开阔，操作终端SOS报警按钮，通过该按钮触发报警后，检查终端是否能在120秒内完成呼救，是否自动向平台同步精准北斗定位坐标、运动员编号、组别、求救时间等信息。检查该按钮有无防误触机制或设计，操作是否简单，是否支持单手操作。</w:t>
      </w:r>
    </w:p>
    <w:p>
      <w:pPr>
        <w:pStyle w:val="231"/>
        <w:rPr>
          <w:rFonts w:hint="eastAsia" w:hAnsi="宋体"/>
        </w:rPr>
      </w:pPr>
      <w:r>
        <w:rPr>
          <w:rFonts w:hint="eastAsia" w:hAnsi="宋体"/>
        </w:rPr>
        <w:t>若以上各项均符合4.2.5要求，则该项合格。</w:t>
      </w:r>
    </w:p>
    <w:p>
      <w:pPr>
        <w:pStyle w:val="236"/>
        <w:spacing w:before="120" w:after="120"/>
      </w:pPr>
      <w:bookmarkStart w:id="208" w:name="_Toc236735672"/>
      <w:r>
        <w:rPr>
          <w:rFonts w:hint="eastAsia"/>
        </w:rPr>
        <w:t>7.2.6 自动感应报警功能</w:t>
      </w:r>
      <w:bookmarkEnd w:id="208"/>
    </w:p>
    <w:p>
      <w:pPr>
        <w:pStyle w:val="237"/>
        <w:spacing w:before="120" w:after="120"/>
      </w:pPr>
      <w:bookmarkStart w:id="209" w:name="_Toc236735673"/>
      <w:r>
        <w:rPr>
          <w:rFonts w:hint="eastAsia"/>
        </w:rPr>
        <w:t>7.2.6.1 水上运动场景</w:t>
      </w:r>
      <w:bookmarkEnd w:id="209"/>
    </w:p>
    <w:p>
      <w:pPr>
        <w:pStyle w:val="231"/>
      </w:pPr>
      <w:r>
        <w:rPr>
          <w:rFonts w:hint="eastAsia"/>
        </w:rPr>
        <w:t>在户外场景下，将终端浸入水中，检查报警平台是否触发落水感SOS报警，检查平台报警信息是否能持续72小时，若可以则终端该场景下项目合格。</w:t>
      </w:r>
    </w:p>
    <w:p>
      <w:pPr>
        <w:pStyle w:val="237"/>
        <w:spacing w:before="120" w:after="120"/>
      </w:pPr>
      <w:bookmarkStart w:id="210" w:name="_Toc236735674"/>
      <w:r>
        <w:rPr>
          <w:rFonts w:hint="eastAsia"/>
        </w:rPr>
        <w:t>7.2.6.2 空中运动场景</w:t>
      </w:r>
      <w:bookmarkEnd w:id="210"/>
    </w:p>
    <w:p>
      <w:pPr>
        <w:pStyle w:val="231"/>
      </w:pPr>
      <w:r>
        <w:rPr>
          <w:rFonts w:hint="eastAsia"/>
        </w:rPr>
        <w:t>将终端置于如下三种情况下进行自动预警或报警功能检查，检查提醒方式是否为语音播报：</w:t>
      </w:r>
    </w:p>
    <w:p>
      <w:pPr>
        <w:pStyle w:val="231"/>
      </w:pPr>
      <w:r>
        <w:rPr>
          <w:rFonts w:hint="eastAsia"/>
        </w:rPr>
        <w:t>a）提醒级：当实时上升速度≥0.4m/s、下降速度≥1.6m/s、海拔≥3000米，满足任意一个条件时检查设备是否语音提醒运动员控制速度；</w:t>
      </w:r>
    </w:p>
    <w:p>
      <w:pPr>
        <w:pStyle w:val="231"/>
      </w:pPr>
      <w:r>
        <w:rPr>
          <w:rFonts w:hint="eastAsia"/>
        </w:rPr>
        <w:t>b）警告级：当上升速度≥5m/s时且持续时间≥10秒、或下降速度≥8m/s且持续时间≥8秒，或海拔超过4500米时，满足任意一个条件时检查设备是否升级到警告模式；</w:t>
      </w:r>
    </w:p>
    <w:p>
      <w:pPr>
        <w:pStyle w:val="231"/>
      </w:pPr>
      <w:r>
        <w:rPr>
          <w:rFonts w:hint="eastAsia"/>
        </w:rPr>
        <w:t>c）自动触发SOS报警：当上升速度≥8m/s时且持续时间≥30s，下降速度≥12m/s且持续时间≥15秒，或海拔超过5500米且持续超过30秒时，满足任意一个条件时检查设备是否立即自动触发SOS告警模式。</w:t>
      </w:r>
    </w:p>
    <w:p>
      <w:pPr>
        <w:pStyle w:val="231"/>
      </w:pPr>
      <w:r>
        <w:rPr>
          <w:rFonts w:hint="eastAsia"/>
        </w:rPr>
        <w:t>若以上三种情况下均满足4.2.6指标要求，则该项合格。</w:t>
      </w:r>
    </w:p>
    <w:p>
      <w:pPr>
        <w:pStyle w:val="236"/>
        <w:spacing w:before="120" w:after="120"/>
      </w:pPr>
      <w:bookmarkStart w:id="211" w:name="_Toc236735675"/>
      <w:r>
        <w:rPr>
          <w:rFonts w:hint="eastAsia"/>
        </w:rPr>
        <w:t>7.2.7 回执确认提示</w:t>
      </w:r>
      <w:bookmarkEnd w:id="211"/>
    </w:p>
    <w:p>
      <w:pPr>
        <w:pStyle w:val="231"/>
      </w:pPr>
      <w:r>
        <w:rPr>
          <w:rFonts w:hint="eastAsia"/>
        </w:rPr>
        <w:t>在终端满足正常工作条件下，检查终端触发SOS报警后，收到平台确认回执时，终端能否通过声光信号提示确认求救信息送达，缓解运动员焦虑情绪。若超过等待时间后未收到平台确认回执，检查终端是否自动重发，直至收到平台确认回执，并进行声光提示。若若有操作均符合4.2.7指标要求，则该项合格。</w:t>
      </w:r>
    </w:p>
    <w:p>
      <w:pPr>
        <w:pStyle w:val="236"/>
        <w:spacing w:before="120" w:after="120"/>
      </w:pPr>
      <w:bookmarkStart w:id="212" w:name="_Toc236735676"/>
      <w:r>
        <w:rPr>
          <w:rFonts w:hint="eastAsia"/>
        </w:rPr>
        <w:t>7.2.8 消息接收等待时间</w:t>
      </w:r>
      <w:bookmarkEnd w:id="212"/>
    </w:p>
    <w:p>
      <w:pPr>
        <w:pStyle w:val="231"/>
      </w:pPr>
      <w:r>
        <w:rPr>
          <w:rFonts w:hint="eastAsia"/>
        </w:rPr>
        <w:t>在终端具备正常工作所有条件下，放置于户外无明显电磁干扰的开阔场景下，检查终端进行北斗短报文接收时，等待时间是否不小于10秒，等待期间检查终端是否通过声光方式提示用户保持对星状态。</w:t>
      </w:r>
    </w:p>
    <w:p>
      <w:pPr>
        <w:pStyle w:val="231"/>
      </w:pPr>
      <w:r>
        <w:rPr>
          <w:rFonts w:hint="eastAsia"/>
        </w:rPr>
        <w:t>若检查结果符合4.2.8指标要求，则该项合格。</w:t>
      </w:r>
    </w:p>
    <w:p>
      <w:pPr>
        <w:pStyle w:val="236"/>
        <w:spacing w:before="120" w:after="120"/>
      </w:pPr>
      <w:bookmarkStart w:id="213" w:name="_Toc236735677"/>
      <w:r>
        <w:rPr>
          <w:rFonts w:hint="eastAsia"/>
        </w:rPr>
        <w:t xml:space="preserve">7.2.9 </w:t>
      </w:r>
      <w:r>
        <w:t>位置上报</w:t>
      </w:r>
      <w:r>
        <w:rPr>
          <w:rFonts w:hint="eastAsia"/>
        </w:rPr>
        <w:t>功能</w:t>
      </w:r>
      <w:bookmarkEnd w:id="213"/>
    </w:p>
    <w:p>
      <w:pPr>
        <w:pStyle w:val="231"/>
        <w:rPr>
          <w:rFonts w:hint="eastAsia" w:hAnsi="宋体"/>
        </w:rPr>
      </w:pPr>
      <w:r>
        <w:rPr>
          <w:rFonts w:hint="eastAsia"/>
        </w:rPr>
        <w:t>在终端具备正常工作所有条件下，放置于户外无明显电磁干扰的开阔场景下，操作</w:t>
      </w:r>
      <w:r>
        <w:rPr>
          <w:rFonts w:hint="eastAsia" w:hAnsi="宋体"/>
        </w:rPr>
        <w:t>终端向管理平台或指定接收方发送连续位置报告或单次位置报告，检查终端是否具备该功能。检查</w:t>
      </w:r>
      <w:r>
        <w:rPr>
          <w:rFonts w:hint="eastAsia"/>
        </w:rPr>
        <w:t>终端</w:t>
      </w:r>
      <w:r>
        <w:rPr>
          <w:rFonts w:hAnsi="宋体"/>
        </w:rPr>
        <w:t>开机</w:t>
      </w:r>
      <w:r>
        <w:rPr>
          <w:rFonts w:hint="eastAsia" w:hAnsi="宋体"/>
        </w:rPr>
        <w:t>是否</w:t>
      </w:r>
      <w:r>
        <w:rPr>
          <w:rFonts w:hAnsi="宋体"/>
        </w:rPr>
        <w:t>自动连接北斗卫星，</w:t>
      </w:r>
      <w:r>
        <w:rPr>
          <w:rFonts w:hint="eastAsia" w:hAnsi="宋体"/>
        </w:rPr>
        <w:t>是否</w:t>
      </w:r>
      <w:r>
        <w:rPr>
          <w:rFonts w:hAnsi="宋体"/>
        </w:rPr>
        <w:t>自动进入位置上报模式</w:t>
      </w:r>
      <w:r>
        <w:rPr>
          <w:rFonts w:hint="eastAsia" w:hAnsi="宋体"/>
        </w:rPr>
        <w:t>。</w:t>
      </w:r>
    </w:p>
    <w:p>
      <w:pPr>
        <w:pStyle w:val="231"/>
        <w:rPr>
          <w:rFonts w:hint="eastAsia" w:hAnsi="宋体"/>
        </w:rPr>
      </w:pPr>
      <w:r>
        <w:rPr>
          <w:rFonts w:hint="eastAsia"/>
        </w:rPr>
        <w:t>若检查结果符合4.2.9指标要求，则该项合格。</w:t>
      </w:r>
    </w:p>
    <w:p>
      <w:pPr>
        <w:pStyle w:val="236"/>
        <w:spacing w:before="120" w:after="120"/>
      </w:pPr>
      <w:bookmarkStart w:id="214" w:name="_Toc236735678"/>
      <w:r>
        <w:rPr>
          <w:rFonts w:hint="eastAsia"/>
        </w:rPr>
        <w:t xml:space="preserve">7.2.10 </w:t>
      </w:r>
      <w:r>
        <w:t>位置上报</w:t>
      </w:r>
      <w:r>
        <w:rPr>
          <w:rFonts w:hint="eastAsia"/>
        </w:rPr>
        <w:t>频度</w:t>
      </w:r>
      <w:bookmarkEnd w:id="214"/>
    </w:p>
    <w:p>
      <w:pPr>
        <w:pStyle w:val="231"/>
      </w:pPr>
      <w:r>
        <w:rPr>
          <w:rFonts w:hint="eastAsia"/>
        </w:rPr>
        <w:t>将终端置于如下三种情况下检查每个情况下终端响应情况。</w:t>
      </w:r>
    </w:p>
    <w:p>
      <w:pPr>
        <w:pStyle w:val="231"/>
        <w:rPr>
          <w:rFonts w:hint="eastAsia" w:hAnsi="宋体"/>
        </w:rPr>
      </w:pPr>
      <w:r>
        <w:rPr>
          <w:rFonts w:hint="eastAsia"/>
        </w:rPr>
        <w:t>对于山地越野等户外运动场景</w:t>
      </w:r>
      <w:r>
        <w:rPr>
          <w:rFonts w:hint="eastAsia" w:hAnsi="宋体"/>
        </w:rPr>
        <w:t>，</w:t>
      </w:r>
      <w:r>
        <w:rPr>
          <w:rFonts w:hAnsi="宋体"/>
        </w:rPr>
        <w:t>常规模式下</w:t>
      </w:r>
      <w:r>
        <w:rPr>
          <w:rFonts w:hint="eastAsia" w:hAnsi="宋体"/>
        </w:rPr>
        <w:t>，终端支持</w:t>
      </w:r>
      <w:r>
        <w:rPr>
          <w:rFonts w:hAnsi="宋体"/>
        </w:rPr>
        <w:t>1分钟/次打点定位，5分钟/次回传定位信</w:t>
      </w:r>
      <w:r>
        <w:rPr>
          <w:rFonts w:hint="eastAsia" w:hAnsi="宋体"/>
        </w:rPr>
        <w:t>；</w:t>
      </w:r>
      <w:r>
        <w:rPr>
          <w:rFonts w:hAnsi="宋体"/>
        </w:rPr>
        <w:t>可根据赛事需求</w:t>
      </w:r>
      <w:r>
        <w:rPr>
          <w:rFonts w:hint="eastAsia" w:hAnsi="宋体"/>
        </w:rPr>
        <w:t>，通过本地或远程</w:t>
      </w:r>
      <w:r>
        <w:rPr>
          <w:rFonts w:hAnsi="宋体"/>
        </w:rPr>
        <w:t>配置打点定位频度和回传频度。</w:t>
      </w:r>
    </w:p>
    <w:p>
      <w:pPr>
        <w:pStyle w:val="231"/>
        <w:rPr>
          <w:rFonts w:hint="eastAsia" w:hAnsi="宋体"/>
        </w:rPr>
      </w:pPr>
      <w:r>
        <w:rPr>
          <w:rFonts w:hint="eastAsia" w:hAnsi="宋体"/>
        </w:rPr>
        <w:t>对于水上运动场景，</w:t>
      </w:r>
      <w:r>
        <w:rPr>
          <w:rFonts w:hAnsi="宋体"/>
        </w:rPr>
        <w:t>常规模式下，终端支持1分钟/次打点定位，5分钟/次回传定位信；可根据赛事需求，通过本地或远程配置打点定位频度和回传频度。</w:t>
      </w:r>
    </w:p>
    <w:p>
      <w:pPr>
        <w:pStyle w:val="231"/>
        <w:rPr>
          <w:rFonts w:hint="eastAsia" w:hAnsi="宋体"/>
        </w:rPr>
      </w:pPr>
      <w:r>
        <w:rPr>
          <w:rFonts w:hint="eastAsia" w:hAnsi="宋体"/>
        </w:rPr>
        <w:t>对于空中运动场景，常规模式下，支持持续每秒实时监控定位状态，5秒/次打点定位，2分钟/次回传定位信息，可根据赛事需求配置打点定位频度和回传频度。</w:t>
      </w:r>
    </w:p>
    <w:p>
      <w:pPr>
        <w:pStyle w:val="231"/>
        <w:rPr>
          <w:rFonts w:hint="eastAsia" w:hAnsi="宋体"/>
        </w:rPr>
      </w:pPr>
      <w:r>
        <w:rPr>
          <w:rFonts w:hint="eastAsia"/>
        </w:rPr>
        <w:t>若检查结果符合4.2.10指标要求，则该项合格。</w:t>
      </w:r>
    </w:p>
    <w:p>
      <w:pPr>
        <w:pStyle w:val="236"/>
        <w:spacing w:before="120" w:after="120"/>
      </w:pPr>
      <w:bookmarkStart w:id="215" w:name="_Toc236735679"/>
      <w:r>
        <w:rPr>
          <w:rFonts w:hint="eastAsia"/>
        </w:rPr>
        <w:t>7.2.11 轨迹存储功能</w:t>
      </w:r>
      <w:bookmarkEnd w:id="215"/>
    </w:p>
    <w:p>
      <w:pPr>
        <w:pStyle w:val="231"/>
      </w:pPr>
      <w:r>
        <w:rPr>
          <w:rFonts w:hint="eastAsia"/>
        </w:rPr>
        <w:t>将终端从正常工作条件下，放入屏蔽暗室内容，检查终端是否支持离线轨迹存储。检查终端在通信信号丢失时，终端是否支持本地缓存定位数据（离线存储空间不低于1000条位置），将被测终端从屏蔽暗室内拿出，放入正常工作环境中，检查终端是否在恢复信号后自动补传。</w:t>
      </w:r>
    </w:p>
    <w:p>
      <w:pPr>
        <w:pStyle w:val="231"/>
      </w:pPr>
      <w:r>
        <w:rPr>
          <w:rFonts w:hint="eastAsia"/>
        </w:rPr>
        <w:t>若检查结果符合4.2.11指标要求，则该项合格。</w:t>
      </w:r>
    </w:p>
    <w:p>
      <w:pPr>
        <w:pStyle w:val="236"/>
        <w:spacing w:before="120" w:after="120"/>
      </w:pPr>
      <w:bookmarkStart w:id="216" w:name="_Toc236735680"/>
      <w:r>
        <w:rPr>
          <w:rFonts w:hint="eastAsia"/>
        </w:rPr>
        <w:t>7.2.12 平台消息接收功能</w:t>
      </w:r>
      <w:bookmarkEnd w:id="216"/>
    </w:p>
    <w:p>
      <w:pPr>
        <w:pStyle w:val="231"/>
      </w:pPr>
      <w:r>
        <w:rPr>
          <w:rFonts w:hint="eastAsia"/>
        </w:rPr>
        <w:t>从正常工作条件检查终端是否支持接收平台应急消息功能，检查终端是否在收到平台应急消息后应能自动进行播报，是否有重读机制或重播按键。检查终端成功接收平台应急消息后，是否能反馈通信回执至平台。</w:t>
      </w:r>
    </w:p>
    <w:p>
      <w:pPr>
        <w:pStyle w:val="231"/>
      </w:pPr>
      <w:r>
        <w:rPr>
          <w:rFonts w:hint="eastAsia"/>
        </w:rPr>
        <w:t>若检查结果符合4.2.12指标要求，则该项合格。</w:t>
      </w:r>
    </w:p>
    <w:p>
      <w:pPr>
        <w:pStyle w:val="236"/>
        <w:spacing w:before="120" w:after="120"/>
      </w:pPr>
      <w:bookmarkStart w:id="217" w:name="_Toc236735681"/>
      <w:r>
        <w:rPr>
          <w:rFonts w:hint="eastAsia"/>
        </w:rPr>
        <w:t>7.2.13 参数动态配置功能</w:t>
      </w:r>
      <w:bookmarkEnd w:id="217"/>
    </w:p>
    <w:p>
      <w:pPr>
        <w:pStyle w:val="231"/>
      </w:pPr>
      <w:r>
        <w:rPr>
          <w:rFonts w:hint="eastAsia"/>
        </w:rPr>
        <w:t>实际操作检查终端是否具备业务参数动态配置功能，是否支持调整北斗短报文发射功率、发射频点等配置信息。</w:t>
      </w:r>
    </w:p>
    <w:p>
      <w:pPr>
        <w:pStyle w:val="231"/>
      </w:pPr>
      <w:r>
        <w:rPr>
          <w:rFonts w:hint="eastAsia"/>
        </w:rPr>
        <w:t>若检查结果符合4.2.13指标要求，则该项合格。</w:t>
      </w:r>
    </w:p>
    <w:p>
      <w:pPr>
        <w:pStyle w:val="106"/>
        <w:spacing w:before="120" w:after="120"/>
      </w:pPr>
      <w:bookmarkStart w:id="218" w:name="_Toc237425942"/>
      <w:bookmarkStart w:id="219" w:name="_Toc236735682"/>
      <w:bookmarkStart w:id="220" w:name="OLE_LINK15"/>
      <w:r>
        <w:rPr>
          <w:rFonts w:hint="eastAsia"/>
        </w:rPr>
        <w:t>性能测试</w:t>
      </w:r>
      <w:bookmarkEnd w:id="218"/>
      <w:bookmarkEnd w:id="219"/>
    </w:p>
    <w:bookmarkEnd w:id="220"/>
    <w:p>
      <w:pPr>
        <w:pStyle w:val="236"/>
        <w:spacing w:before="120" w:after="120"/>
      </w:pPr>
      <w:bookmarkStart w:id="221" w:name="_Toc236735683"/>
      <w:r>
        <w:rPr>
          <w:rFonts w:hint="eastAsia"/>
        </w:rPr>
        <w:t>7.3.1 北斗定位性能</w:t>
      </w:r>
      <w:bookmarkEnd w:id="221"/>
    </w:p>
    <w:p>
      <w:pPr>
        <w:pStyle w:val="237"/>
        <w:spacing w:before="120" w:after="120"/>
      </w:pPr>
      <w:bookmarkStart w:id="222" w:name="_Toc236735684"/>
      <w:r>
        <w:rPr>
          <w:rFonts w:hint="eastAsia"/>
        </w:rPr>
        <w:t>7.3.1.1 工作频段</w:t>
      </w:r>
      <w:bookmarkEnd w:id="222"/>
    </w:p>
    <w:p>
      <w:pPr>
        <w:pStyle w:val="231"/>
      </w:pPr>
      <w:r>
        <w:rPr>
          <w:rFonts w:hint="eastAsia"/>
        </w:rPr>
        <w:t>测试步骤如下：</w:t>
      </w:r>
    </w:p>
    <w:p>
      <w:pPr>
        <w:pStyle w:val="231"/>
      </w:pPr>
      <w:r>
        <w:rPr>
          <w:rFonts w:hint="eastAsia"/>
        </w:rPr>
        <w:t>a</w:t>
      </w:r>
      <w:r>
        <w:t>) 按</w:t>
      </w:r>
      <w:r>
        <w:rPr>
          <w:rFonts w:hint="eastAsia"/>
        </w:rPr>
        <w:t>图1</w:t>
      </w:r>
      <w:r>
        <w:t>连接,控制卫星导航信号模拟器播发被测设备支持的卫星导航模拟信号(PDOP≤6),使其到达被测设备天线口面的信号强度满足</w:t>
      </w:r>
      <w:r>
        <w:rPr>
          <w:rFonts w:hint="eastAsia"/>
        </w:rPr>
        <w:t>满足4.3.1.5中的要求。</w:t>
      </w:r>
    </w:p>
    <w:p>
      <w:pPr>
        <w:pStyle w:val="231"/>
      </w:pPr>
      <w:r>
        <w:rPr>
          <w:rFonts w:hint="eastAsia"/>
        </w:rPr>
        <w:t>b</w:t>
      </w:r>
      <w:r>
        <w:t>) 将被测设备开机,查看被测设备接收处理的卫星情况</w:t>
      </w:r>
      <w:r>
        <w:rPr>
          <w:rFonts w:hint="eastAsia"/>
        </w:rPr>
        <w:t>；</w:t>
      </w:r>
    </w:p>
    <w:p>
      <w:pPr>
        <w:pStyle w:val="231"/>
      </w:pPr>
      <w:r>
        <w:rPr>
          <w:rFonts w:hint="eastAsia"/>
        </w:rPr>
        <w:t>c</w:t>
      </w:r>
      <w:r>
        <w:t>) 若被测设备接收处理的卫星情况满足</w:t>
      </w:r>
      <w:r>
        <w:rPr>
          <w:rFonts w:hint="eastAsia"/>
        </w:rPr>
        <w:t>4.3.1.1</w:t>
      </w:r>
      <w:r>
        <w:t>的要求,则判定合格。</w:t>
      </w:r>
    </w:p>
    <w:p>
      <w:pPr>
        <w:pStyle w:val="231"/>
      </w:pPr>
      <w:r>
        <w:t>注:接收处理的卫星情况由信号ID号给出,信号ID号输出格式见</w:t>
      </w:r>
      <w:r>
        <w:rPr>
          <w:rFonts w:hint="eastAsia"/>
        </w:rPr>
        <w:t>GB/T 46369-2025的附录B</w:t>
      </w:r>
      <w:r>
        <w:t>。</w:t>
      </w:r>
    </w:p>
    <w:p>
      <w:pPr>
        <w:pStyle w:val="237"/>
        <w:spacing w:before="120" w:after="120"/>
      </w:pPr>
      <w:bookmarkStart w:id="223" w:name="_Toc236735685"/>
      <w:r>
        <w:rPr>
          <w:rFonts w:hint="eastAsia"/>
        </w:rPr>
        <w:t>7.3.1.2 定位精度</w:t>
      </w:r>
      <w:bookmarkEnd w:id="223"/>
    </w:p>
    <w:p>
      <w:pPr>
        <w:pStyle w:val="231"/>
      </w:pPr>
      <w:r>
        <w:rPr>
          <w:rFonts w:hint="eastAsia"/>
        </w:rPr>
        <w:t>1）静态定位精度测试步骤如下：</w:t>
      </w:r>
    </w:p>
    <w:p>
      <w:pPr>
        <w:pStyle w:val="231"/>
      </w:pPr>
      <w:r>
        <w:t>按</w:t>
      </w:r>
      <w:r>
        <w:rPr>
          <w:rFonts w:hint="eastAsia"/>
        </w:rPr>
        <w:t>图1</w:t>
      </w:r>
      <w:r>
        <w:t>连接,按</w:t>
      </w:r>
      <w:r>
        <w:rPr>
          <w:rFonts w:hint="eastAsia"/>
        </w:rPr>
        <w:t>5.3a)</w:t>
      </w:r>
      <w:r>
        <w:t>设置仿真测试场景,控制卫星导航信号模拟器播发被测设备支持的卫星导航模拟信号(PDOP≤6),使其到达被测设备天线口面的信号强度满足</w:t>
      </w:r>
      <w:r>
        <w:rPr>
          <w:rFonts w:hint="eastAsia"/>
        </w:rPr>
        <w:t>4.3.1.5</w:t>
      </w:r>
      <w:r>
        <w:t>中的要求。将被测设备开机,性能评估设备记录被测设备开机后301s</w:t>
      </w:r>
      <w:r>
        <w:rPr>
          <w:rFonts w:ascii="Times New Roman"/>
        </w:rPr>
        <w:t>~</w:t>
      </w:r>
      <w:r>
        <w:t>1300s时间段输出的定位结果,若有效定位结果总数小于950个,则终止本项测试并判定定位精度指标不合格,否则与卫星导航信号模拟器仿真的位置信息进行比对,按6.6.</w:t>
      </w:r>
      <w:r>
        <w:rPr>
          <w:rFonts w:hint="eastAsia"/>
        </w:rPr>
        <w:t>1</w:t>
      </w:r>
      <w:r>
        <w:t>.3计算水平定位误差和高程定位误差。将水平定位误差和高程定位误差分别按从小到大进行排序,分别取第950个水平定位误差和高程定位误差作为水平定位精度和高程定位精度。若水平定位精度和高程定位精度均满足</w:t>
      </w:r>
      <w:r>
        <w:rPr>
          <w:rFonts w:hint="eastAsia"/>
        </w:rPr>
        <w:t>4.3.1.2</w:t>
      </w:r>
      <w:r>
        <w:t>的要求,则</w:t>
      </w:r>
      <w:r>
        <w:rPr>
          <w:rFonts w:hint="eastAsia"/>
        </w:rPr>
        <w:t>该项</w:t>
      </w:r>
      <w:r>
        <w:t>合格。</w:t>
      </w:r>
    </w:p>
    <w:p>
      <w:pPr>
        <w:pStyle w:val="231"/>
      </w:pPr>
      <w:r>
        <w:rPr>
          <w:rFonts w:hint="eastAsia"/>
        </w:rPr>
        <w:t>2）动态定位精度测试步骤如下：</w:t>
      </w:r>
    </w:p>
    <w:p>
      <w:pPr>
        <w:pStyle w:val="231"/>
      </w:pPr>
      <w:r>
        <w:rPr>
          <w:rFonts w:hint="eastAsia"/>
        </w:rPr>
        <w:t>按图1连接,按5.3c)设置仿真测试场景,控制卫星导航信号模拟器播发被测设备支持的卫星导航模拟信号(PDOP≤6),使其到达被测设备天线口面的信号强度满足4.3.1.5</w:t>
      </w:r>
      <w:r>
        <w:t>中的要求</w:t>
      </w:r>
      <w:r>
        <w:rPr>
          <w:rFonts w:hint="eastAsia"/>
        </w:rPr>
        <w:t>。将被测设备开机,性能评估设备记录被测设备开机后301s</w:t>
      </w:r>
      <w:r>
        <w:rPr>
          <w:rFonts w:ascii="Times New Roman"/>
        </w:rPr>
        <w:t>~</w:t>
      </w:r>
      <w:r>
        <w:rPr>
          <w:rFonts w:hint="eastAsia"/>
        </w:rPr>
        <w:t>1300s时间段输出的定位结果,若有效定位结果总数小于950个,则终止本项测试并判定定位精度指标不合格,否则与卫星导航信号模拟器仿真的位置信息进行比对,按6.6.1.3计算水平定位误差和高程定位误差。将水平定位误差和高程定位误差分别按从小到大进行排序,分别取第950个水平定位误差和高程定位误差作为水平定位精度和高程定位精度。若水平定位精度和高程定位精度均</w:t>
      </w:r>
      <w:r>
        <w:t>满足</w:t>
      </w:r>
      <w:r>
        <w:rPr>
          <w:rFonts w:hint="eastAsia"/>
        </w:rPr>
        <w:t>4.3.1.2</w:t>
      </w:r>
      <w:r>
        <w:t>的要求</w:t>
      </w:r>
      <w:r>
        <w:rPr>
          <w:rFonts w:hint="eastAsia"/>
        </w:rPr>
        <w:t>,则该项合格。</w:t>
      </w:r>
    </w:p>
    <w:p>
      <w:pPr>
        <w:pStyle w:val="231"/>
      </w:pPr>
      <w:bookmarkStart w:id="224" w:name="_Toc236735686"/>
      <w:r>
        <w:rPr>
          <w:rFonts w:hint="eastAsia"/>
        </w:rPr>
        <w:t>3）计算方法</w:t>
      </w:r>
      <w:bookmarkEnd w:id="224"/>
    </w:p>
    <w:p>
      <w:pPr>
        <w:pStyle w:val="231"/>
      </w:pPr>
      <w:r>
        <w:t>按公式(1)将被测设备的定位结果(大地经度、大地纬度、大地高)与相应的位置参考值(大地经度、大地纬度、大地高)分别转换成地心地固(ECEF)直角坐标系坐标。</w:t>
      </w:r>
    </w:p>
    <w:p>
      <w:pPr>
        <w:jc w:val="center"/>
      </w:pPr>
    </w:p>
    <w:p>
      <w:pPr>
        <w:ind w:firstLine="3570" w:firstLineChars="1700"/>
        <w:jc w:val="left"/>
        <w:rPr>
          <w:rFonts w:hAnsi="Cambria Math"/>
        </w:rPr>
      </w:pPr>
      <m:oMath>
        <m:r>
          <m:rPr/>
          <w:rPr>
            <w:rFonts w:ascii="Cambria Math" w:hAnsi="Cambria Math"/>
          </w:rPr>
          <m:t>x=(N+H)</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r>
              <m:rPr/>
              <w:rPr>
                <w:rFonts w:ascii="Cambria Math" w:hAnsi="Cambria Math"/>
              </w:rPr>
              <m:t>B</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r>
                  <m:rPr/>
                  <w:rPr>
                    <w:rFonts w:ascii="Cambria Math" w:hAnsi="Cambria Math"/>
                  </w:rPr>
                  <m:t>L</m:t>
                </m:r>
                <m:ctrlPr>
                  <w:rPr>
                    <w:rFonts w:ascii="Cambria Math" w:hAnsi="Cambria Math"/>
                    <w:i/>
                  </w:rPr>
                </m:ctrlPr>
              </m:e>
            </m:func>
            <m:ctrlPr>
              <w:rPr>
                <w:rFonts w:ascii="Cambria Math" w:hAnsi="Cambria Math"/>
                <w:i/>
              </w:rPr>
            </m:ctrlPr>
          </m:e>
        </m:func>
      </m:oMath>
      <w:r>
        <mc:AlternateContent>
          <mc:Choice Requires="wps">
            <w:drawing>
              <wp:anchor distT="0" distB="0" distL="114300" distR="114300" simplePos="0" relativeHeight="251665408" behindDoc="0" locked="0" layoutInCell="1" allowOverlap="1">
                <wp:simplePos x="0" y="0"/>
                <wp:positionH relativeFrom="column">
                  <wp:posOffset>2100580</wp:posOffset>
                </wp:positionH>
                <wp:positionV relativeFrom="paragraph">
                  <wp:posOffset>13970</wp:posOffset>
                </wp:positionV>
                <wp:extent cx="125095" cy="930275"/>
                <wp:effectExtent l="4445" t="4445" r="3810" b="17780"/>
                <wp:wrapNone/>
                <wp:docPr id="14" name="左大括号 14"/>
                <wp:cNvGraphicFramePr/>
                <a:graphic xmlns:a="http://schemas.openxmlformats.org/drawingml/2006/main">
                  <a:graphicData uri="http://schemas.microsoft.com/office/word/2010/wordprocessingShape">
                    <wps:wsp>
                      <wps:cNvSpPr/>
                      <wps:spPr>
                        <a:xfrm>
                          <a:off x="3000375" y="4851400"/>
                          <a:ext cx="125095" cy="930275"/>
                        </a:xfrm>
                        <a:prstGeom prst="leftBrac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87" type="#_x0000_t87" style="position:absolute;left:0pt;margin-left:165.4pt;margin-top:1.1pt;height:73.25pt;width:9.85pt;z-index:251665408;mso-width-relative:page;mso-height-relative:page;" filled="f" stroked="t" coordsize="21600,21600" o:gfxdata="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IER72tUAAAAJAQAADwAAAAAAAAABACAAAAA4AAAAZHJzL2Rvd25yZXYueG1sUEsBAhQAFAAAAAgA&#10;h07iQJ5HQcjZAQAAdwMAAA4AAAAAAAAAAQAgAAAAOgEAAGRycy9lMm9Eb2MueG1sUEsFBgAAAAAG&#10;AAYAWQEAAIUFAAAAAA==&#10;" adj="242,10800">
                <v:fill on="f" focussize="0,0"/>
                <v:stroke weight="0.5pt" color="#000000 [3213]" miterlimit="8" joinstyle="miter"/>
                <v:imagedata o:title=""/>
                <o:lock v:ext="edit" aspectratio="f"/>
              </v:shape>
            </w:pict>
          </mc:Fallback>
        </mc:AlternateContent>
      </w:r>
    </w:p>
    <w:p>
      <w:pPr>
        <w:jc w:val="left"/>
        <w:rPr>
          <w:rFonts w:hAnsi="Cambria Math"/>
        </w:rPr>
      </w:pPr>
      <m:oMathPara>
        <m:oMath>
          <m:r>
            <m:rPr/>
            <w:rPr>
              <w:rFonts w:ascii="Cambria Math" w:hAnsi="Cambria Math"/>
            </w:rPr>
            <m:t>y=(N+H)</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r>
                <m:rPr/>
                <w:rPr>
                  <w:rFonts w:ascii="Cambria Math" w:hAnsi="Cambria Math"/>
                </w:rPr>
                <m:t>B</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r>
                    <m:rPr>
                      <m:sty m:val="p"/>
                    </m:rPr>
                    <w:rPr>
                      <w:rFonts w:ascii="Cambria Math" w:hAnsi="Cambria Math"/>
                    </w:rPr>
                    <m:t>L</m:t>
                  </m:r>
                  <m:ctrlPr>
                    <w:rPr>
                      <w:rFonts w:ascii="Cambria Math" w:hAnsi="Cambria Math"/>
                      <w:i/>
                    </w:rPr>
                  </m:ctrlPr>
                </m:e>
              </m:func>
              <m:ctrlPr>
                <w:rPr>
                  <w:rFonts w:ascii="Cambria Math" w:hAnsi="Cambria Math"/>
                  <w:i/>
                </w:rPr>
              </m:ctrlPr>
            </m:e>
          </m:func>
        </m:oMath>
      </m:oMathPara>
    </w:p>
    <w:p>
      <w:pPr>
        <w:ind w:firstLine="3570" w:firstLineChars="1700"/>
        <w:jc w:val="left"/>
        <w:rPr>
          <w:rFonts w:hAnsi="Cambria Math"/>
          <w:i/>
        </w:rPr>
      </w:pPr>
      <m:oMath>
        <m:r>
          <m:rPr/>
          <w:rPr>
            <w:rFonts w:ascii="Cambria Math" w:hAnsi="Cambria Math"/>
          </w:rPr>
          <m:t>z=</m:t>
        </m:r>
        <m:d>
          <m:dPr>
            <m:begChr m:val="["/>
            <m:endChr m:val="]"/>
            <m:ctrlPr>
              <w:rPr>
                <w:rFonts w:ascii="Cambria Math" w:hAnsi="Cambria Math"/>
                <w:i/>
              </w:rPr>
            </m:ctrlPr>
          </m:dPr>
          <m:e>
            <m:r>
              <m:rPr/>
              <w:rPr>
                <w:rFonts w:ascii="Cambria Math" w:hAnsi="Cambria Math"/>
              </w:rPr>
              <m:t>N(1−</m:t>
            </m:r>
            <m:sSup>
              <m:sSupPr>
                <m:ctrlPr>
                  <w:rPr>
                    <w:rFonts w:ascii="Cambria Math" w:hAnsi="Cambria Math"/>
                    <w:i/>
                  </w:rPr>
                </m:ctrlPr>
              </m:sSupPr>
              <m:e>
                <m:r>
                  <m:rPr/>
                  <w:rPr>
                    <w:rFonts w:ascii="Cambria Math" w:hAnsi="Cambria Math"/>
                  </w:rPr>
                  <m:t>e</m:t>
                </m:r>
                <m:ctrlPr>
                  <w:rPr>
                    <w:rFonts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)+H</m:t>
            </m:r>
            <m:ctrlPr>
              <w:rPr>
                <w:rFonts w:ascii="Cambria Math" w:hAnsi="Cambria Math"/>
                <w:i/>
              </w:rPr>
            </m:ctrlPr>
          </m:e>
        </m:d>
        <m:func>
          <m:funcPr>
            <m:ctrlPr>
              <w:rPr>
                <w:rFonts w:ascii="Cambria Math" w:hAnsi="Cambria Math"/>
              </w:rPr>
            </m:ctrlPr>
          </m:funcPr>
          <m:fName>
            <m:r>
              <m:rPr>
                <m:sty m:val="p"/>
              </m:rPr>
              <w:rPr>
                <w:rFonts w:ascii="Cambria Math" w:hAnsi="Cambria Math"/>
              </w:rPr>
              <m:t>sin</m:t>
            </m:r>
            <m:ctrlPr>
              <w:rPr>
                <w:rFonts w:ascii="Cambria Math" w:hAnsi="Cambria Math"/>
                <w:i/>
              </w:rPr>
            </m:ctrlPr>
          </m:fName>
          <m:e>
            <m:r>
              <m:rPr/>
              <w:rPr>
                <w:rFonts w:ascii="Cambria Math" w:hAnsi="Cambria Math"/>
              </w:rPr>
              <m:t>B</m:t>
            </m:r>
            <m:ctrlPr>
              <w:rPr>
                <w:rFonts w:ascii="Cambria Math" w:hAnsi="Cambria Math"/>
                <w:i/>
              </w:rPr>
            </m:ctrlPr>
          </m:e>
        </m:func>
      </m:oMath>
      <w:r>
        <w:rPr>
          <w:rFonts w:ascii="Arial" w:hAnsi="Arial" w:cs="Arial"/>
          <w:i/>
        </w:rPr>
        <w:t>…………………………………</w:t>
      </w:r>
      <w:r>
        <w:rPr>
          <w:rFonts w:hint="eastAsia" w:ascii="Arial" w:hAnsi="Arial" w:cs="Arial"/>
          <w:iCs/>
        </w:rPr>
        <w:t>（1）</w:t>
      </w:r>
    </w:p>
    <w:p>
      <w:pPr>
        <w:jc w:val="left"/>
        <w:rPr>
          <w:rFonts w:hAnsi="Cambria Math"/>
        </w:rPr>
      </w:pPr>
      <m:oMathPara>
        <m:oMath>
          <m:r>
            <m:rPr/>
            <w:rPr>
              <w:rFonts w:ascii="Cambria Math" w:hAnsi="Cambria Math"/>
            </w:rPr>
            <m:t>N=</m:t>
          </m:r>
          <m:f>
            <m:fPr>
              <m:ctrlPr>
                <w:rPr>
                  <w:rFonts w:ascii="Cambria Math" w:hAnsi="Cambria Math"/>
                  <w:i/>
                </w:rPr>
              </m:ctrlPr>
            </m:fPr>
            <m:num>
              <m:r>
                <m:rPr/>
                <w:rPr>
                  <w:rFonts w:ascii="Cambria Math" w:hAnsi="Cambria Math"/>
                </w:rPr>
                <m:t>a</m:t>
              </m:r>
              <m:ctrlPr>
                <w:rPr>
                  <w:rFonts w:ascii="Cambria Math" w:hAnsi="Cambria Math"/>
                  <w:i/>
                </w:rPr>
              </m:ctrlPr>
            </m:num>
            <m:den>
              <m:rad>
                <m:radPr>
                  <m:degHide m:val="true"/>
                  <m:ctrlPr>
                    <w:rPr>
                      <w:rFonts w:ascii="Cambria Math" w:hAnsi="Cambria Math"/>
                      <w:i/>
                    </w:rPr>
                  </m:ctrlPr>
                </m:radPr>
                <m:deg>
                  <m:ctrlPr>
                    <w:rPr>
                      <w:rFonts w:ascii="Cambria Math" w:hAnsi="Cambria Math"/>
                      <w:i/>
                    </w:rPr>
                  </m:ctrlPr>
                </m:deg>
                <m:e>
                  <m:r>
                    <m:rPr/>
                    <w:rPr>
                      <w:rFonts w:ascii="Cambria Math" w:hAnsi="Cambria Math"/>
                    </w:rPr>
                    <m:t>1−</m:t>
                  </m:r>
                  <m:sSup>
                    <m:sSupPr>
                      <m:ctrlPr>
                        <w:rPr>
                          <w:rFonts w:ascii="Cambria Math" w:hAnsi="Cambria Math"/>
                          <w:i/>
                        </w:rPr>
                      </m:ctrlPr>
                    </m:sSupPr>
                    <m:e>
                      <m:r>
                        <m:rPr/>
                        <w:rPr>
                          <w:rFonts w:ascii="Cambria Math" w:hAnsi="Cambria Math"/>
                        </w:rPr>
                        <m:t>e</m:t>
                      </m:r>
                      <m:ctrlPr>
                        <w:rPr>
                          <w:rFonts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sin</m:t>
                          </m:r>
                          <m:ctrlPr>
                            <w:rPr>
                              <w:rFonts w:ascii="Cambria Math" w:hAnsi="Cambria Math"/>
                              <w:i/>
                            </w:rPr>
                          </m:ctrlPr>
                        </m:fName>
                        <m:e>
                          <m:r>
                            <m:rPr/>
                            <w:rPr>
                              <w:rFonts w:ascii="Cambria Math" w:hAnsi="Cambria Math"/>
                            </w:rPr>
                            <m:t>B)</m:t>
                          </m:r>
                          <m:ctrlPr>
                            <w:rPr>
                              <w:rFonts w:ascii="Cambria Math" w:hAnsi="Cambria Math"/>
                              <w:i/>
                            </w:rPr>
                          </m:ctrlPr>
                        </m:e>
                      </m:func>
                      <m:ctrlPr>
                        <w:rPr>
                          <w:rFonts w:ascii="Cambria Math" w:hAnsi="Cambria Math"/>
                          <w:i/>
                        </w:rPr>
                      </m:ctrlPr>
                    </m:e>
                    <m:sup>
                      <m:r>
                        <m:rPr/>
                        <w:rPr>
                          <w:rFonts w:ascii="Cambria Math" w:hAnsi="Cambria Math"/>
                        </w:rPr>
                        <m:t>2</m:t>
                      </m:r>
                      <m:ctrlPr>
                        <w:rPr>
                          <w:rFonts w:ascii="Cambria Math" w:hAnsi="Cambria Math"/>
                          <w:i/>
                        </w:rPr>
                      </m:ctrlPr>
                    </m:sup>
                  </m:sSup>
                  <m:ctrlPr>
                    <w:rPr>
                      <w:rFonts w:ascii="Cambria Math" w:hAnsi="Cambria Math"/>
                      <w:i/>
                    </w:rPr>
                  </m:ctrlPr>
                </m:e>
              </m:rad>
              <m:ctrlPr>
                <w:rPr>
                  <w:rFonts w:ascii="Cambria Math" w:hAnsi="Cambria Math"/>
                  <w:i/>
                </w:rPr>
              </m:ctrlPr>
            </m:den>
          </m:f>
        </m:oMath>
      </m:oMathPara>
    </w:p>
    <w:p>
      <w:pPr>
        <w:jc w:val="left"/>
      </w:pPr>
    </w:p>
    <w:p>
      <w:pPr>
        <w:jc w:val="left"/>
      </w:pPr>
      <w:r>
        <w:rPr>
          <w:rFonts w:hint="eastAsia"/>
        </w:rPr>
        <w:t>式中:</w:t>
      </w:r>
    </w:p>
    <w:p>
      <w:pPr>
        <w:ind w:firstLine="420" w:firstLineChars="200"/>
        <w:jc w:val="left"/>
        <w:rPr>
          <w:rFonts w:ascii="E-BZ" w:hAnsi="E-BZ" w:eastAsia="E-BZ"/>
          <w:sz w:val="19"/>
        </w:rPr>
      </w:pPr>
      <m:oMath>
        <m:r>
          <m:rPr/>
          <w:rPr>
            <w:rFonts w:ascii="Cambria Math" w:hAnsi="Cambria Math"/>
          </w:rPr>
          <m:t>x</m:t>
        </m:r>
      </m:oMath>
      <w:r>
        <w:rPr>
          <w:rFonts w:hint="eastAsia" w:ascii="E-BX" w:hAnsi="E-BX" w:eastAsia="E-BX"/>
          <w:sz w:val="20"/>
        </w:rPr>
        <w:t xml:space="preserve"> </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X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20" w:firstLineChars="200"/>
        <w:jc w:val="left"/>
        <w:rPr>
          <w:rFonts w:ascii="E-BZ" w:hAnsi="E-BZ" w:eastAsia="E-BZ"/>
          <w:sz w:val="19"/>
        </w:rPr>
      </w:pPr>
      <m:oMath>
        <m:r>
          <m:rPr/>
          <w:rPr>
            <w:rFonts w:ascii="Cambria Math" w:hAnsi="Cambria Math"/>
          </w:rPr>
          <m:t>y</m:t>
        </m:r>
      </m:oMath>
      <w:r>
        <w:rPr>
          <w:rFonts w:hint="eastAsia" w:ascii="E-BX" w:hAnsi="E-BX" w:eastAsia="E-BX"/>
          <w:sz w:val="20"/>
        </w:rPr>
        <w:t xml:space="preserve"> </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Y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20" w:firstLineChars="200"/>
        <w:jc w:val="left"/>
        <w:rPr>
          <w:rFonts w:ascii="E-BZ" w:hAnsi="E-BZ" w:eastAsia="E-BZ"/>
          <w:sz w:val="19"/>
        </w:rPr>
      </w:pPr>
      <m:oMath>
        <m:r>
          <m:rPr/>
          <w:rPr>
            <w:rFonts w:ascii="Cambria Math" w:hAnsi="Cambria Math"/>
          </w:rPr>
          <m:t>z</m:t>
        </m:r>
      </m:oMath>
      <w:r>
        <w:rPr>
          <w:rFonts w:hint="eastAsia" w:ascii="E-BX" w:hAnsi="E-BX" w:eastAsia="E-BX"/>
          <w:sz w:val="20"/>
        </w:rPr>
        <w:t xml:space="preserve"> </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Z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 xml:space="preserve">N </w:t>
      </w:r>
      <w:r>
        <w:rPr>
          <w:rFonts w:hint="eastAsia" w:ascii="E-BZ" w:hAnsi="E-BZ" w:eastAsia="E-BZ"/>
          <w:sz w:val="19"/>
        </w:rPr>
        <w:t>——</w:t>
      </w:r>
      <w:r>
        <w:rPr>
          <w:rFonts w:hint="eastAsia" w:ascii="FZSSK--GBK1-0" w:hAnsi="FZSSK--GBK1-0" w:eastAsia="FZSSK--GBK1-0"/>
          <w:sz w:val="19"/>
        </w:rPr>
        <w:t>卯酉圈曲率半径</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 xml:space="preserve">H </w:t>
      </w:r>
      <w:r>
        <w:rPr>
          <w:rFonts w:hint="eastAsia" w:ascii="E-BZ" w:hAnsi="E-BZ" w:eastAsia="E-BZ"/>
          <w:sz w:val="19"/>
        </w:rPr>
        <w:t>——</w:t>
      </w:r>
      <w:r>
        <w:rPr>
          <w:rFonts w:hint="eastAsia" w:ascii="FZSSK--GBK1-0" w:hAnsi="FZSSK--GBK1-0" w:eastAsia="FZSSK--GBK1-0"/>
          <w:sz w:val="19"/>
        </w:rPr>
        <w:t>大地高</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 xml:space="preserve">B </w:t>
      </w:r>
      <w:r>
        <w:rPr>
          <w:rFonts w:hint="eastAsia" w:ascii="E-BZ" w:hAnsi="E-BZ" w:eastAsia="E-BZ"/>
          <w:sz w:val="19"/>
        </w:rPr>
        <w:t>——</w:t>
      </w:r>
      <w:r>
        <w:rPr>
          <w:rFonts w:hint="eastAsia" w:ascii="FZSSK--GBK1-0" w:hAnsi="FZSSK--GBK1-0" w:eastAsia="FZSSK--GBK1-0"/>
          <w:sz w:val="19"/>
        </w:rPr>
        <w:t>大地纬度</w:t>
      </w:r>
      <w:r>
        <w:rPr>
          <w:rFonts w:hint="eastAsia" w:ascii="E-BZ" w:hAnsi="E-BZ" w:eastAsia="E-BZ"/>
          <w:sz w:val="19"/>
        </w:rPr>
        <w:t>,</w:t>
      </w:r>
      <w:r>
        <w:rPr>
          <w:rFonts w:hint="eastAsia" w:ascii="FZSSK--GBK1-0" w:hAnsi="FZSSK--GBK1-0" w:eastAsia="FZSSK--GBK1-0"/>
          <w:sz w:val="19"/>
        </w:rPr>
        <w:t>单位为弧度</w:t>
      </w:r>
      <w:r>
        <w:rPr>
          <w:rFonts w:hint="eastAsia" w:ascii="E-BZ" w:hAnsi="E-BZ" w:eastAsia="E-BZ"/>
          <w:sz w:val="19"/>
        </w:rPr>
        <w:t>(rad)；</w:t>
      </w:r>
    </w:p>
    <w:p>
      <w:pPr>
        <w:ind w:firstLine="400" w:firstLineChars="200"/>
        <w:jc w:val="left"/>
        <w:rPr>
          <w:rFonts w:ascii="E-BZ" w:hAnsi="E-BZ" w:eastAsia="E-BZ"/>
          <w:sz w:val="19"/>
        </w:rPr>
      </w:pPr>
      <w:r>
        <w:rPr>
          <w:rFonts w:hint="eastAsia" w:ascii="E-BX" w:hAnsi="E-BX" w:eastAsia="E-BX"/>
          <w:sz w:val="20"/>
        </w:rPr>
        <w:t xml:space="preserve">L </w:t>
      </w:r>
      <w:r>
        <w:rPr>
          <w:rFonts w:hint="eastAsia" w:ascii="E-BZ" w:hAnsi="E-BZ" w:eastAsia="E-BZ"/>
          <w:sz w:val="19"/>
        </w:rPr>
        <w:t>——</w:t>
      </w:r>
      <w:r>
        <w:rPr>
          <w:rFonts w:hint="eastAsia" w:ascii="FZSSK--GBK1-0" w:hAnsi="FZSSK--GBK1-0" w:eastAsia="FZSSK--GBK1-0"/>
          <w:sz w:val="19"/>
        </w:rPr>
        <w:t>大地经度</w:t>
      </w:r>
      <w:r>
        <w:rPr>
          <w:rFonts w:hint="eastAsia" w:ascii="E-BZ" w:hAnsi="E-BZ" w:eastAsia="E-BZ"/>
          <w:sz w:val="19"/>
        </w:rPr>
        <w:t>,</w:t>
      </w:r>
      <w:r>
        <w:rPr>
          <w:rFonts w:hint="eastAsia" w:ascii="FZSSK--GBK1-0" w:hAnsi="FZSSK--GBK1-0" w:eastAsia="FZSSK--GBK1-0"/>
          <w:sz w:val="19"/>
        </w:rPr>
        <w:t>单位为弧度</w:t>
      </w:r>
      <w:r>
        <w:rPr>
          <w:rFonts w:hint="eastAsia" w:ascii="E-BZ" w:hAnsi="E-BZ" w:eastAsia="E-BZ"/>
          <w:sz w:val="19"/>
        </w:rPr>
        <w:t>(rad)；</w:t>
      </w:r>
    </w:p>
    <w:p>
      <w:pPr>
        <w:ind w:firstLine="400" w:firstLineChars="200"/>
        <w:jc w:val="left"/>
        <w:rPr>
          <w:rFonts w:ascii="E-BZ" w:hAnsi="E-BZ" w:eastAsia="E-BZ"/>
          <w:sz w:val="19"/>
        </w:rPr>
      </w:pPr>
      <w:r>
        <w:rPr>
          <w:rFonts w:hint="eastAsia" w:ascii="E-BX" w:hAnsi="E-BX" w:eastAsia="E-BX"/>
          <w:sz w:val="20"/>
        </w:rPr>
        <w:t xml:space="preserve">e </w:t>
      </w:r>
      <w:r>
        <w:rPr>
          <w:rFonts w:hint="eastAsia" w:ascii="E-BZ" w:hAnsi="E-BZ" w:eastAsia="E-BZ"/>
          <w:sz w:val="19"/>
        </w:rPr>
        <w:t>——CGCS2000</w:t>
      </w:r>
      <w:r>
        <w:rPr>
          <w:rFonts w:hint="eastAsia" w:ascii="FZSSK--GBK1-0" w:hAnsi="FZSSK--GBK1-0" w:eastAsia="FZSSK--GBK1-0"/>
          <w:sz w:val="19"/>
        </w:rPr>
        <w:t>参考椭球第一偏心率</w:t>
      </w:r>
      <w:r>
        <w:rPr>
          <w:rFonts w:hint="eastAsia" w:ascii="E-BZ" w:hAnsi="E-BZ" w:eastAsia="E-BZ"/>
          <w:sz w:val="19"/>
        </w:rPr>
        <w:t>,</w:t>
      </w:r>
      <w:r>
        <w:rPr>
          <w:rFonts w:hint="eastAsia" w:ascii="E-BX" w:hAnsi="E-BX" w:eastAsia="E-BX"/>
          <w:sz w:val="20"/>
        </w:rPr>
        <w:t xml:space="preserve">e </w:t>
      </w:r>
      <w:r>
        <w:rPr>
          <w:rFonts w:hint="eastAsia" w:ascii="E-BZ" w:hAnsi="E-BZ" w:eastAsia="E-BZ"/>
          <w:sz w:val="19"/>
        </w:rPr>
        <w:t>=0.0818191910428；</w:t>
      </w:r>
    </w:p>
    <w:p>
      <w:pPr>
        <w:ind w:firstLine="400" w:firstLineChars="200"/>
        <w:jc w:val="left"/>
        <w:rPr>
          <w:rFonts w:ascii="E-BZ" w:hAnsi="E-BZ" w:eastAsia="E-BZ"/>
          <w:sz w:val="19"/>
        </w:rPr>
      </w:pPr>
      <w:r>
        <w:rPr>
          <w:rFonts w:hint="eastAsia" w:ascii="E-BX" w:hAnsi="E-BX" w:eastAsia="E-BX"/>
          <w:sz w:val="20"/>
        </w:rPr>
        <w:t xml:space="preserve">a </w:t>
      </w:r>
      <w:r>
        <w:rPr>
          <w:rFonts w:hint="eastAsia" w:ascii="E-BZ" w:hAnsi="E-BZ" w:eastAsia="E-BZ"/>
          <w:sz w:val="19"/>
        </w:rPr>
        <w:t>——CGCS2000</w:t>
      </w:r>
      <w:r>
        <w:rPr>
          <w:rFonts w:hint="eastAsia" w:ascii="FZSSK--GBK1-0" w:hAnsi="FZSSK--GBK1-0" w:eastAsia="FZSSK--GBK1-0"/>
          <w:sz w:val="19"/>
        </w:rPr>
        <w:t>参考椭球长半轴</w:t>
      </w:r>
      <w:r>
        <w:rPr>
          <w:rFonts w:hint="eastAsia" w:ascii="E-BZ" w:hAnsi="E-BZ" w:eastAsia="E-BZ"/>
          <w:sz w:val="19"/>
        </w:rPr>
        <w:t>,</w:t>
      </w:r>
      <w:r>
        <w:rPr>
          <w:rFonts w:hint="eastAsia" w:ascii="E-BX" w:hAnsi="E-BX" w:eastAsia="E-BX"/>
          <w:sz w:val="20"/>
        </w:rPr>
        <w:t xml:space="preserve">a </w:t>
      </w:r>
      <w:r>
        <w:rPr>
          <w:rFonts w:hint="eastAsia" w:ascii="E-BZ" w:hAnsi="E-BZ" w:eastAsia="E-BZ"/>
          <w:sz w:val="19"/>
        </w:rPr>
        <w:t>=6378137m。</w:t>
      </w:r>
    </w:p>
    <w:p>
      <w:pPr>
        <w:pStyle w:val="231"/>
        <w:ind w:firstLine="380"/>
        <w:rPr>
          <w:rFonts w:ascii="E-BZ" w:hAnsi="E-BZ" w:eastAsia="E-BZ"/>
          <w:sz w:val="19"/>
          <w:szCs w:val="24"/>
        </w:rPr>
      </w:pPr>
      <w:r>
        <w:rPr>
          <w:rFonts w:hint="eastAsia" w:ascii="FZSSK--GBK1-0" w:hAnsi="FZSSK--GBK1-0" w:eastAsia="FZSSK--GBK1-0"/>
          <w:sz w:val="19"/>
          <w:szCs w:val="24"/>
        </w:rPr>
        <w:t>按公式</w:t>
      </w:r>
      <w:r>
        <w:rPr>
          <w:rFonts w:hint="eastAsia" w:ascii="E-BZ" w:hAnsi="E-BZ" w:eastAsia="E-BZ"/>
          <w:sz w:val="19"/>
          <w:szCs w:val="24"/>
        </w:rPr>
        <w:t>(2)</w:t>
      </w:r>
      <w:r>
        <w:rPr>
          <w:rFonts w:hint="eastAsia" w:ascii="FZSSK--GBK1-0" w:hAnsi="FZSSK--GBK1-0" w:eastAsia="FZSSK--GBK1-0"/>
          <w:sz w:val="19"/>
          <w:szCs w:val="24"/>
        </w:rPr>
        <w:t>和公式</w:t>
      </w:r>
      <w:r>
        <w:rPr>
          <w:rFonts w:hint="eastAsia" w:ascii="E-BZ" w:hAnsi="E-BZ" w:eastAsia="E-BZ"/>
          <w:sz w:val="19"/>
          <w:szCs w:val="24"/>
        </w:rPr>
        <w:t>(3)</w:t>
      </w:r>
      <w:r>
        <w:rPr>
          <w:rFonts w:hint="eastAsia" w:ascii="FZSSK--GBK1-0" w:hAnsi="FZSSK--GBK1-0" w:eastAsia="FZSSK--GBK1-0"/>
          <w:sz w:val="19"/>
          <w:szCs w:val="24"/>
        </w:rPr>
        <w:t>分别计算水平定位误差和高程定位误差</w:t>
      </w:r>
      <w:r>
        <w:rPr>
          <w:rFonts w:hint="eastAsia" w:ascii="E-BZ" w:hAnsi="E-BZ" w:eastAsia="E-BZ"/>
          <w:sz w:val="19"/>
          <w:szCs w:val="24"/>
        </w:rPr>
        <w:t>。</w:t>
      </w:r>
    </w:p>
    <w:p>
      <w:pPr>
        <w:pStyle w:val="231"/>
        <w:ind w:firstLine="380"/>
        <w:rPr>
          <w:rFonts w:ascii="E-BZ" w:hAnsi="E-BZ" w:eastAsia="E-BZ"/>
          <w:sz w:val="19"/>
          <w:szCs w:val="24"/>
        </w:rPr>
      </w:pPr>
    </w:p>
    <w:p>
      <w:pPr>
        <w:pStyle w:val="231"/>
        <w:ind w:firstLine="400"/>
        <w:jc w:val="center"/>
        <w:rPr>
          <w:rFonts w:ascii="Times New Roman"/>
          <w:sz w:val="19"/>
          <w:szCs w:val="24"/>
        </w:rPr>
      </w:pPr>
      <w:r>
        <w:rPr>
          <w:rFonts w:hint="eastAsia" w:ascii="E-BX" w:hAnsi="E-BX" w:eastAsia="E-BX"/>
          <w:sz w:val="20"/>
          <w:szCs w:val="24"/>
        </w:rPr>
        <w:t>Δ</w:t>
      </w:r>
      <w:r>
        <w:rPr>
          <w:rFonts w:hint="eastAsia" w:ascii="E-BZ" w:hAnsi="E-BZ" w:eastAsia="E-BZ"/>
          <w:sz w:val="11"/>
          <w:szCs w:val="24"/>
        </w:rPr>
        <w:t>1</w:t>
      </w:r>
      <w:r>
        <w:rPr>
          <w:rFonts w:hint="eastAsia" w:hAnsi="Cambria Math"/>
          <w:sz w:val="19"/>
          <w:szCs w:val="24"/>
        </w:rPr>
        <w:t>=</w:t>
      </w:r>
      <m:oMath>
        <m:rad>
          <m:radPr>
            <m:degHide m:val="true"/>
            <m:ctrlPr>
              <w:rPr>
                <w:rFonts w:ascii="Cambria Math" w:hAnsi="Cambria Math"/>
                <w:i/>
                <w:sz w:val="19"/>
                <w:szCs w:val="24"/>
              </w:rPr>
            </m:ctrlPr>
          </m:radPr>
          <m:deg>
            <m:ctrlPr>
              <w:rPr>
                <w:rFonts w:ascii="Cambria Math" w:hAnsi="Cambria Math"/>
                <w:i/>
                <w:sz w:val="19"/>
                <w:szCs w:val="24"/>
              </w:rPr>
            </m:ctrlPr>
          </m:deg>
          <m:e>
            <m:sSup>
              <m:sSupPr>
                <m:ctrlPr>
                  <w:rPr>
                    <w:rFonts w:ascii="Cambria Math" w:hAnsi="Cambria Math"/>
                    <w:i/>
                    <w:sz w:val="19"/>
                    <w:szCs w:val="24"/>
                  </w:rPr>
                </m:ctrlPr>
              </m:sSupPr>
              <m:e>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x</m:t>
                    </m:r>
                    <m:ctrlPr>
                      <w:rPr>
                        <w:rFonts w:ascii="Cambria Math" w:hAnsi="Cambria Math"/>
                        <w:i/>
                        <w:sz w:val="19"/>
                        <w:szCs w:val="24"/>
                      </w:rPr>
                    </m:ctrlPr>
                  </m:e>
                  <m:sub>
                    <m:r>
                      <m:rPr/>
                      <w:rPr>
                        <w:rFonts w:ascii="Cambria Math" w:hAnsi="Cambria Math"/>
                        <w:sz w:val="19"/>
                        <w:szCs w:val="24"/>
                      </w:rPr>
                      <m:t>1</m:t>
                    </m:r>
                    <m:ctrlPr>
                      <w:rPr>
                        <w:rFonts w:ascii="Cambria Math" w:hAnsi="Cambria Math"/>
                        <w:i/>
                        <w:sz w:val="19"/>
                        <w:szCs w:val="24"/>
                      </w:rPr>
                    </m:ctrlPr>
                  </m:sub>
                </m:sSub>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x</m:t>
                    </m:r>
                    <m:ctrlPr>
                      <w:rPr>
                        <w:rFonts w:ascii="Cambria Math" w:hAnsi="Cambria Math"/>
                        <w:i/>
                        <w:sz w:val="19"/>
                        <w:szCs w:val="24"/>
                      </w:rPr>
                    </m:ctrlPr>
                  </m:e>
                  <m:sub>
                    <m:r>
                      <m:rPr/>
                      <w:rPr>
                        <w:rFonts w:ascii="Cambria Math" w:hAnsi="Cambria Math"/>
                        <w:sz w:val="19"/>
                        <w:szCs w:val="24"/>
                      </w:rPr>
                      <m:t>0</m:t>
                    </m:r>
                    <m:ctrlPr>
                      <w:rPr>
                        <w:rFonts w:ascii="Cambria Math" w:hAnsi="Cambria Math"/>
                        <w:i/>
                        <w:sz w:val="19"/>
                        <w:szCs w:val="24"/>
                      </w:rPr>
                    </m:ctrlPr>
                  </m:sub>
                </m:sSub>
                <m:r>
                  <m:rPr/>
                  <w:rPr>
                    <w:rFonts w:ascii="Cambria Math" w:hAnsi="Cambria Math"/>
                    <w:sz w:val="19"/>
                    <w:szCs w:val="24"/>
                  </w:rPr>
                  <m:t>)</m:t>
                </m:r>
                <m:ctrlPr>
                  <w:rPr>
                    <w:rFonts w:ascii="Cambria Math" w:hAnsi="Cambria Math"/>
                    <w:i/>
                    <w:sz w:val="19"/>
                    <w:szCs w:val="24"/>
                  </w:rPr>
                </m:ctrlPr>
              </m:e>
              <m:sup>
                <m:r>
                  <m:rPr/>
                  <w:rPr>
                    <w:rFonts w:ascii="Cambria Math" w:hAnsi="Cambria Math"/>
                    <w:sz w:val="19"/>
                    <w:szCs w:val="24"/>
                  </w:rPr>
                  <m:t>2</m:t>
                </m:r>
                <m:ctrlPr>
                  <w:rPr>
                    <w:rFonts w:ascii="Cambria Math" w:hAnsi="Cambria Math"/>
                    <w:i/>
                    <w:sz w:val="19"/>
                    <w:szCs w:val="24"/>
                  </w:rPr>
                </m:ctrlPr>
              </m:sup>
            </m:sSup>
            <m:r>
              <m:rPr/>
              <w:rPr>
                <w:rFonts w:ascii="Cambria Math" w:hAnsi="Cambria Math"/>
                <w:sz w:val="19"/>
                <w:szCs w:val="24"/>
              </w:rPr>
              <m:t>+</m:t>
            </m:r>
            <m:sSup>
              <m:sSupPr>
                <m:ctrlPr>
                  <w:rPr>
                    <w:rFonts w:ascii="Cambria Math" w:hAnsi="Cambria Math"/>
                    <w:i/>
                    <w:sz w:val="19"/>
                    <w:szCs w:val="24"/>
                  </w:rPr>
                </m:ctrlPr>
              </m:sSupPr>
              <m:e>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y</m:t>
                    </m:r>
                    <m:ctrlPr>
                      <w:rPr>
                        <w:rFonts w:ascii="Cambria Math" w:hAnsi="Cambria Math"/>
                        <w:i/>
                        <w:sz w:val="19"/>
                        <w:szCs w:val="24"/>
                      </w:rPr>
                    </m:ctrlPr>
                  </m:e>
                  <m:sub>
                    <m:r>
                      <m:rPr/>
                      <w:rPr>
                        <w:rFonts w:ascii="Cambria Math" w:hAnsi="Cambria Math"/>
                        <w:sz w:val="19"/>
                        <w:szCs w:val="24"/>
                      </w:rPr>
                      <m:t>1</m:t>
                    </m:r>
                    <m:ctrlPr>
                      <w:rPr>
                        <w:rFonts w:ascii="Cambria Math" w:hAnsi="Cambria Math"/>
                        <w:i/>
                        <w:sz w:val="19"/>
                        <w:szCs w:val="24"/>
                      </w:rPr>
                    </m:ctrlPr>
                  </m:sub>
                </m:sSub>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y</m:t>
                    </m:r>
                    <m:ctrlPr>
                      <w:rPr>
                        <w:rFonts w:ascii="Cambria Math" w:hAnsi="Cambria Math"/>
                        <w:i/>
                        <w:sz w:val="19"/>
                        <w:szCs w:val="24"/>
                      </w:rPr>
                    </m:ctrlPr>
                  </m:e>
                  <m:sub>
                    <m:r>
                      <m:rPr/>
                      <w:rPr>
                        <w:rFonts w:ascii="Cambria Math" w:hAnsi="Cambria Math"/>
                        <w:sz w:val="19"/>
                        <w:szCs w:val="24"/>
                      </w:rPr>
                      <m:t>0</m:t>
                    </m:r>
                    <m:ctrlPr>
                      <w:rPr>
                        <w:rFonts w:ascii="Cambria Math" w:hAnsi="Cambria Math"/>
                        <w:i/>
                        <w:sz w:val="19"/>
                        <w:szCs w:val="24"/>
                      </w:rPr>
                    </m:ctrlPr>
                  </m:sub>
                </m:sSub>
                <m:r>
                  <m:rPr/>
                  <w:rPr>
                    <w:rFonts w:ascii="Cambria Math" w:hAnsi="Cambria Math"/>
                    <w:sz w:val="19"/>
                    <w:szCs w:val="24"/>
                  </w:rPr>
                  <m:t>)</m:t>
                </m:r>
                <m:ctrlPr>
                  <w:rPr>
                    <w:rFonts w:ascii="Cambria Math" w:hAnsi="Cambria Math"/>
                    <w:i/>
                    <w:sz w:val="19"/>
                    <w:szCs w:val="24"/>
                  </w:rPr>
                </m:ctrlPr>
              </m:e>
              <m:sup>
                <m:r>
                  <m:rPr/>
                  <w:rPr>
                    <w:rFonts w:ascii="Cambria Math" w:hAnsi="Cambria Math"/>
                    <w:sz w:val="19"/>
                    <w:szCs w:val="24"/>
                  </w:rPr>
                  <m:t>2</m:t>
                </m:r>
                <m:ctrlPr>
                  <w:rPr>
                    <w:rFonts w:ascii="Cambria Math" w:hAnsi="Cambria Math"/>
                    <w:i/>
                    <w:sz w:val="19"/>
                    <w:szCs w:val="24"/>
                  </w:rPr>
                </m:ctrlPr>
              </m:sup>
            </m:sSup>
            <m:r>
              <m:rPr/>
              <w:rPr>
                <w:rFonts w:ascii="Cambria Math" w:hAnsi="Cambria Math"/>
                <w:sz w:val="19"/>
                <w:szCs w:val="24"/>
              </w:rPr>
              <m:t>+</m:t>
            </m:r>
            <m:sSup>
              <m:sSupPr>
                <m:ctrlPr>
                  <w:rPr>
                    <w:rFonts w:ascii="Cambria Math" w:hAnsi="Cambria Math"/>
                    <w:i/>
                    <w:sz w:val="19"/>
                    <w:szCs w:val="24"/>
                  </w:rPr>
                </m:ctrlPr>
              </m:sSupPr>
              <m:e>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z</m:t>
                    </m:r>
                    <m:ctrlPr>
                      <w:rPr>
                        <w:rFonts w:ascii="Cambria Math" w:hAnsi="Cambria Math"/>
                        <w:i/>
                        <w:sz w:val="19"/>
                        <w:szCs w:val="24"/>
                      </w:rPr>
                    </m:ctrlPr>
                  </m:e>
                  <m:sub>
                    <m:r>
                      <m:rPr/>
                      <w:rPr>
                        <w:rFonts w:ascii="Cambria Math" w:hAnsi="Cambria Math"/>
                        <w:sz w:val="19"/>
                        <w:szCs w:val="24"/>
                      </w:rPr>
                      <m:t>1</m:t>
                    </m:r>
                    <m:ctrlPr>
                      <w:rPr>
                        <w:rFonts w:ascii="Cambria Math" w:hAnsi="Cambria Math"/>
                        <w:i/>
                        <w:sz w:val="19"/>
                        <w:szCs w:val="24"/>
                      </w:rPr>
                    </m:ctrlPr>
                  </m:sub>
                </m:sSub>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z</m:t>
                    </m:r>
                    <m:ctrlPr>
                      <w:rPr>
                        <w:rFonts w:ascii="Cambria Math" w:hAnsi="Cambria Math"/>
                        <w:i/>
                        <w:sz w:val="19"/>
                        <w:szCs w:val="24"/>
                      </w:rPr>
                    </m:ctrlPr>
                  </m:e>
                  <m:sub>
                    <m:r>
                      <m:rPr/>
                      <w:rPr>
                        <w:rFonts w:ascii="Cambria Math" w:hAnsi="Cambria Math"/>
                        <w:sz w:val="19"/>
                        <w:szCs w:val="24"/>
                      </w:rPr>
                      <m:t>0</m:t>
                    </m:r>
                    <m:ctrlPr>
                      <w:rPr>
                        <w:rFonts w:ascii="Cambria Math" w:hAnsi="Cambria Math"/>
                        <w:i/>
                        <w:sz w:val="19"/>
                        <w:szCs w:val="24"/>
                      </w:rPr>
                    </m:ctrlPr>
                  </m:sub>
                </m:sSub>
                <m:r>
                  <m:rPr/>
                  <w:rPr>
                    <w:rFonts w:ascii="Cambria Math" w:hAnsi="Cambria Math"/>
                    <w:sz w:val="19"/>
                    <w:szCs w:val="24"/>
                  </w:rPr>
                  <m:t>)</m:t>
                </m:r>
                <m:ctrlPr>
                  <w:rPr>
                    <w:rFonts w:ascii="Cambria Math" w:hAnsi="Cambria Math"/>
                    <w:i/>
                    <w:sz w:val="19"/>
                    <w:szCs w:val="24"/>
                  </w:rPr>
                </m:ctrlPr>
              </m:e>
              <m:sup>
                <m:r>
                  <m:rPr/>
                  <w:rPr>
                    <w:rFonts w:ascii="Cambria Math" w:hAnsi="Cambria Math"/>
                    <w:sz w:val="19"/>
                    <w:szCs w:val="24"/>
                  </w:rPr>
                  <m:t>2</m:t>
                </m:r>
                <m:ctrlPr>
                  <w:rPr>
                    <w:rFonts w:ascii="Cambria Math" w:hAnsi="Cambria Math"/>
                    <w:i/>
                    <w:sz w:val="19"/>
                    <w:szCs w:val="24"/>
                  </w:rPr>
                </m:ctrlPr>
              </m:sup>
            </m:sSup>
            <m:r>
              <m:rPr/>
              <w:rPr>
                <w:rFonts w:ascii="Cambria Math" w:hAnsi="Cambria Math"/>
                <w:sz w:val="19"/>
                <w:szCs w:val="24"/>
              </w:rPr>
              <m:t>−</m:t>
            </m:r>
            <m:sSup>
              <m:sSupPr>
                <m:ctrlPr>
                  <w:rPr>
                    <w:rFonts w:ascii="Cambria Math" w:hAnsi="Cambria Math"/>
                    <w:i/>
                    <w:sz w:val="19"/>
                    <w:szCs w:val="24"/>
                  </w:rPr>
                </m:ctrlPr>
              </m:sSupPr>
              <m:e>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H</m:t>
                    </m:r>
                    <m:ctrlPr>
                      <w:rPr>
                        <w:rFonts w:ascii="Cambria Math" w:hAnsi="Cambria Math"/>
                        <w:i/>
                        <w:sz w:val="19"/>
                        <w:szCs w:val="24"/>
                      </w:rPr>
                    </m:ctrlPr>
                  </m:e>
                  <m:sub>
                    <m:r>
                      <m:rPr/>
                      <w:rPr>
                        <w:rFonts w:ascii="Cambria Math" w:hAnsi="Cambria Math"/>
                        <w:sz w:val="19"/>
                        <w:szCs w:val="24"/>
                      </w:rPr>
                      <m:t>1</m:t>
                    </m:r>
                    <m:ctrlPr>
                      <w:rPr>
                        <w:rFonts w:ascii="Cambria Math" w:hAnsi="Cambria Math"/>
                        <w:i/>
                        <w:sz w:val="19"/>
                        <w:szCs w:val="24"/>
                      </w:rPr>
                    </m:ctrlPr>
                  </m:sub>
                </m:sSub>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H</m:t>
                    </m:r>
                    <m:ctrlPr>
                      <w:rPr>
                        <w:rFonts w:ascii="Cambria Math" w:hAnsi="Cambria Math"/>
                        <w:i/>
                        <w:sz w:val="19"/>
                        <w:szCs w:val="24"/>
                      </w:rPr>
                    </m:ctrlPr>
                  </m:e>
                  <m:sub>
                    <m:r>
                      <m:rPr/>
                      <w:rPr>
                        <w:rFonts w:ascii="Cambria Math" w:hAnsi="Cambria Math"/>
                        <w:sz w:val="19"/>
                        <w:szCs w:val="24"/>
                      </w:rPr>
                      <m:t>0</m:t>
                    </m:r>
                    <m:ctrlPr>
                      <w:rPr>
                        <w:rFonts w:ascii="Cambria Math" w:hAnsi="Cambria Math"/>
                        <w:i/>
                        <w:sz w:val="19"/>
                        <w:szCs w:val="24"/>
                      </w:rPr>
                    </m:ctrlPr>
                  </m:sub>
                </m:sSub>
                <m:r>
                  <m:rPr/>
                  <w:rPr>
                    <w:rFonts w:ascii="Cambria Math" w:hAnsi="Cambria Math"/>
                    <w:sz w:val="19"/>
                    <w:szCs w:val="24"/>
                  </w:rPr>
                  <m:t>)</m:t>
                </m:r>
                <m:ctrlPr>
                  <w:rPr>
                    <w:rFonts w:ascii="Cambria Math" w:hAnsi="Cambria Math"/>
                    <w:i/>
                    <w:sz w:val="19"/>
                    <w:szCs w:val="24"/>
                  </w:rPr>
                </m:ctrlPr>
              </m:e>
              <m:sup>
                <m:r>
                  <m:rPr/>
                  <w:rPr>
                    <w:rFonts w:ascii="Cambria Math" w:hAnsi="Cambria Math"/>
                    <w:sz w:val="19"/>
                    <w:szCs w:val="24"/>
                  </w:rPr>
                  <m:t>2</m:t>
                </m:r>
                <m:ctrlPr>
                  <w:rPr>
                    <w:rFonts w:ascii="Cambria Math" w:hAnsi="Cambria Math"/>
                    <w:i/>
                    <w:sz w:val="19"/>
                    <w:szCs w:val="24"/>
                  </w:rPr>
                </m:ctrlPr>
              </m:sup>
            </m:sSup>
            <m:r>
              <m:rPr/>
              <w:rPr>
                <w:rFonts w:ascii="Cambria Math" w:hAnsi="Cambria Math"/>
                <w:sz w:val="19"/>
                <w:szCs w:val="24"/>
              </w:rPr>
              <m:t>)</m:t>
            </m:r>
            <m:ctrlPr>
              <w:rPr>
                <w:rFonts w:ascii="Cambria Math" w:hAnsi="Cambria Math"/>
                <w:i/>
                <w:sz w:val="19"/>
                <w:szCs w:val="24"/>
              </w:rPr>
            </m:ctrlPr>
          </m:e>
        </m:rad>
      </m:oMath>
      <w:r>
        <w:rPr>
          <w:rFonts w:ascii="Arial" w:hAnsi="Arial" w:cs="Arial"/>
          <w:i/>
          <w:kern w:val="2"/>
          <w:szCs w:val="24"/>
        </w:rPr>
        <w:t>………………………………</w:t>
      </w:r>
      <w:r>
        <w:rPr>
          <w:rFonts w:hint="eastAsia" w:ascii="Times New Roman"/>
          <w:sz w:val="19"/>
          <w:szCs w:val="24"/>
        </w:rPr>
        <w:t>(2)</w:t>
      </w:r>
    </w:p>
    <w:p>
      <w:pPr>
        <w:pStyle w:val="231"/>
        <w:ind w:firstLine="400"/>
        <w:jc w:val="center"/>
        <w:rPr>
          <w:rFonts w:ascii="Times New Roman"/>
          <w:sz w:val="19"/>
          <w:szCs w:val="24"/>
        </w:rPr>
      </w:pPr>
      <m:oMath>
        <m:r>
          <m:rPr>
            <m:sty m:val="p"/>
          </m:rPr>
          <w:rPr>
            <w:rFonts w:hint="eastAsia" w:ascii="E-BX" w:hAnsi="E-BX" w:eastAsia="E-BX"/>
            <w:sz w:val="20"/>
            <w:szCs w:val="24"/>
          </w:rPr>
          <m:t>Δ</m:t>
        </m:r>
        <m:r>
          <m:rPr>
            <m:sty m:val="p"/>
          </m:rPr>
          <w:rPr>
            <w:rFonts w:hint="eastAsia" w:ascii="E-BZ" w:hAnsi="E-BZ" w:eastAsia="E-BZ"/>
            <w:sz w:val="11"/>
            <w:szCs w:val="24"/>
          </w:rPr>
          <m:t xml:space="preserve">2 </m:t>
        </m:r>
        <m:r>
          <m:rPr>
            <m:sty m:val="p"/>
          </m:rPr>
          <w:rPr>
            <w:rFonts w:ascii="Cambria Math" w:hAnsi="Cambria Math"/>
            <w:sz w:val="19"/>
            <w:szCs w:val="24"/>
          </w:rPr>
          <m:t>=</m:t>
        </m:r>
        <m:d>
          <m:dPr>
            <m:begChr m:val="|"/>
            <m:endChr m:val="|"/>
            <m:ctrlPr>
              <w:rPr>
                <w:rFonts w:ascii="Cambria Math" w:hAnsi="Cambria Math"/>
                <w:i/>
                <w:sz w:val="19"/>
                <w:szCs w:val="24"/>
              </w:rPr>
            </m:ctrlPr>
          </m:dPr>
          <m:e>
            <m:sSub>
              <m:sSubPr>
                <m:ctrlPr>
                  <w:rPr>
                    <w:rFonts w:ascii="Cambria Math" w:hAnsi="Cambria Math"/>
                    <w:i/>
                    <w:sz w:val="19"/>
                    <w:szCs w:val="24"/>
                  </w:rPr>
                </m:ctrlPr>
              </m:sSubPr>
              <m:e>
                <m:r>
                  <m:rPr/>
                  <w:rPr>
                    <w:rFonts w:ascii="Cambria Math" w:hAnsi="Cambria Math"/>
                    <w:sz w:val="19"/>
                    <w:szCs w:val="24"/>
                  </w:rPr>
                  <m:t>H</m:t>
                </m:r>
                <m:ctrlPr>
                  <w:rPr>
                    <w:rFonts w:ascii="Cambria Math" w:hAnsi="Cambria Math"/>
                    <w:i/>
                    <w:sz w:val="19"/>
                    <w:szCs w:val="24"/>
                  </w:rPr>
                </m:ctrlPr>
              </m:e>
              <m:sub>
                <m:r>
                  <m:rPr/>
                  <w:rPr>
                    <w:rFonts w:ascii="Cambria Math" w:hAnsi="Cambria Math"/>
                    <w:sz w:val="19"/>
                    <w:szCs w:val="24"/>
                  </w:rPr>
                  <m:t>1</m:t>
                </m:r>
                <m:ctrlPr>
                  <w:rPr>
                    <w:rFonts w:ascii="Cambria Math" w:hAnsi="Cambria Math"/>
                    <w:i/>
                    <w:sz w:val="19"/>
                    <w:szCs w:val="24"/>
                  </w:rPr>
                </m:ctrlPr>
              </m:sub>
            </m:sSub>
            <m:r>
              <m:rPr/>
              <w:rPr>
                <w:rFonts w:ascii="Cambria Math" w:hAnsi="Cambria Math"/>
                <w:sz w:val="19"/>
                <w:szCs w:val="24"/>
              </w:rPr>
              <m:t>−</m:t>
            </m:r>
            <m:sSub>
              <m:sSubPr>
                <m:ctrlPr>
                  <w:rPr>
                    <w:rFonts w:ascii="Cambria Math" w:hAnsi="Cambria Math"/>
                    <w:i/>
                    <w:sz w:val="19"/>
                    <w:szCs w:val="24"/>
                  </w:rPr>
                </m:ctrlPr>
              </m:sSubPr>
              <m:e>
                <m:r>
                  <m:rPr/>
                  <w:rPr>
                    <w:rFonts w:ascii="Cambria Math" w:hAnsi="Cambria Math"/>
                    <w:sz w:val="19"/>
                    <w:szCs w:val="24"/>
                  </w:rPr>
                  <m:t>H</m:t>
                </m:r>
                <m:ctrlPr>
                  <w:rPr>
                    <w:rFonts w:ascii="Cambria Math" w:hAnsi="Cambria Math"/>
                    <w:i/>
                    <w:sz w:val="19"/>
                    <w:szCs w:val="24"/>
                  </w:rPr>
                </m:ctrlPr>
              </m:e>
              <m:sub>
                <m:r>
                  <m:rPr/>
                  <w:rPr>
                    <w:rFonts w:ascii="Cambria Math" w:hAnsi="Cambria Math"/>
                    <w:sz w:val="19"/>
                    <w:szCs w:val="24"/>
                  </w:rPr>
                  <m:t>0</m:t>
                </m:r>
                <m:ctrlPr>
                  <w:rPr>
                    <w:rFonts w:ascii="Cambria Math" w:hAnsi="Cambria Math"/>
                    <w:i/>
                    <w:sz w:val="19"/>
                    <w:szCs w:val="24"/>
                  </w:rPr>
                </m:ctrlPr>
              </m:sub>
            </m:sSub>
            <m:ctrlPr>
              <w:rPr>
                <w:rFonts w:ascii="Cambria Math" w:hAnsi="Cambria Math"/>
                <w:i/>
                <w:sz w:val="19"/>
                <w:szCs w:val="24"/>
              </w:rPr>
            </m:ctrlPr>
          </m:e>
        </m:d>
      </m:oMath>
      <w:r>
        <w:rPr>
          <w:rFonts w:hint="eastAsia" w:hAnsi="Cambria Math"/>
          <w:sz w:val="19"/>
          <w:szCs w:val="24"/>
        </w:rPr>
        <w:t xml:space="preserve">                                 </w:t>
      </w:r>
      <w:r>
        <w:rPr>
          <w:rFonts w:ascii="Arial" w:hAnsi="Arial" w:cs="Arial"/>
          <w:i/>
          <w:kern w:val="2"/>
          <w:szCs w:val="24"/>
        </w:rPr>
        <w:t>………………………………</w:t>
      </w:r>
      <w:r>
        <w:rPr>
          <w:rFonts w:hint="eastAsia" w:ascii="Arial" w:hAnsi="Arial" w:cs="Arial"/>
          <w:i/>
          <w:kern w:val="2"/>
          <w:szCs w:val="24"/>
        </w:rPr>
        <w:t xml:space="preserve"> </w:t>
      </w:r>
      <w:r>
        <w:rPr>
          <w:rFonts w:hint="eastAsia" w:ascii="Times New Roman"/>
          <w:sz w:val="19"/>
          <w:szCs w:val="24"/>
        </w:rPr>
        <w:t>(3)</w:t>
      </w:r>
    </w:p>
    <w:p>
      <w:pPr>
        <w:pStyle w:val="231"/>
        <w:ind w:firstLine="380"/>
        <w:rPr>
          <w:rFonts w:ascii="Times New Roman"/>
          <w:sz w:val="19"/>
          <w:szCs w:val="24"/>
        </w:rPr>
      </w:pPr>
    </w:p>
    <w:p>
      <w:pPr>
        <w:pStyle w:val="231"/>
        <w:ind w:firstLine="380"/>
        <w:rPr>
          <w:rFonts w:ascii="E-BZ" w:hAnsi="E-BZ" w:eastAsia="E-BZ"/>
          <w:sz w:val="19"/>
          <w:szCs w:val="24"/>
        </w:rPr>
      </w:pPr>
      <w:r>
        <w:rPr>
          <w:rFonts w:hint="eastAsia" w:ascii="E-BZ" w:hAnsi="E-BZ" w:eastAsia="E-BZ"/>
          <w:sz w:val="19"/>
          <w:szCs w:val="24"/>
        </w:rPr>
        <w:t>式中:</w:t>
      </w:r>
    </w:p>
    <w:p>
      <w:pPr>
        <w:ind w:firstLine="400" w:firstLineChars="200"/>
        <w:jc w:val="left"/>
        <w:rPr>
          <w:rFonts w:ascii="E-BZ" w:hAnsi="E-BZ" w:eastAsia="E-BZ"/>
          <w:sz w:val="19"/>
        </w:rPr>
      </w:pPr>
      <w:r>
        <w:rPr>
          <w:rFonts w:hint="eastAsia" w:ascii="E-BX" w:hAnsi="E-BX" w:eastAsia="E-BX"/>
          <w:sz w:val="20"/>
        </w:rPr>
        <w:t>Δ</w:t>
      </w:r>
      <w:r>
        <w:rPr>
          <w:rFonts w:hint="eastAsia" w:ascii="E-BZ" w:hAnsi="E-BZ" w:eastAsia="E-BZ"/>
          <w:sz w:val="11"/>
        </w:rPr>
        <w:t xml:space="preserve">1 </w:t>
      </w:r>
      <w:r>
        <w:rPr>
          <w:rFonts w:hint="eastAsia" w:ascii="E-BZ" w:hAnsi="E-BZ" w:eastAsia="E-BZ"/>
          <w:sz w:val="19"/>
        </w:rPr>
        <w:t>——</w:t>
      </w:r>
      <w:r>
        <w:rPr>
          <w:rFonts w:hint="eastAsia" w:ascii="FZSSK--GBK1-0" w:hAnsi="FZSSK--GBK1-0" w:eastAsia="FZSSK--GBK1-0"/>
          <w:sz w:val="19"/>
        </w:rPr>
        <w:t>水平定位误差</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x</w:t>
      </w:r>
      <w:r>
        <w:rPr>
          <w:rFonts w:hint="eastAsia" w:ascii="E-BZ" w:hAnsi="E-BZ" w:eastAsia="E-BZ"/>
          <w:sz w:val="11"/>
        </w:rPr>
        <w:t xml:space="preserve">1 </w:t>
      </w:r>
      <w:r>
        <w:rPr>
          <w:rFonts w:hint="eastAsia" w:ascii="宋体" w:hAnsi="宋体" w:cs="宋体"/>
          <w:sz w:val="19"/>
        </w:rPr>
        <w:t>——</w:t>
      </w:r>
      <w:r>
        <w:rPr>
          <w:rFonts w:hint="eastAsia" w:ascii="FZSSK--GBK1-0" w:hAnsi="FZSSK--GBK1-0" w:eastAsia="FZSSK--GBK1-0"/>
          <w:sz w:val="19"/>
        </w:rPr>
        <w:t>被测设备定位结果在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X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x</w:t>
      </w:r>
      <w:r>
        <w:rPr>
          <w:rFonts w:hint="eastAsia" w:ascii="E-BZ" w:hAnsi="E-BZ" w:eastAsia="E-BZ"/>
          <w:sz w:val="11"/>
        </w:rPr>
        <w:t xml:space="preserve">0 </w:t>
      </w:r>
      <w:r>
        <w:rPr>
          <w:rFonts w:hint="eastAsia" w:ascii="E-BZ" w:hAnsi="E-BZ" w:eastAsia="E-BZ"/>
          <w:sz w:val="19"/>
        </w:rPr>
        <w:t>——</w:t>
      </w:r>
      <w:r>
        <w:rPr>
          <w:rFonts w:hint="eastAsia" w:ascii="FZSSK--GBK1-0" w:hAnsi="FZSSK--GBK1-0" w:eastAsia="FZSSK--GBK1-0"/>
          <w:sz w:val="19"/>
        </w:rPr>
        <w:t>相应位置参考值在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X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y</w:t>
      </w:r>
      <w:r>
        <w:rPr>
          <w:rFonts w:hint="eastAsia" w:ascii="E-BZ" w:hAnsi="E-BZ" w:eastAsia="E-BZ"/>
          <w:sz w:val="11"/>
        </w:rPr>
        <w:t xml:space="preserve">1 </w:t>
      </w:r>
      <w:r>
        <w:rPr>
          <w:rFonts w:hint="eastAsia" w:ascii="E-BZ" w:hAnsi="E-BZ" w:eastAsia="E-BZ"/>
          <w:sz w:val="19"/>
        </w:rPr>
        <w:t>——</w:t>
      </w:r>
      <w:r>
        <w:rPr>
          <w:rFonts w:hint="eastAsia" w:ascii="FZSSK--GBK1-0" w:hAnsi="FZSSK--GBK1-0" w:eastAsia="FZSSK--GBK1-0"/>
          <w:sz w:val="19"/>
        </w:rPr>
        <w:t>被测设备定位结果在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Y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y</w:t>
      </w:r>
      <w:r>
        <w:rPr>
          <w:rFonts w:hint="eastAsia" w:ascii="E-BZ" w:hAnsi="E-BZ" w:eastAsia="E-BZ"/>
          <w:sz w:val="11"/>
        </w:rPr>
        <w:t xml:space="preserve">0 </w:t>
      </w:r>
      <w:r>
        <w:rPr>
          <w:rFonts w:hint="eastAsia" w:ascii="E-BZ" w:hAnsi="E-BZ" w:eastAsia="E-BZ"/>
          <w:sz w:val="19"/>
        </w:rPr>
        <w:t>——</w:t>
      </w:r>
      <w:r>
        <w:rPr>
          <w:rFonts w:hint="eastAsia" w:ascii="FZSSK--GBK1-0" w:hAnsi="FZSSK--GBK1-0" w:eastAsia="FZSSK--GBK1-0"/>
          <w:sz w:val="19"/>
        </w:rPr>
        <w:t>相应位置参考值在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Y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z</w:t>
      </w:r>
      <w:r>
        <w:rPr>
          <w:rFonts w:hint="eastAsia" w:ascii="E-BZ" w:hAnsi="E-BZ" w:eastAsia="E-BZ"/>
          <w:sz w:val="11"/>
        </w:rPr>
        <w:t xml:space="preserve">1 </w:t>
      </w:r>
      <w:r>
        <w:rPr>
          <w:rFonts w:hint="eastAsia" w:ascii="E-BZ" w:hAnsi="E-BZ" w:eastAsia="E-BZ"/>
          <w:sz w:val="19"/>
        </w:rPr>
        <w:t>——</w:t>
      </w:r>
      <w:r>
        <w:rPr>
          <w:rFonts w:hint="eastAsia" w:ascii="FZSSK--GBK1-0" w:hAnsi="FZSSK--GBK1-0" w:eastAsia="FZSSK--GBK1-0"/>
          <w:sz w:val="19"/>
        </w:rPr>
        <w:t>被测设备定位结果在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Z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z</w:t>
      </w:r>
      <w:r>
        <w:rPr>
          <w:rFonts w:hint="eastAsia" w:ascii="E-BZ" w:hAnsi="E-BZ" w:eastAsia="E-BZ"/>
          <w:sz w:val="11"/>
        </w:rPr>
        <w:t xml:space="preserve">0 </w:t>
      </w:r>
      <w:r>
        <w:rPr>
          <w:rFonts w:hint="eastAsia" w:ascii="E-BZ" w:hAnsi="E-BZ" w:eastAsia="E-BZ"/>
          <w:sz w:val="19"/>
        </w:rPr>
        <w:t>——</w:t>
      </w:r>
      <w:r>
        <w:rPr>
          <w:rFonts w:hint="eastAsia" w:ascii="FZSSK--GBK1-0" w:hAnsi="FZSSK--GBK1-0" w:eastAsia="FZSSK--GBK1-0"/>
          <w:sz w:val="19"/>
        </w:rPr>
        <w:t>相应位置参考值在</w:t>
      </w:r>
      <w:r>
        <w:rPr>
          <w:rFonts w:hint="eastAsia" w:ascii="E-BZ" w:hAnsi="E-BZ" w:eastAsia="E-BZ"/>
          <w:sz w:val="19"/>
        </w:rPr>
        <w:t>ECEF</w:t>
      </w:r>
      <w:r>
        <w:rPr>
          <w:rFonts w:hint="eastAsia" w:ascii="FZSSK--GBK1-0" w:hAnsi="FZSSK--GBK1-0" w:eastAsia="FZSSK--GBK1-0"/>
          <w:sz w:val="19"/>
        </w:rPr>
        <w:t>直角坐标系下的</w:t>
      </w:r>
      <w:r>
        <w:rPr>
          <w:rFonts w:hint="eastAsia" w:ascii="E-BX" w:hAnsi="E-BX" w:eastAsia="E-BX"/>
          <w:sz w:val="20"/>
        </w:rPr>
        <w:t xml:space="preserve">Z </w:t>
      </w:r>
      <w:r>
        <w:rPr>
          <w:rFonts w:hint="eastAsia" w:ascii="FZSSK--GBK1-0" w:hAnsi="FZSSK--GBK1-0" w:eastAsia="FZSSK--GBK1-0"/>
          <w:sz w:val="19"/>
        </w:rPr>
        <w:t>轴坐标</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H</w:t>
      </w:r>
      <w:r>
        <w:rPr>
          <w:rFonts w:hint="eastAsia" w:ascii="E-BZ" w:hAnsi="E-BZ" w:eastAsia="E-BZ"/>
          <w:sz w:val="11"/>
        </w:rPr>
        <w:t xml:space="preserve">1 </w:t>
      </w:r>
      <w:r>
        <w:rPr>
          <w:rFonts w:hint="eastAsia" w:ascii="E-BZ" w:hAnsi="E-BZ" w:eastAsia="E-BZ"/>
          <w:sz w:val="19"/>
        </w:rPr>
        <w:t>——</w:t>
      </w:r>
      <w:r>
        <w:rPr>
          <w:rFonts w:hint="eastAsia" w:ascii="FZSSK--GBK1-0" w:hAnsi="FZSSK--GBK1-0" w:eastAsia="FZSSK--GBK1-0"/>
          <w:sz w:val="19"/>
        </w:rPr>
        <w:t>被测设备的大地高度</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ind w:firstLine="400" w:firstLineChars="200"/>
        <w:jc w:val="left"/>
        <w:rPr>
          <w:rFonts w:ascii="E-BZ" w:hAnsi="E-BZ" w:eastAsia="E-BZ"/>
          <w:sz w:val="19"/>
        </w:rPr>
      </w:pPr>
      <w:r>
        <w:rPr>
          <w:rFonts w:hint="eastAsia" w:ascii="E-BX" w:hAnsi="E-BX" w:eastAsia="E-BX"/>
          <w:sz w:val="20"/>
        </w:rPr>
        <w:t>H</w:t>
      </w:r>
      <w:r>
        <w:rPr>
          <w:rFonts w:hint="eastAsia" w:ascii="E-BZ" w:hAnsi="E-BZ" w:eastAsia="E-BZ"/>
          <w:sz w:val="11"/>
        </w:rPr>
        <w:t xml:space="preserve">0 </w:t>
      </w:r>
      <w:r>
        <w:rPr>
          <w:rFonts w:hint="eastAsia" w:ascii="E-BZ" w:hAnsi="E-BZ" w:eastAsia="E-BZ"/>
          <w:sz w:val="19"/>
        </w:rPr>
        <w:t>——</w:t>
      </w:r>
      <w:r>
        <w:rPr>
          <w:rFonts w:hint="eastAsia" w:ascii="FZSSK--GBK1-0" w:hAnsi="FZSSK--GBK1-0" w:eastAsia="FZSSK--GBK1-0"/>
          <w:sz w:val="19"/>
        </w:rPr>
        <w:t>相应位置参考值的大地高度</w:t>
      </w:r>
      <w:r>
        <w:rPr>
          <w:rFonts w:hint="eastAsia" w:ascii="E-BZ" w:hAnsi="E-BZ" w:eastAsia="E-BZ"/>
          <w:sz w:val="19"/>
        </w:rPr>
        <w:t>,</w:t>
      </w:r>
      <w:r>
        <w:rPr>
          <w:rFonts w:hint="eastAsia" w:ascii="FZSSK--GBK1-0" w:hAnsi="FZSSK--GBK1-0" w:eastAsia="FZSSK--GBK1-0"/>
          <w:sz w:val="19"/>
        </w:rPr>
        <w:t>单位为米</w:t>
      </w:r>
      <w:r>
        <w:rPr>
          <w:rFonts w:hint="eastAsia" w:ascii="E-BZ" w:hAnsi="E-BZ" w:eastAsia="E-BZ"/>
          <w:sz w:val="19"/>
        </w:rPr>
        <w:t>(m)；</w:t>
      </w:r>
    </w:p>
    <w:p>
      <w:pPr>
        <w:pStyle w:val="231"/>
        <w:ind w:firstLine="400"/>
        <w:rPr>
          <w:rFonts w:ascii="E-BZ" w:hAnsi="E-BZ" w:eastAsia="E-BZ"/>
          <w:sz w:val="19"/>
          <w:szCs w:val="24"/>
        </w:rPr>
      </w:pPr>
      <w:r>
        <w:rPr>
          <w:rFonts w:hint="eastAsia" w:ascii="E-BX" w:hAnsi="E-BX" w:eastAsia="E-BX"/>
          <w:sz w:val="20"/>
          <w:szCs w:val="24"/>
        </w:rPr>
        <w:t>Δ</w:t>
      </w:r>
      <w:r>
        <w:rPr>
          <w:rFonts w:hint="eastAsia" w:ascii="E-BZ" w:hAnsi="E-BZ" w:eastAsia="E-BZ"/>
          <w:sz w:val="11"/>
          <w:szCs w:val="24"/>
        </w:rPr>
        <w:t xml:space="preserve">2 </w:t>
      </w:r>
      <w:r>
        <w:rPr>
          <w:rFonts w:hint="eastAsia" w:ascii="E-BZ" w:hAnsi="E-BZ" w:eastAsia="E-BZ"/>
          <w:sz w:val="19"/>
          <w:szCs w:val="24"/>
        </w:rPr>
        <w:t>——</w:t>
      </w:r>
      <w:r>
        <w:rPr>
          <w:rFonts w:hint="eastAsia" w:ascii="FZSSK--GBK1-0" w:hAnsi="FZSSK--GBK1-0" w:eastAsia="FZSSK--GBK1-0"/>
          <w:sz w:val="19"/>
          <w:szCs w:val="24"/>
        </w:rPr>
        <w:t>高程定位误差</w:t>
      </w:r>
      <w:r>
        <w:rPr>
          <w:rFonts w:hint="eastAsia" w:ascii="E-BZ" w:hAnsi="E-BZ" w:eastAsia="E-BZ"/>
          <w:sz w:val="19"/>
          <w:szCs w:val="24"/>
        </w:rPr>
        <w:t>,</w:t>
      </w:r>
      <w:r>
        <w:rPr>
          <w:rFonts w:hint="eastAsia" w:ascii="FZSSK--GBK1-0" w:hAnsi="FZSSK--GBK1-0" w:eastAsia="FZSSK--GBK1-0"/>
          <w:sz w:val="19"/>
          <w:szCs w:val="24"/>
        </w:rPr>
        <w:t>单位为米</w:t>
      </w:r>
      <w:r>
        <w:rPr>
          <w:rFonts w:hint="eastAsia" w:ascii="E-BZ" w:hAnsi="E-BZ" w:eastAsia="E-BZ"/>
          <w:sz w:val="19"/>
          <w:szCs w:val="24"/>
        </w:rPr>
        <w:t>(m)。</w:t>
      </w:r>
    </w:p>
    <w:p>
      <w:pPr>
        <w:pStyle w:val="237"/>
        <w:spacing w:before="120" w:after="120"/>
      </w:pPr>
      <w:bookmarkStart w:id="225" w:name="_Toc236735687"/>
      <w:r>
        <w:rPr>
          <w:rFonts w:hint="eastAsia"/>
        </w:rPr>
        <w:t>7.3.1.3 测速精度</w:t>
      </w:r>
      <w:bookmarkEnd w:id="225"/>
    </w:p>
    <w:p>
      <w:pPr>
        <w:pStyle w:val="231"/>
      </w:pPr>
      <w:r>
        <w:rPr>
          <w:rFonts w:hint="eastAsia"/>
        </w:rPr>
        <w:t>1）准静态定位精度测试步骤如下：</w:t>
      </w:r>
    </w:p>
    <w:p>
      <w:pPr>
        <w:pStyle w:val="231"/>
      </w:pPr>
      <w:r>
        <w:t>按</w:t>
      </w:r>
      <w:r>
        <w:rPr>
          <w:rFonts w:hint="eastAsia"/>
        </w:rPr>
        <w:t>图1</w:t>
      </w:r>
      <w:r>
        <w:t>连接,控制卫星导航信号模拟器播发被测设备支持的卫星导航模拟信号(PDOP≤6),使其到达被测设备天线口面的信号强度满足</w:t>
      </w:r>
      <w:r>
        <w:rPr>
          <w:rFonts w:hint="eastAsia"/>
        </w:rPr>
        <w:t>满足4.3.1.5</w:t>
      </w:r>
      <w:r>
        <w:t>中的要求。将被测设备开机,性能评估设备记录被测设备开机后301s~1300s时间段输出的测速结果,若有效测速结果总数小于950个,则终止本项测试并判定测速精度指标不合格,否则与卫星导航信号模拟器的仿真速度信息进行比对,按6.</w:t>
      </w:r>
      <w:r>
        <w:rPr>
          <w:rFonts w:hint="eastAsia"/>
        </w:rPr>
        <w:t>3</w:t>
      </w:r>
      <w:r>
        <w:t>.4.3计算测速误差。将测速误差从小到大进行排序,取第950个测速误差作为测速精度。若其满足</w:t>
      </w:r>
      <w:r>
        <w:rPr>
          <w:rFonts w:hint="eastAsia"/>
        </w:rPr>
        <w:t>4.3.1.3</w:t>
      </w:r>
      <w:r>
        <w:t>的要求,则判定合格。</w:t>
      </w:r>
    </w:p>
    <w:p>
      <w:pPr>
        <w:pStyle w:val="231"/>
      </w:pPr>
      <w:r>
        <w:rPr>
          <w:rFonts w:hint="eastAsia"/>
        </w:rPr>
        <w:t>2）动态定位精度测试步骤如下：</w:t>
      </w:r>
    </w:p>
    <w:p>
      <w:pPr>
        <w:pStyle w:val="231"/>
      </w:pPr>
      <w:r>
        <w:t>按</w:t>
      </w:r>
      <w:r>
        <w:rPr>
          <w:rFonts w:hint="eastAsia"/>
        </w:rPr>
        <w:t>图1</w:t>
      </w:r>
      <w:r>
        <w:t>连接,按</w:t>
      </w:r>
      <w:r>
        <w:rPr>
          <w:rFonts w:hint="eastAsia"/>
        </w:rPr>
        <w:t>5.3c</w:t>
      </w:r>
      <w:r>
        <w:t>)设置仿真测试场景,控制卫星导航信号模拟器播发被测设备支持的卫星导航模拟信号(PDOP≤6),使其到达被测设备天线口面的信号强度满足</w:t>
      </w:r>
      <w:r>
        <w:rPr>
          <w:rFonts w:hint="eastAsia"/>
        </w:rPr>
        <w:t>满足4.3.1.5</w:t>
      </w:r>
      <w:r>
        <w:t>中的要求。将被测设备开机,性能评估设备记录被测设备开机后301s</w:t>
      </w:r>
      <w:r>
        <w:rPr>
          <w:rFonts w:ascii="Times New Roman"/>
        </w:rPr>
        <w:t>~</w:t>
      </w:r>
      <w:r>
        <w:t>1300s时间段输出的测速结果,若有效测速结果总数小于950个,则终止本项测试并判定测速精度指标不合格,否则与卫星导航信号模拟器的仿真速度信息进行比对,按6.6.4.3计算测速误差。将测速误差从小到大进行排序,取第950个测速误差作为测速</w:t>
      </w:r>
    </w:p>
    <w:p>
      <w:pPr>
        <w:pStyle w:val="231"/>
        <w:ind w:firstLine="0" w:firstLineChars="0"/>
      </w:pPr>
      <w:r>
        <w:t>精度。若其满足</w:t>
      </w:r>
      <w:r>
        <w:rPr>
          <w:rFonts w:hint="eastAsia"/>
        </w:rPr>
        <w:t>4.3.1.3</w:t>
      </w:r>
      <w:r>
        <w:t>的要求,则</w:t>
      </w:r>
      <w:r>
        <w:rPr>
          <w:rFonts w:hint="eastAsia"/>
        </w:rPr>
        <w:t>该项</w:t>
      </w:r>
      <w:r>
        <w:t>合格。</w:t>
      </w:r>
    </w:p>
    <w:p>
      <w:pPr>
        <w:pStyle w:val="237"/>
        <w:spacing w:before="120" w:after="120"/>
      </w:pPr>
      <w:bookmarkStart w:id="226" w:name="_Toc236735688"/>
      <w:r>
        <w:rPr>
          <w:rFonts w:hint="eastAsia"/>
        </w:rPr>
        <w:t>7.3.1.4 冷启动首次定位时间</w:t>
      </w:r>
      <w:bookmarkEnd w:id="226"/>
    </w:p>
    <w:p>
      <w:pPr>
        <w:pStyle w:val="231"/>
      </w:pPr>
      <w:r>
        <w:rPr>
          <w:rFonts w:hint="eastAsia"/>
        </w:rPr>
        <w:t>测试步骤如下：</w:t>
      </w:r>
    </w:p>
    <w:p>
      <w:pPr>
        <w:pStyle w:val="231"/>
      </w:pPr>
      <w:r>
        <w:rPr>
          <w:rFonts w:hint="eastAsia"/>
        </w:rPr>
        <w:t>a）</w:t>
      </w:r>
      <w:r>
        <w:t>按</w:t>
      </w:r>
      <w:r>
        <w:rPr>
          <w:rFonts w:hint="eastAsia"/>
        </w:rPr>
        <w:t>图1</w:t>
      </w:r>
      <w:r>
        <w:t>连接,控制卫星导航信号模拟器播发被测设备支持的卫星导航模拟信号(PDOP≤6),使其到达被测设备天线口面的信号强度</w:t>
      </w:r>
      <w:r>
        <w:rPr>
          <w:rFonts w:hint="eastAsia"/>
        </w:rPr>
        <w:t>-127dBm；</w:t>
      </w:r>
    </w:p>
    <w:p>
      <w:pPr>
        <w:pStyle w:val="231"/>
      </w:pPr>
      <w:r>
        <w:rPr>
          <w:rFonts w:hint="eastAsia"/>
        </w:rPr>
        <w:t>b）</w:t>
      </w:r>
      <w:r>
        <w:t>将被测设备开机,待被测设备正常工作后将被测设备关机</w:t>
      </w:r>
      <w:r>
        <w:rPr>
          <w:rFonts w:hint="eastAsia"/>
        </w:rPr>
        <w:t>；</w:t>
      </w:r>
    </w:p>
    <w:p>
      <w:pPr>
        <w:pStyle w:val="231"/>
      </w:pPr>
      <w:r>
        <w:rPr>
          <w:rFonts w:hint="eastAsia"/>
        </w:rPr>
        <w:t>c）</w:t>
      </w:r>
      <w:r>
        <w:t>更换仿真测试场景(使被测设备预存的卫星历书、卫星星历、时间和用户位置信息无效),控制卫星导航信号模拟器播发被测设备支持的卫星导航模拟信号(PDOP≤6),使其到达被测设备天线口面的信号强度</w:t>
      </w:r>
      <w:r>
        <w:rPr>
          <w:rFonts w:hint="eastAsia"/>
        </w:rPr>
        <w:t>-127dBm；</w:t>
      </w:r>
    </w:p>
    <w:p>
      <w:pPr>
        <w:pStyle w:val="231"/>
      </w:pPr>
      <w:r>
        <w:rPr>
          <w:rFonts w:hint="eastAsia"/>
        </w:rPr>
        <w:t>d）</w:t>
      </w:r>
      <w:r>
        <w:t>将被测设备开机并同时开始计时(当前时刻记为T0),通过性能评估设备记录被测设备输出的定位结果和对应时刻,300s后停止测试</w:t>
      </w:r>
      <w:r>
        <w:rPr>
          <w:rFonts w:hint="eastAsia"/>
        </w:rPr>
        <w:t>；</w:t>
      </w:r>
    </w:p>
    <w:p>
      <w:pPr>
        <w:pStyle w:val="231"/>
      </w:pPr>
      <w:r>
        <w:rPr>
          <w:rFonts w:hint="eastAsia"/>
        </w:rPr>
        <w:t>e）</w:t>
      </w:r>
      <w:r>
        <w:t>在输出的定位结果中选取第1组满足以下条件的连续20个定位结果:该组第1个定位结果满足水平定位误差不大于</w:t>
      </w:r>
      <w:r>
        <w:rPr>
          <w:rFonts w:hint="eastAsia"/>
        </w:rPr>
        <w:t>9</w:t>
      </w:r>
      <w:r>
        <w:t>m 且高程定位误差不大于1</w:t>
      </w:r>
      <w:r>
        <w:rPr>
          <w:rFonts w:hint="eastAsia"/>
        </w:rPr>
        <w:t>0</w:t>
      </w:r>
      <w:r>
        <w:t>m,该组其余19个定位结果中,满足水平定位误差不大于</w:t>
      </w:r>
      <w:r>
        <w:rPr>
          <w:rFonts w:hint="eastAsia"/>
        </w:rPr>
        <w:t>9</w:t>
      </w:r>
      <w:r>
        <w:t>m 且高程定位误差不大于1</w:t>
      </w:r>
      <w:r>
        <w:rPr>
          <w:rFonts w:hint="eastAsia"/>
        </w:rPr>
        <w:t>0</w:t>
      </w:r>
      <w:r>
        <w:t>m 定位结果的个数不少于18个。该组第1个定位结果的对应时刻记为T1,记录定位时间(T1-T0)</w:t>
      </w:r>
      <w:r>
        <w:rPr>
          <w:rFonts w:hint="eastAsia"/>
        </w:rPr>
        <w:t>；</w:t>
      </w:r>
    </w:p>
    <w:p>
      <w:pPr>
        <w:pStyle w:val="231"/>
      </w:pPr>
      <w:r>
        <w:rPr>
          <w:rFonts w:hint="eastAsia"/>
        </w:rPr>
        <w:t>f）</w:t>
      </w:r>
      <w:r>
        <w:t>按上述方法重复测试不少于10次,取定位时间中的最大值作为冷启动首次定位时间。若其满足</w:t>
      </w:r>
      <w:r>
        <w:rPr>
          <w:rFonts w:hint="eastAsia"/>
        </w:rPr>
        <w:t>4.3.1.4</w:t>
      </w:r>
      <w:r>
        <w:t>的要求,则</w:t>
      </w:r>
      <w:r>
        <w:rPr>
          <w:rFonts w:hint="eastAsia"/>
        </w:rPr>
        <w:t>该项</w:t>
      </w:r>
      <w:r>
        <w:t>合格。</w:t>
      </w:r>
    </w:p>
    <w:p>
      <w:pPr>
        <w:pStyle w:val="237"/>
        <w:spacing w:before="120" w:after="120"/>
      </w:pPr>
      <w:bookmarkStart w:id="227" w:name="_Toc236735689"/>
      <w:r>
        <w:rPr>
          <w:rFonts w:hint="eastAsia"/>
        </w:rPr>
        <w:t>7.3.1.5 捕获灵敏度</w:t>
      </w:r>
      <w:bookmarkEnd w:id="227"/>
    </w:p>
    <w:p>
      <w:pPr>
        <w:pStyle w:val="231"/>
      </w:pPr>
      <w:r>
        <w:rPr>
          <w:rFonts w:hint="eastAsia"/>
        </w:rPr>
        <w:t>测试步骤如下：</w:t>
      </w:r>
    </w:p>
    <w:p>
      <w:pPr>
        <w:pStyle w:val="231"/>
      </w:pPr>
      <w:r>
        <w:rPr>
          <w:rFonts w:hint="eastAsia"/>
        </w:rPr>
        <w:t>a</w:t>
      </w:r>
      <w:r>
        <w:t>) 按</w:t>
      </w:r>
      <w:r>
        <w:rPr>
          <w:rFonts w:hint="eastAsia"/>
        </w:rPr>
        <w:t>图1</w:t>
      </w:r>
      <w:r>
        <w:t>连接</w:t>
      </w:r>
      <w:r>
        <w:rPr>
          <w:rFonts w:hint="eastAsia"/>
        </w:rPr>
        <w:t>；</w:t>
      </w:r>
    </w:p>
    <w:p>
      <w:pPr>
        <w:pStyle w:val="231"/>
      </w:pPr>
      <w:r>
        <w:rPr>
          <w:rFonts w:hint="eastAsia"/>
        </w:rPr>
        <w:t>b</w:t>
      </w:r>
      <w:r>
        <w:t>) 控制卫星导航信号模拟器播发被测设备支持的一种卫星导航模拟信号(PDOP≤6),使其到达被测设备天线口面的信号强度满足</w:t>
      </w:r>
      <w:r>
        <w:rPr>
          <w:rFonts w:hint="eastAsia"/>
        </w:rPr>
        <w:t>4.3.1.5中</w:t>
      </w:r>
      <w:r>
        <w:t>的要求,将被测设备开机,待被测设备正常工作后将被测设备关机</w:t>
      </w:r>
      <w:r>
        <w:rPr>
          <w:rFonts w:hint="eastAsia"/>
        </w:rPr>
        <w:t>；</w:t>
      </w:r>
    </w:p>
    <w:p>
      <w:pPr>
        <w:pStyle w:val="231"/>
      </w:pPr>
      <w:r>
        <w:rPr>
          <w:rFonts w:hint="eastAsia"/>
        </w:rPr>
        <w:t>c</w:t>
      </w:r>
      <w:r>
        <w:t>) 更换仿真测试场景(使被测设备预存的卫星历书、卫星星历、时间和用户位置信息无效),控制卫星导航信号模拟器播发与</w:t>
      </w:r>
      <w:r>
        <w:rPr>
          <w:rFonts w:hint="eastAsia"/>
        </w:rPr>
        <w:t>b</w:t>
      </w:r>
      <w:r>
        <w:t>)相同的卫星导航模拟信号(PDOP≤6),使其到达被测设备天线口面的信号强度弱于产品标准规定的冷启动灵敏度指标2dB或弱于表2中对应信号的信号强度2dB,两者之间取较小值</w:t>
      </w:r>
      <w:r>
        <w:rPr>
          <w:rFonts w:hint="eastAsia"/>
        </w:rPr>
        <w:t>；</w:t>
      </w:r>
    </w:p>
    <w:p>
      <w:pPr>
        <w:pStyle w:val="231"/>
      </w:pPr>
      <w:r>
        <w:rPr>
          <w:rFonts w:hint="eastAsia"/>
        </w:rPr>
        <w:t>d</w:t>
      </w:r>
      <w:r>
        <w:t>) 将被测设备开机,控制被测设备天线方位角在0°</w:t>
      </w:r>
      <w:r>
        <w:rPr>
          <w:rFonts w:ascii="Times New Roman"/>
        </w:rPr>
        <w:t>~</w:t>
      </w:r>
      <w:r>
        <w:t>360°之间,仰角在20°</w:t>
      </w:r>
      <w:r>
        <w:rPr>
          <w:rFonts w:ascii="Times New Roman"/>
        </w:rPr>
        <w:t>~</w:t>
      </w:r>
      <w:r>
        <w:t>90°之间变化,转动角速度不低于5(°)/s,性能评估设备记录被测设备开机后300s内被测设备输出的定位结果,与卫星导航信号模拟器仿真的位置信息进行比对,按6.</w:t>
      </w:r>
      <w:r>
        <w:rPr>
          <w:rFonts w:hint="eastAsia"/>
        </w:rPr>
        <w:t>3</w:t>
      </w:r>
      <w:r>
        <w:t>.</w:t>
      </w:r>
      <w:r>
        <w:rPr>
          <w:rFonts w:hint="eastAsia"/>
        </w:rPr>
        <w:t>1</w:t>
      </w:r>
      <w:r>
        <w:t>.3计算水平定位误差和高程定位误差</w:t>
      </w:r>
      <w:r>
        <w:rPr>
          <w:rFonts w:hint="eastAsia"/>
        </w:rPr>
        <w:t>；</w:t>
      </w:r>
    </w:p>
    <w:p>
      <w:pPr>
        <w:pStyle w:val="231"/>
      </w:pPr>
      <w:r>
        <w:rPr>
          <w:rFonts w:hint="eastAsia"/>
        </w:rPr>
        <w:t>e</w:t>
      </w:r>
      <w:r>
        <w:t>) 若记录的定位结果中连续100个中有95个满足水平定位误差不大于</w:t>
      </w:r>
      <w:r>
        <w:rPr>
          <w:rFonts w:hint="eastAsia"/>
        </w:rPr>
        <w:t>9</w:t>
      </w:r>
      <w:r>
        <w:t>m 且高程定位误差不大于1</w:t>
      </w:r>
      <w:r>
        <w:rPr>
          <w:rFonts w:hint="eastAsia"/>
        </w:rPr>
        <w:t>0</w:t>
      </w:r>
      <w:r>
        <w:t>m,则取当前被测设备天线口面的信号强度作为该卫星导航信号</w:t>
      </w:r>
      <w:r>
        <w:rPr>
          <w:rFonts w:hint="eastAsia"/>
        </w:rPr>
        <w:t>捕获</w:t>
      </w:r>
      <w:r>
        <w:t>灵敏度,并转入</w:t>
      </w:r>
      <w:r>
        <w:rPr>
          <w:rFonts w:hint="eastAsia"/>
        </w:rPr>
        <w:t>h</w:t>
      </w:r>
      <w:r>
        <w:t>)</w:t>
      </w:r>
      <w:r>
        <w:rPr>
          <w:rFonts w:hint="eastAsia"/>
        </w:rPr>
        <w:t>；</w:t>
      </w:r>
    </w:p>
    <w:p>
      <w:pPr>
        <w:pStyle w:val="231"/>
      </w:pPr>
      <w:r>
        <w:rPr>
          <w:rFonts w:hint="eastAsia"/>
        </w:rPr>
        <w:t>f</w:t>
      </w:r>
      <w:r>
        <w:t>) 将被测设备关机</w:t>
      </w:r>
      <w:r>
        <w:rPr>
          <w:rFonts w:hint="eastAsia"/>
        </w:rPr>
        <w:t>；</w:t>
      </w:r>
    </w:p>
    <w:p>
      <w:pPr>
        <w:pStyle w:val="231"/>
      </w:pPr>
      <w:r>
        <w:rPr>
          <w:rFonts w:hint="eastAsia"/>
        </w:rPr>
        <w:t>g</w:t>
      </w:r>
      <w:r>
        <w:t>) 若当前到达被测设备天线口面的信号强度高于</w:t>
      </w:r>
      <w:r>
        <w:rPr>
          <w:rFonts w:hint="eastAsia"/>
        </w:rPr>
        <w:t>4.3.1.5</w:t>
      </w:r>
      <w:r>
        <w:t>指标3dB,则终止本项测试并判定</w:t>
      </w:r>
      <w:r>
        <w:rPr>
          <w:rFonts w:hint="eastAsia"/>
        </w:rPr>
        <w:t>捕获</w:t>
      </w:r>
      <w:r>
        <w:t>灵敏度指标不合格,否则将卫星导航信号模拟器发射信号功率提高1dB,重复</w:t>
      </w:r>
      <w:r>
        <w:rPr>
          <w:rFonts w:hint="eastAsia"/>
        </w:rPr>
        <w:t>d</w:t>
      </w:r>
      <w:r>
        <w:t>)</w:t>
      </w:r>
      <w:r>
        <w:rPr>
          <w:rFonts w:ascii="Times New Roman"/>
        </w:rPr>
        <w:t>~</w:t>
      </w:r>
      <w:r>
        <w:rPr>
          <w:rFonts w:hint="eastAsia"/>
        </w:rPr>
        <w:t>g</w:t>
      </w:r>
      <w:r>
        <w:t>)</w:t>
      </w:r>
      <w:r>
        <w:rPr>
          <w:rFonts w:hint="eastAsia"/>
        </w:rPr>
        <w:t>；</w:t>
      </w:r>
    </w:p>
    <w:p>
      <w:pPr>
        <w:pStyle w:val="231"/>
      </w:pPr>
      <w:r>
        <w:rPr>
          <w:rFonts w:hint="eastAsia"/>
        </w:rPr>
        <w:t>h</w:t>
      </w:r>
      <w:r>
        <w:t>) 改变卫星导航信号模拟器播发的卫星导航模拟信号,转入</w:t>
      </w:r>
      <w:r>
        <w:rPr>
          <w:rFonts w:hint="eastAsia"/>
        </w:rPr>
        <w:t>b</w:t>
      </w:r>
      <w:r>
        <w:t>)进行循环测试,直到被测设备支持的所有工作信号全部测完,转入</w:t>
      </w:r>
      <w:r>
        <w:rPr>
          <w:rFonts w:hint="eastAsia"/>
        </w:rPr>
        <w:t>i</w:t>
      </w:r>
      <w:r>
        <w:t>)</w:t>
      </w:r>
      <w:r>
        <w:rPr>
          <w:rFonts w:hint="eastAsia"/>
        </w:rPr>
        <w:t>；</w:t>
      </w:r>
    </w:p>
    <w:p>
      <w:pPr>
        <w:pStyle w:val="231"/>
      </w:pPr>
      <w:r>
        <w:rPr>
          <w:rFonts w:hint="eastAsia"/>
        </w:rPr>
        <w:t>i</w:t>
      </w:r>
      <w:r>
        <w:t>) 若被测设备支持的全部卫星导航信号</w:t>
      </w:r>
      <w:r>
        <w:rPr>
          <w:rFonts w:hint="eastAsia"/>
        </w:rPr>
        <w:t>捕获</w:t>
      </w:r>
      <w:r>
        <w:t>灵敏度满足</w:t>
      </w:r>
      <w:r>
        <w:rPr>
          <w:rFonts w:hint="eastAsia"/>
        </w:rPr>
        <w:t>4.3.1.5中</w:t>
      </w:r>
      <w:r>
        <w:t>的要求,则</w:t>
      </w:r>
      <w:r>
        <w:rPr>
          <w:rFonts w:hint="eastAsia"/>
        </w:rPr>
        <w:t>该项</w:t>
      </w:r>
      <w:r>
        <w:t>合格。</w:t>
      </w:r>
    </w:p>
    <w:p>
      <w:pPr>
        <w:pStyle w:val="237"/>
        <w:spacing w:before="120" w:after="120"/>
      </w:pPr>
      <w:bookmarkStart w:id="228" w:name="_Toc236735690"/>
      <w:r>
        <w:rPr>
          <w:rFonts w:hint="eastAsia"/>
        </w:rPr>
        <w:t>7.3.1.5 跟踪灵敏度</w:t>
      </w:r>
      <w:bookmarkEnd w:id="228"/>
    </w:p>
    <w:p>
      <w:pPr>
        <w:pStyle w:val="231"/>
      </w:pPr>
      <w:r>
        <w:rPr>
          <w:rFonts w:hint="eastAsia"/>
        </w:rPr>
        <w:t>测试步骤如下：</w:t>
      </w:r>
    </w:p>
    <w:p>
      <w:pPr>
        <w:pStyle w:val="231"/>
      </w:pPr>
      <w:r>
        <w:rPr>
          <w:rFonts w:hint="eastAsia"/>
        </w:rPr>
        <w:t>a）</w:t>
      </w:r>
      <w:r>
        <w:t>按</w:t>
      </w:r>
      <w:r>
        <w:rPr>
          <w:rFonts w:hint="eastAsia"/>
        </w:rPr>
        <w:t>图1</w:t>
      </w:r>
      <w:r>
        <w:t>连接</w:t>
      </w:r>
      <w:r>
        <w:rPr>
          <w:rFonts w:hint="eastAsia"/>
        </w:rPr>
        <w:t>；</w:t>
      </w:r>
    </w:p>
    <w:p>
      <w:pPr>
        <w:pStyle w:val="231"/>
      </w:pPr>
      <w:r>
        <w:rPr>
          <w:rFonts w:hint="eastAsia"/>
        </w:rPr>
        <w:t>b</w:t>
      </w:r>
      <w:r>
        <w:t>) 控制卫星导航信号模拟器播发被测设备支持的一种卫星导航模拟信号(PDOP≤6),使其到达被测设备天线口面的信号强度满足产品标准规定的</w:t>
      </w:r>
      <w:r>
        <w:rPr>
          <w:rFonts w:hint="eastAsia"/>
        </w:rPr>
        <w:t>捕获</w:t>
      </w:r>
      <w:r>
        <w:t>灵敏度指标或</w:t>
      </w:r>
      <w:r>
        <w:rPr>
          <w:rFonts w:hint="eastAsia"/>
        </w:rPr>
        <w:t>4.3.1.6要求的</w:t>
      </w:r>
      <w:r>
        <w:t>信号强度,两者之间取较大值</w:t>
      </w:r>
      <w:r>
        <w:rPr>
          <w:rFonts w:hint="eastAsia"/>
        </w:rPr>
        <w:t>；</w:t>
      </w:r>
    </w:p>
    <w:p>
      <w:pPr>
        <w:pStyle w:val="231"/>
      </w:pPr>
      <w:r>
        <w:rPr>
          <w:rFonts w:hint="eastAsia"/>
        </w:rPr>
        <w:t>c</w:t>
      </w:r>
      <w:r>
        <w:t>) 将被测设备开机,控制被测设备天线方位角在0°</w:t>
      </w:r>
      <w:r>
        <w:rPr>
          <w:rFonts w:ascii="Times New Roman"/>
        </w:rPr>
        <w:t>~</w:t>
      </w:r>
      <w:r>
        <w:t>360°之间,仰角在20°</w:t>
      </w:r>
      <w:r>
        <w:rPr>
          <w:rFonts w:ascii="Times New Roman"/>
        </w:rPr>
        <w:t>~</w:t>
      </w:r>
      <w:r>
        <w:t>90°之间变化转动角速度不低于5(°)/s,性能评估设备记录被测设备开机后301s</w:t>
      </w:r>
      <w:r>
        <w:rPr>
          <w:rFonts w:ascii="Times New Roman"/>
        </w:rPr>
        <w:t>~</w:t>
      </w:r>
      <w:r>
        <w:t>600s时间段输出的定位结果,与卫星导航信号模拟器仿真的位置信息进行比对,按6.</w:t>
      </w:r>
      <w:r>
        <w:rPr>
          <w:rFonts w:hint="eastAsia"/>
        </w:rPr>
        <w:t>3</w:t>
      </w:r>
      <w:r>
        <w:t>.</w:t>
      </w:r>
      <w:r>
        <w:rPr>
          <w:rFonts w:hint="eastAsia"/>
        </w:rPr>
        <w:t>1</w:t>
      </w:r>
      <w:r>
        <w:t>.3计算水平定差和高程定位误差</w:t>
      </w:r>
      <w:r>
        <w:rPr>
          <w:rFonts w:hint="eastAsia"/>
        </w:rPr>
        <w:t>；</w:t>
      </w:r>
    </w:p>
    <w:p>
      <w:pPr>
        <w:pStyle w:val="231"/>
      </w:pPr>
      <w:r>
        <w:rPr>
          <w:rFonts w:hint="eastAsia"/>
        </w:rPr>
        <w:t>d</w:t>
      </w:r>
      <w:r>
        <w:t>) 若记录的定位结果中有不少于285个满足水平定位误差不大于</w:t>
      </w:r>
      <w:r>
        <w:rPr>
          <w:rFonts w:hint="eastAsia"/>
        </w:rPr>
        <w:t>9</w:t>
      </w:r>
      <w:r>
        <w:t>m 且高程定位误差不大于1</w:t>
      </w:r>
      <w:r>
        <w:rPr>
          <w:rFonts w:hint="eastAsia"/>
        </w:rPr>
        <w:t>0</w:t>
      </w:r>
      <w:r>
        <w:t>m,则继续5),否则终止本项测试并判定跟踪灵敏度指标不合格</w:t>
      </w:r>
      <w:r>
        <w:rPr>
          <w:rFonts w:hint="eastAsia"/>
        </w:rPr>
        <w:t>；</w:t>
      </w:r>
    </w:p>
    <w:p>
      <w:pPr>
        <w:pStyle w:val="231"/>
      </w:pPr>
      <w:r>
        <w:rPr>
          <w:rFonts w:hint="eastAsia"/>
        </w:rPr>
        <w:t>e</w:t>
      </w:r>
      <w:r>
        <w:t>) 将卫星导航信号模拟器发射信号功率降低1dB,性能评估设备记录300s被测设备输出的定位结果,与卫星导航信号模拟器仿真的位置信息进行比对,按6.</w:t>
      </w:r>
      <w:r>
        <w:rPr>
          <w:rFonts w:hint="eastAsia"/>
        </w:rPr>
        <w:t>3</w:t>
      </w:r>
      <w:r>
        <w:t>.</w:t>
      </w:r>
      <w:r>
        <w:rPr>
          <w:rFonts w:hint="eastAsia"/>
        </w:rPr>
        <w:t>1</w:t>
      </w:r>
      <w:r>
        <w:t>.3计算水平定位误差和高程定位误差</w:t>
      </w:r>
      <w:r>
        <w:rPr>
          <w:rFonts w:hint="eastAsia"/>
        </w:rPr>
        <w:t>；</w:t>
      </w:r>
    </w:p>
    <w:p>
      <w:pPr>
        <w:pStyle w:val="231"/>
      </w:pPr>
      <w:r>
        <w:rPr>
          <w:rFonts w:hint="eastAsia"/>
        </w:rPr>
        <w:t>f</w:t>
      </w:r>
      <w:r>
        <w:t>) 若记录的定位结果中有不少于285个满足水平定位误差不大于</w:t>
      </w:r>
      <w:r>
        <w:rPr>
          <w:rFonts w:hint="eastAsia"/>
        </w:rPr>
        <w:t>9</w:t>
      </w:r>
      <w:r>
        <w:t>m 且高程定位误差不大于1</w:t>
      </w:r>
      <w:r>
        <w:rPr>
          <w:rFonts w:hint="eastAsia"/>
        </w:rPr>
        <w:t>0</w:t>
      </w:r>
      <w:r>
        <w:t>m</w:t>
      </w:r>
      <w:r>
        <w:rPr>
          <w:rFonts w:hint="eastAsia"/>
        </w:rPr>
        <w:t>，</w:t>
      </w:r>
      <w:r>
        <w:t>则重复5),否则取当前被测设备天线口面信号强度增加1dB作为该卫星导航信号跟踪灵敏度</w:t>
      </w:r>
      <w:r>
        <w:rPr>
          <w:rFonts w:hint="eastAsia"/>
        </w:rPr>
        <w:t>；</w:t>
      </w:r>
    </w:p>
    <w:p>
      <w:pPr>
        <w:pStyle w:val="231"/>
      </w:pPr>
      <w:r>
        <w:rPr>
          <w:rFonts w:hint="eastAsia"/>
        </w:rPr>
        <w:t>g</w:t>
      </w:r>
      <w:r>
        <w:t>) 改变卫星导航信号模拟器播发的卫星导航模拟信号,转入</w:t>
      </w:r>
      <w:r>
        <w:rPr>
          <w:rFonts w:hint="eastAsia"/>
        </w:rPr>
        <w:t>b</w:t>
      </w:r>
      <w:r>
        <w:t>)进行循环测试,直到被测设备支持的所有工作信号全部测完,转入</w:t>
      </w:r>
      <w:r>
        <w:rPr>
          <w:rFonts w:hint="eastAsia"/>
        </w:rPr>
        <w:t>h</w:t>
      </w:r>
      <w:r>
        <w:t>)</w:t>
      </w:r>
      <w:r>
        <w:rPr>
          <w:rFonts w:hint="eastAsia"/>
        </w:rPr>
        <w:t>；</w:t>
      </w:r>
    </w:p>
    <w:p>
      <w:pPr>
        <w:pStyle w:val="231"/>
      </w:pPr>
      <w:r>
        <w:rPr>
          <w:rFonts w:hint="eastAsia"/>
        </w:rPr>
        <w:t>h</w:t>
      </w:r>
      <w:r>
        <w:t>) 若被测设备支持的全部卫星导航信号跟踪灵敏度满足</w:t>
      </w:r>
      <w:r>
        <w:rPr>
          <w:rFonts w:hint="eastAsia"/>
        </w:rPr>
        <w:t>4.3.1.6中</w:t>
      </w:r>
      <w:r>
        <w:t>的要求,则</w:t>
      </w:r>
      <w:r>
        <w:rPr>
          <w:rFonts w:hint="eastAsia"/>
        </w:rPr>
        <w:t>该项</w:t>
      </w:r>
      <w:r>
        <w:t>合格</w:t>
      </w:r>
      <w:r>
        <w:rPr>
          <w:rFonts w:hint="eastAsia"/>
        </w:rPr>
        <w:t>。</w:t>
      </w:r>
    </w:p>
    <w:p>
      <w:pPr>
        <w:pStyle w:val="237"/>
        <w:spacing w:before="120" w:after="120"/>
      </w:pPr>
      <w:bookmarkStart w:id="229" w:name="_Toc236735691"/>
      <w:r>
        <w:rPr>
          <w:rFonts w:hint="eastAsia"/>
        </w:rPr>
        <w:t>7.3.1.6 信号重捕获时间</w:t>
      </w:r>
      <w:bookmarkEnd w:id="229"/>
    </w:p>
    <w:p>
      <w:pPr>
        <w:pStyle w:val="231"/>
      </w:pPr>
      <w:r>
        <w:rPr>
          <w:rFonts w:hint="eastAsia"/>
        </w:rPr>
        <w:t>测试步骤如下：</w:t>
      </w:r>
    </w:p>
    <w:p>
      <w:pPr>
        <w:pStyle w:val="231"/>
      </w:pPr>
      <w:r>
        <w:rPr>
          <w:rFonts w:hint="eastAsia"/>
        </w:rPr>
        <w:t>a）</w:t>
      </w:r>
      <w:r>
        <w:t>按</w:t>
      </w:r>
      <w:r>
        <w:rPr>
          <w:rFonts w:hint="eastAsia"/>
        </w:rPr>
        <w:t>图1</w:t>
      </w:r>
      <w:r>
        <w:t>连接,控制卫星导航信号模拟器播发被测设备支持的卫星导航模拟信号(PDOP≤6),使其到达被测设备天线口面的信号强度满足</w:t>
      </w:r>
      <w:r>
        <w:rPr>
          <w:rFonts w:hint="eastAsia"/>
        </w:rPr>
        <w:t>4.3.1.7中</w:t>
      </w:r>
      <w:r>
        <w:t>的要求,将被测设备开机,开机300s后,卫星导航信号模拟器中断卫星导航模拟信号的播发</w:t>
      </w:r>
      <w:r>
        <w:rPr>
          <w:rFonts w:hint="eastAsia"/>
        </w:rPr>
        <w:t>；</w:t>
      </w:r>
    </w:p>
    <w:p>
      <w:pPr>
        <w:pStyle w:val="231"/>
      </w:pPr>
      <w:r>
        <w:rPr>
          <w:rFonts w:hint="eastAsia"/>
        </w:rPr>
        <w:t>b</w:t>
      </w:r>
      <w:r>
        <w:t>) 等待30s后控制卫星导航信号模拟器恢复卫星导航模拟信号的播发并同时开始计时(当前时刻记为T0),通过性能评估设备记录被测设备输出的定位结果和对应时刻,30s后停止测试</w:t>
      </w:r>
      <w:r>
        <w:rPr>
          <w:rFonts w:hint="eastAsia"/>
        </w:rPr>
        <w:t>；</w:t>
      </w:r>
    </w:p>
    <w:p>
      <w:pPr>
        <w:pStyle w:val="231"/>
      </w:pPr>
      <w:r>
        <w:rPr>
          <w:rFonts w:hint="eastAsia"/>
        </w:rPr>
        <w:t>c</w:t>
      </w:r>
      <w:r>
        <w:t>) 将输出的定位结果与卫星导航信号模拟器仿真的位置信息进行比对,按6.</w:t>
      </w:r>
      <w:r>
        <w:rPr>
          <w:rFonts w:hint="eastAsia"/>
        </w:rPr>
        <w:t>3</w:t>
      </w:r>
      <w:r>
        <w:t>.</w:t>
      </w:r>
      <w:r>
        <w:rPr>
          <w:rFonts w:hint="eastAsia"/>
        </w:rPr>
        <w:t>1</w:t>
      </w:r>
      <w:r>
        <w:t>.3计算水平定位误差和高程定位误差</w:t>
      </w:r>
      <w:r>
        <w:rPr>
          <w:rFonts w:hint="eastAsia"/>
        </w:rPr>
        <w:t>；</w:t>
      </w:r>
    </w:p>
    <w:p>
      <w:pPr>
        <w:pStyle w:val="231"/>
      </w:pPr>
      <w:r>
        <w:rPr>
          <w:rFonts w:hint="eastAsia"/>
        </w:rPr>
        <w:t>d</w:t>
      </w:r>
      <w:r>
        <w:t>) 在输出的定位结果中选取第1组满足以下条件的连续20个定位结果:该组第1个定位结果满足水平定位误差不大于</w:t>
      </w:r>
      <w:r>
        <w:rPr>
          <w:rFonts w:hint="eastAsia"/>
        </w:rPr>
        <w:t>9</w:t>
      </w:r>
      <w:r>
        <w:t>m 且高程定位误差不大于1</w:t>
      </w:r>
      <w:r>
        <w:rPr>
          <w:rFonts w:hint="eastAsia"/>
        </w:rPr>
        <w:t>0</w:t>
      </w:r>
      <w:r>
        <w:t>m,该组其余19个定位结果中满足水平定位误差不大于</w:t>
      </w:r>
      <w:r>
        <w:rPr>
          <w:rFonts w:hint="eastAsia"/>
        </w:rPr>
        <w:t>9</w:t>
      </w:r>
      <w:r>
        <w:t>m 且高程定位误差不大于</w:t>
      </w:r>
      <w:r>
        <w:rPr>
          <w:rFonts w:hint="eastAsia"/>
        </w:rPr>
        <w:t>10</w:t>
      </w:r>
      <w:r>
        <w:t>m 定位结果的个数不少于18个。该组第1个定位结果对应的时刻为T1,记录定位时间(T1-T0)</w:t>
      </w:r>
      <w:r>
        <w:rPr>
          <w:rFonts w:hint="eastAsia"/>
        </w:rPr>
        <w:t>；</w:t>
      </w:r>
    </w:p>
    <w:p>
      <w:pPr>
        <w:pStyle w:val="231"/>
      </w:pPr>
      <w:r>
        <w:rPr>
          <w:rFonts w:hint="eastAsia"/>
        </w:rPr>
        <w:t>e</w:t>
      </w:r>
      <w:r>
        <w:t>) 按上述方法重复测试不少于10次,取定位时间中的最大值作为</w:t>
      </w:r>
      <w:r>
        <w:rPr>
          <w:rFonts w:hint="eastAsia"/>
        </w:rPr>
        <w:t>信号</w:t>
      </w:r>
      <w:r>
        <w:t>重新捕获时间</w:t>
      </w:r>
      <w:r>
        <w:rPr>
          <w:rFonts w:hint="eastAsia"/>
        </w:rPr>
        <w:t>；</w:t>
      </w:r>
    </w:p>
    <w:p>
      <w:pPr>
        <w:pStyle w:val="231"/>
      </w:pPr>
      <w:r>
        <w:rPr>
          <w:rFonts w:hint="eastAsia"/>
        </w:rPr>
        <w:t>f</w:t>
      </w:r>
      <w:r>
        <w:t>) 若</w:t>
      </w:r>
      <w:r>
        <w:rPr>
          <w:rFonts w:hint="eastAsia"/>
        </w:rPr>
        <w:t>信号</w:t>
      </w:r>
      <w:r>
        <w:t>重新捕获时间满足</w:t>
      </w:r>
      <w:r>
        <w:rPr>
          <w:rFonts w:hint="eastAsia"/>
        </w:rPr>
        <w:t>4.3.1.7中</w:t>
      </w:r>
      <w:r>
        <w:t>的要求,则</w:t>
      </w:r>
      <w:r>
        <w:rPr>
          <w:rFonts w:hint="eastAsia"/>
        </w:rPr>
        <w:t>该项</w:t>
      </w:r>
      <w:r>
        <w:t>合格。</w:t>
      </w:r>
    </w:p>
    <w:p>
      <w:pPr>
        <w:pStyle w:val="236"/>
        <w:spacing w:before="120" w:after="120"/>
      </w:pPr>
      <w:bookmarkStart w:id="230" w:name="_Toc236735692"/>
      <w:r>
        <w:rPr>
          <w:rFonts w:hint="eastAsia"/>
        </w:rPr>
        <w:t>7.3.2 北斗短报文通信性能</w:t>
      </w:r>
      <w:bookmarkEnd w:id="230"/>
    </w:p>
    <w:p>
      <w:pPr>
        <w:pStyle w:val="237"/>
        <w:spacing w:before="120" w:after="120"/>
      </w:pPr>
      <w:bookmarkStart w:id="231" w:name="_Toc236735693"/>
      <w:r>
        <w:rPr>
          <w:rFonts w:hint="eastAsia"/>
        </w:rPr>
        <w:t>7.3.2.1 业务频段</w:t>
      </w:r>
      <w:bookmarkEnd w:id="231"/>
    </w:p>
    <w:p>
      <w:pPr>
        <w:pStyle w:val="231"/>
      </w:pPr>
      <w:r>
        <w:rPr>
          <w:rFonts w:hint="eastAsia"/>
        </w:rPr>
        <w:t>测试步骤如下：</w:t>
      </w:r>
    </w:p>
    <w:p>
      <w:pPr>
        <w:pStyle w:val="231"/>
      </w:pPr>
      <w:r>
        <w:rPr>
          <w:rFonts w:hint="eastAsia"/>
        </w:rPr>
        <w:t>a）</w:t>
      </w:r>
      <w:r>
        <w:t>按</w:t>
      </w:r>
      <w:r>
        <w:rPr>
          <w:rFonts w:hint="eastAsia"/>
        </w:rPr>
        <w:t>图1</w:t>
      </w:r>
      <w:r>
        <w:t>连接,控制卫星导航信号模拟器播发1个波束</w:t>
      </w:r>
      <w:r>
        <w:rPr>
          <w:rFonts w:hint="eastAsia"/>
        </w:rPr>
        <w:t>S2C</w:t>
      </w:r>
      <w:r>
        <w:t>出站模拟信号,使到达被测设备天线口面的信号强度-127dBm</w:t>
      </w:r>
      <w:r>
        <w:rPr>
          <w:rFonts w:hint="eastAsia"/>
        </w:rPr>
        <w:t>；</w:t>
      </w:r>
    </w:p>
    <w:p>
      <w:pPr>
        <w:pStyle w:val="231"/>
      </w:pPr>
      <w:r>
        <w:rPr>
          <w:rFonts w:hint="eastAsia"/>
        </w:rPr>
        <w:t>b）</w:t>
      </w:r>
      <w:r>
        <w:t>将被测设备开机,设置被测设备连续发送入站定位申请,测量被测设备人站信号的中心频率</w:t>
      </w:r>
      <w:r>
        <w:rPr>
          <w:rFonts w:hint="eastAsia"/>
        </w:rPr>
        <w:t>分别为1614.26 MHz、1618.34 MHz</w:t>
      </w:r>
      <w:r>
        <w:t>,按公式(</w:t>
      </w:r>
      <w:r>
        <w:rPr>
          <w:rFonts w:hint="eastAsia"/>
        </w:rPr>
        <w:t>4</w:t>
      </w:r>
      <w:r>
        <w:t>)计算发射信号频率准确度,若其满足</w:t>
      </w:r>
      <w:r>
        <w:rPr>
          <w:rFonts w:hint="eastAsia"/>
        </w:rPr>
        <w:t>≤5</w:t>
      </w:r>
      <w:r>
        <w:rPr>
          <w:rFonts w:ascii="Arial" w:hAnsi="Arial" w:cs="Arial"/>
        </w:rPr>
        <w:t>×</w:t>
      </w:r>
      <w:r>
        <w:rPr>
          <w:rFonts w:hint="eastAsia"/>
        </w:rPr>
        <w:t>10</w:t>
      </w:r>
      <w:r>
        <w:rPr>
          <w:rFonts w:hint="eastAsia"/>
          <w:vertAlign w:val="superscript"/>
        </w:rPr>
        <w:t>-7</w:t>
      </w:r>
      <w:r>
        <w:rPr>
          <w:rFonts w:hint="eastAsia"/>
        </w:rPr>
        <w:t>（均方根误差）</w:t>
      </w:r>
      <w:r>
        <w:t>的要求,则判定</w:t>
      </w:r>
      <w:r>
        <w:rPr>
          <w:rFonts w:hint="eastAsia"/>
        </w:rPr>
        <w:t>终端</w:t>
      </w:r>
      <w:r>
        <w:t>支持上行频段：1610MHz-1626.5MHz，中心频点包括： 1614.26 MHz、1618.34 MHz。</w:t>
      </w:r>
    </w:p>
    <w:p>
      <w:pPr>
        <w:pStyle w:val="231"/>
      </w:pPr>
      <w:r>
        <w:rPr>
          <w:rFonts w:hint="eastAsia"/>
        </w:rPr>
        <w:t>c）若按照6.3.2.3方法检测,被测终端满足4.3.2.3要求则被测终端支持下行频段：2483.5MHz-2500MHz。</w:t>
      </w:r>
    </w:p>
    <w:p>
      <w:pPr>
        <w:pStyle w:val="231"/>
        <w:ind w:firstLine="560"/>
        <w:jc w:val="center"/>
        <w:rPr>
          <w:rFonts w:hAnsi="Cambria Math"/>
        </w:rPr>
      </w:pPr>
      <w:r>
        <w:rPr>
          <w:rFonts w:hint="eastAsia" w:hAnsi="Cambria Math"/>
          <w:sz w:val="28"/>
          <w:szCs w:val="24"/>
        </w:rPr>
        <w:t xml:space="preserve">             </w:t>
      </w:r>
      <m:oMath>
        <m:r>
          <m:rPr/>
          <w:rPr>
            <w:rFonts w:ascii="Cambria Math" w:hAnsi="Cambria Math"/>
            <w:sz w:val="28"/>
            <w:szCs w:val="24"/>
          </w:rPr>
          <m:t>m=</m:t>
        </m:r>
        <m:f>
          <m:fPr>
            <m:ctrlPr>
              <w:rPr>
                <w:rFonts w:ascii="Cambria Math" w:hAnsi="Cambria Math"/>
                <w:i/>
                <w:sz w:val="28"/>
                <w:szCs w:val="24"/>
              </w:rPr>
            </m:ctrlPr>
          </m:fPr>
          <m:num>
            <m:rad>
              <m:radPr>
                <m:degHide m:val="true"/>
                <m:ctrlPr>
                  <w:rPr>
                    <w:rFonts w:ascii="Cambria Math" w:hAnsi="Cambria Math"/>
                    <w:i/>
                    <w:sz w:val="28"/>
                    <w:szCs w:val="24"/>
                  </w:rPr>
                </m:ctrlPr>
              </m:radPr>
              <m:deg>
                <m:ctrlPr>
                  <w:rPr>
                    <w:rFonts w:ascii="Cambria Math" w:hAnsi="Cambria Math"/>
                    <w:i/>
                    <w:sz w:val="28"/>
                    <w:szCs w:val="24"/>
                  </w:rPr>
                </m:ctrlPr>
              </m:deg>
              <m:e>
                <m:f>
                  <m:fPr>
                    <m:ctrlPr>
                      <w:rPr>
                        <w:rFonts w:ascii="Cambria Math" w:hAnsi="Cambria Math"/>
                        <w:i/>
                        <w:sz w:val="28"/>
                        <w:szCs w:val="24"/>
                      </w:rPr>
                    </m:ctrlPr>
                  </m:fPr>
                  <m:num>
                    <m:nary>
                      <m:naryPr>
                        <m:chr m:val="∑"/>
                        <m:limLoc m:val="undOvr"/>
                        <m:ctrlPr>
                          <w:rPr>
                            <w:rFonts w:ascii="Cambria Math" w:hAnsi="Cambria Math"/>
                            <w:i/>
                            <w:sz w:val="28"/>
                            <w:szCs w:val="24"/>
                          </w:rPr>
                        </m:ctrlPr>
                      </m:naryPr>
                      <m:sub>
                        <m:r>
                          <m:rPr/>
                          <w:rPr>
                            <w:rFonts w:ascii="Cambria Math" w:hAnsi="Cambria Math"/>
                            <w:sz w:val="28"/>
                            <w:szCs w:val="24"/>
                          </w:rPr>
                          <m:t>1</m:t>
                        </m:r>
                        <m:ctrlPr>
                          <w:rPr>
                            <w:rFonts w:ascii="Cambria Math" w:hAnsi="Cambria Math"/>
                            <w:i/>
                            <w:sz w:val="28"/>
                            <w:szCs w:val="24"/>
                          </w:rPr>
                        </m:ctrlPr>
                      </m:sub>
                      <m:sup>
                        <m:r>
                          <m:rPr/>
                          <w:rPr>
                            <w:rFonts w:ascii="Cambria Math" w:hAnsi="Cambria Math"/>
                            <w:sz w:val="28"/>
                            <w:szCs w:val="24"/>
                          </w:rPr>
                          <m:t>n</m:t>
                        </m:r>
                        <m:ctrlPr>
                          <w:rPr>
                            <w:rFonts w:ascii="Cambria Math" w:hAnsi="Cambria Math"/>
                            <w:i/>
                            <w:sz w:val="28"/>
                            <w:szCs w:val="24"/>
                          </w:rPr>
                        </m:ctrlPr>
                      </m:sup>
                      <m:e>
                        <m:sSup>
                          <m:sSupPr>
                            <m:ctrlPr>
                              <w:rPr>
                                <w:rFonts w:ascii="Cambria Math" w:hAnsi="Cambria Math"/>
                                <w:i/>
                                <w:sz w:val="28"/>
                                <w:szCs w:val="24"/>
                              </w:rPr>
                            </m:ctrlPr>
                          </m:sSupPr>
                          <m:e>
                            <m:r>
                              <m:rPr/>
                              <w:rPr>
                                <w:rFonts w:ascii="Cambria Math" w:hAnsi="Cambria Math"/>
                                <w:sz w:val="28"/>
                                <w:szCs w:val="24"/>
                              </w:rPr>
                              <m:t>(</m:t>
                            </m:r>
                            <m:sSub>
                              <m:sSubPr>
                                <m:ctrlPr>
                                  <w:rPr>
                                    <w:rFonts w:ascii="Cambria Math" w:hAnsi="Cambria Math"/>
                                    <w:i/>
                                    <w:sz w:val="28"/>
                                    <w:szCs w:val="24"/>
                                  </w:rPr>
                                </m:ctrlPr>
                              </m:sSubPr>
                              <m:e>
                                <m:r>
                                  <m:rPr/>
                                  <w:rPr>
                                    <w:rFonts w:ascii="Cambria Math" w:hAnsi="Cambria Math"/>
                                    <w:sz w:val="28"/>
                                    <w:szCs w:val="24"/>
                                  </w:rPr>
                                  <m:t>f</m:t>
                                </m:r>
                                <m:ctrlPr>
                                  <w:rPr>
                                    <w:rFonts w:ascii="Cambria Math" w:hAnsi="Cambria Math"/>
                                    <w:i/>
                                    <w:sz w:val="28"/>
                                    <w:szCs w:val="24"/>
                                  </w:rPr>
                                </m:ctrlPr>
                              </m:e>
                              <m:sub>
                                <m:r>
                                  <m:rPr/>
                                  <w:rPr>
                                    <w:rFonts w:ascii="Cambria Math" w:hAnsi="Cambria Math"/>
                                    <w:sz w:val="28"/>
                                    <w:szCs w:val="24"/>
                                  </w:rPr>
                                  <m:t>i</m:t>
                                </m:r>
                                <m:ctrlPr>
                                  <w:rPr>
                                    <w:rFonts w:ascii="Cambria Math" w:hAnsi="Cambria Math"/>
                                    <w:i/>
                                    <w:sz w:val="28"/>
                                    <w:szCs w:val="24"/>
                                  </w:rPr>
                                </m:ctrlPr>
                              </m:sub>
                            </m:sSub>
                            <m:r>
                              <m:rPr/>
                              <w:rPr>
                                <w:rFonts w:ascii="Cambria Math" w:hAnsi="Cambria Math"/>
                                <w:sz w:val="28"/>
                                <w:szCs w:val="24"/>
                              </w:rPr>
                              <m:t>−</m:t>
                            </m:r>
                            <m:sSub>
                              <m:sSubPr>
                                <m:ctrlPr>
                                  <w:rPr>
                                    <w:rFonts w:ascii="Cambria Math" w:hAnsi="Cambria Math"/>
                                    <w:i/>
                                    <w:sz w:val="28"/>
                                    <w:szCs w:val="24"/>
                                  </w:rPr>
                                </m:ctrlPr>
                              </m:sSubPr>
                              <m:e>
                                <m:r>
                                  <m:rPr/>
                                  <w:rPr>
                                    <w:rFonts w:ascii="Cambria Math" w:hAnsi="Cambria Math"/>
                                    <w:sz w:val="28"/>
                                    <w:szCs w:val="24"/>
                                  </w:rPr>
                                  <m:t>f</m:t>
                                </m:r>
                                <m:ctrlPr>
                                  <w:rPr>
                                    <w:rFonts w:ascii="Cambria Math" w:hAnsi="Cambria Math"/>
                                    <w:i/>
                                    <w:sz w:val="28"/>
                                    <w:szCs w:val="24"/>
                                  </w:rPr>
                                </m:ctrlPr>
                              </m:e>
                              <m:sub>
                                <m:r>
                                  <m:rPr/>
                                  <w:rPr>
                                    <w:rFonts w:ascii="Cambria Math" w:hAnsi="Cambria Math"/>
                                    <w:sz w:val="28"/>
                                    <w:szCs w:val="24"/>
                                  </w:rPr>
                                  <m:t>0</m:t>
                                </m:r>
                                <m:ctrlPr>
                                  <w:rPr>
                                    <w:rFonts w:ascii="Cambria Math" w:hAnsi="Cambria Math"/>
                                    <w:i/>
                                    <w:sz w:val="28"/>
                                    <w:szCs w:val="24"/>
                                  </w:rPr>
                                </m:ctrlPr>
                              </m:sub>
                            </m:sSub>
                            <m:r>
                              <m:rPr/>
                              <w:rPr>
                                <w:rFonts w:ascii="Cambria Math" w:hAnsi="Cambria Math"/>
                                <w:sz w:val="28"/>
                                <w:szCs w:val="24"/>
                              </w:rPr>
                              <m:t>)</m:t>
                            </m:r>
                            <m:ctrlPr>
                              <w:rPr>
                                <w:rFonts w:ascii="Cambria Math" w:hAnsi="Cambria Math"/>
                                <w:i/>
                                <w:sz w:val="28"/>
                                <w:szCs w:val="24"/>
                              </w:rPr>
                            </m:ctrlPr>
                          </m:e>
                          <m:sup>
                            <m:r>
                              <m:rPr/>
                              <w:rPr>
                                <w:rFonts w:ascii="Cambria Math" w:hAnsi="Cambria Math"/>
                                <w:sz w:val="28"/>
                                <w:szCs w:val="24"/>
                              </w:rPr>
                              <m:t>2</m:t>
                            </m:r>
                            <m:ctrlPr>
                              <w:rPr>
                                <w:rFonts w:ascii="Cambria Math" w:hAnsi="Cambria Math"/>
                                <w:i/>
                                <w:sz w:val="28"/>
                                <w:szCs w:val="24"/>
                              </w:rPr>
                            </m:ctrlPr>
                          </m:sup>
                        </m:sSup>
                        <m:ctrlPr>
                          <w:rPr>
                            <w:rFonts w:ascii="Cambria Math" w:hAnsi="Cambria Math"/>
                            <w:i/>
                            <w:sz w:val="28"/>
                            <w:szCs w:val="24"/>
                          </w:rPr>
                        </m:ctrlPr>
                      </m:e>
                    </m:nary>
                    <m:ctrlPr>
                      <w:rPr>
                        <w:rFonts w:ascii="Cambria Math" w:hAnsi="Cambria Math"/>
                        <w:i/>
                        <w:sz w:val="28"/>
                        <w:szCs w:val="24"/>
                      </w:rPr>
                    </m:ctrlPr>
                  </m:num>
                  <m:den>
                    <m:r>
                      <m:rPr/>
                      <w:rPr>
                        <w:rFonts w:ascii="Cambria Math" w:hAnsi="Cambria Math"/>
                        <w:sz w:val="28"/>
                        <w:szCs w:val="24"/>
                      </w:rPr>
                      <m:t>n</m:t>
                    </m:r>
                    <m:ctrlPr>
                      <w:rPr>
                        <w:rFonts w:ascii="Cambria Math" w:hAnsi="Cambria Math"/>
                        <w:i/>
                        <w:sz w:val="28"/>
                        <w:szCs w:val="24"/>
                      </w:rPr>
                    </m:ctrlPr>
                  </m:den>
                </m:f>
                <m:ctrlPr>
                  <w:rPr>
                    <w:rFonts w:ascii="Cambria Math" w:hAnsi="Cambria Math"/>
                    <w:i/>
                    <w:sz w:val="28"/>
                    <w:szCs w:val="24"/>
                  </w:rPr>
                </m:ctrlPr>
              </m:e>
            </m:rad>
            <m:ctrlPr>
              <w:rPr>
                <w:rFonts w:ascii="Cambria Math" w:hAnsi="Cambria Math"/>
                <w:i/>
                <w:sz w:val="28"/>
                <w:szCs w:val="24"/>
              </w:rPr>
            </m:ctrlPr>
          </m:num>
          <m:den>
            <m:sSub>
              <m:sSubPr>
                <m:ctrlPr>
                  <w:rPr>
                    <w:rFonts w:ascii="Cambria Math" w:hAnsi="Cambria Math"/>
                    <w:i/>
                    <w:sz w:val="28"/>
                    <w:szCs w:val="24"/>
                  </w:rPr>
                </m:ctrlPr>
              </m:sSubPr>
              <m:e>
                <m:r>
                  <m:rPr/>
                  <w:rPr>
                    <w:rFonts w:ascii="Cambria Math" w:hAnsi="Cambria Math"/>
                    <w:sz w:val="28"/>
                    <w:szCs w:val="24"/>
                  </w:rPr>
                  <m:t>f</m:t>
                </m:r>
                <m:ctrlPr>
                  <w:rPr>
                    <w:rFonts w:ascii="Cambria Math" w:hAnsi="Cambria Math"/>
                    <w:i/>
                    <w:sz w:val="28"/>
                    <w:szCs w:val="24"/>
                  </w:rPr>
                </m:ctrlPr>
              </m:e>
              <m:sub>
                <m:r>
                  <m:rPr/>
                  <w:rPr>
                    <w:rFonts w:ascii="Cambria Math" w:hAnsi="Cambria Math"/>
                    <w:sz w:val="28"/>
                    <w:szCs w:val="24"/>
                  </w:rPr>
                  <m:t>0</m:t>
                </m:r>
                <m:ctrlPr>
                  <w:rPr>
                    <w:rFonts w:ascii="Cambria Math" w:hAnsi="Cambria Math"/>
                    <w:i/>
                    <w:sz w:val="28"/>
                    <w:szCs w:val="24"/>
                  </w:rPr>
                </m:ctrlPr>
              </m:sub>
            </m:sSub>
            <m:ctrlPr>
              <w:rPr>
                <w:rFonts w:ascii="Cambria Math" w:hAnsi="Cambria Math"/>
                <w:i/>
                <w:sz w:val="28"/>
                <w:szCs w:val="24"/>
              </w:rPr>
            </m:ctrlPr>
          </m:den>
        </m:f>
      </m:oMath>
      <w:r>
        <w:rPr>
          <w:rFonts w:ascii="Arial" w:hAnsi="Arial" w:cs="Arial"/>
        </w:rPr>
        <w:t>…………………………………………</w:t>
      </w:r>
      <w:r>
        <w:rPr>
          <w:rFonts w:hint="eastAsia" w:ascii="Arial" w:hAnsi="Arial" w:cs="Arial"/>
        </w:rPr>
        <w:t>（4）</w:t>
      </w:r>
    </w:p>
    <w:p>
      <w:pPr>
        <w:pStyle w:val="231"/>
        <w:rPr>
          <w:rFonts w:hAnsi="Cambria Math"/>
        </w:rPr>
      </w:pPr>
      <w:r>
        <w:rPr>
          <w:rFonts w:hint="eastAsia" w:hAnsi="Cambria Math"/>
          <w:i/>
          <w:iCs/>
        </w:rPr>
        <w:t>m</w:t>
      </w:r>
      <w:r>
        <w:rPr>
          <w:rFonts w:hint="eastAsia" w:hAnsi="宋体" w:cs="宋体"/>
        </w:rPr>
        <w:t>——</w:t>
      </w:r>
      <w:r>
        <w:rPr>
          <w:rFonts w:hAnsi="Cambria Math"/>
        </w:rPr>
        <w:t>发射信号频率准确度</w:t>
      </w:r>
      <w:r>
        <w:rPr>
          <w:rFonts w:hint="eastAsia" w:hAnsi="Cambria Math"/>
        </w:rPr>
        <w:t>；</w:t>
      </w:r>
    </w:p>
    <w:p>
      <w:pPr>
        <w:pStyle w:val="231"/>
        <w:rPr>
          <w:rFonts w:hAnsi="Cambria Math"/>
        </w:rPr>
      </w:pPr>
      <w:r>
        <w:rPr>
          <w:rFonts w:hint="eastAsia" w:hAnsi="Cambria Math"/>
        </w:rPr>
        <w:t>n</w:t>
      </w:r>
      <w:r>
        <w:rPr>
          <w:rFonts w:hint="eastAsia" w:hAnsi="宋体" w:cs="宋体"/>
        </w:rPr>
        <w:t>——</w:t>
      </w:r>
      <w:r>
        <w:rPr>
          <w:rFonts w:hint="eastAsia" w:hAnsi="Cambria Math"/>
        </w:rPr>
        <w:t>样品总数，n≥50；</w:t>
      </w:r>
    </w:p>
    <w:p>
      <w:pPr>
        <w:pStyle w:val="231"/>
        <w:rPr>
          <w:rFonts w:hAnsi="Cambria Math"/>
        </w:rPr>
      </w:pPr>
      <w:r>
        <w:rPr>
          <w:rFonts w:hint="eastAsia" w:hAnsi="Cambria Math"/>
          <w:i/>
          <w:iCs/>
        </w:rPr>
        <w:t>i</w:t>
      </w:r>
      <w:r>
        <w:rPr>
          <w:rFonts w:hint="eastAsia" w:hAnsi="宋体" w:cs="宋体"/>
        </w:rPr>
        <w:t>——</w:t>
      </w:r>
      <w:r>
        <w:rPr>
          <w:rFonts w:hint="eastAsia" w:hAnsi="Cambria Math"/>
        </w:rPr>
        <w:t>样本序号，i=1,2,3,</w:t>
      </w:r>
      <w:r>
        <w:rPr>
          <w:rFonts w:ascii="Arial" w:hAnsi="Arial" w:cs="Arial"/>
        </w:rPr>
        <w:t>…</w:t>
      </w:r>
      <w:r>
        <w:rPr>
          <w:rFonts w:hint="eastAsia" w:hAnsi="Cambria Math"/>
        </w:rPr>
        <w:t>n；</w:t>
      </w:r>
    </w:p>
    <w:p>
      <w:pPr>
        <w:pStyle w:val="231"/>
        <w:rPr>
          <w:rFonts w:hAnsi="Cambria Math"/>
        </w:rPr>
      </w:pPr>
      <m:oMath>
        <m:sSub>
          <m:sSubPr>
            <m:ctrlPr>
              <w:rPr>
                <w:rFonts w:ascii="Cambria Math" w:hAnsi="Cambria Math"/>
                <w:i/>
              </w:rPr>
            </m:ctrlPr>
          </m:sSubPr>
          <m:e>
            <m:r>
              <m:rPr/>
              <w:rPr>
                <w:rFonts w:ascii="Cambria Math" w:hAnsi="Cambria Math"/>
              </w:rPr>
              <m:t>f</m:t>
            </m:r>
            <m:ctrlPr>
              <w:rPr>
                <w:rFonts w:ascii="Cambria Math" w:hAnsi="Cambria Math"/>
                <w:i/>
              </w:rPr>
            </m:ctrlPr>
          </m:e>
          <m:sub>
            <m:r>
              <m:rPr/>
              <w:rPr>
                <w:rFonts w:ascii="Cambria Math" w:hAnsi="Cambria Math"/>
              </w:rPr>
              <m:t>i</m:t>
            </m:r>
            <m:ctrlPr>
              <w:rPr>
                <w:rFonts w:ascii="Cambria Math" w:hAnsi="Cambria Math"/>
                <w:i/>
              </w:rPr>
            </m:ctrlPr>
          </m:sub>
        </m:sSub>
      </m:oMath>
      <w:r>
        <w:rPr>
          <w:rFonts w:hint="eastAsia" w:hAnsi="宋体" w:cs="宋体"/>
        </w:rPr>
        <w:t>——</w:t>
      </w:r>
      <w:r>
        <w:rPr>
          <w:rFonts w:hint="eastAsia" w:hAnsi="Cambria Math"/>
        </w:rPr>
        <w:t>被测设备发射信号的中心频率，单位为赫兹（Hz）；</w:t>
      </w:r>
    </w:p>
    <w:p>
      <w:pPr>
        <w:pStyle w:val="231"/>
        <w:rPr>
          <w:rFonts w:hAnsi="Cambria Math"/>
        </w:rPr>
      </w:pPr>
      <m:oMath>
        <m:sSub>
          <m:sSubPr>
            <m:ctrlPr>
              <w:rPr>
                <w:rFonts w:ascii="Cambria Math" w:hAnsi="Cambria Math"/>
                <w:i/>
              </w:rPr>
            </m:ctrlPr>
          </m:sSubPr>
          <m:e>
            <m:r>
              <m:rPr/>
              <w:rPr>
                <w:rFonts w:ascii="Cambria Math" w:hAnsi="Cambria Math"/>
              </w:rPr>
              <m:t>f</m:t>
            </m:r>
            <m:ctrlPr>
              <w:rPr>
                <w:rFonts w:ascii="Cambria Math" w:hAnsi="Cambria Math"/>
                <w:i/>
              </w:rPr>
            </m:ctrlPr>
          </m:e>
          <m:sub>
            <m:r>
              <m:rPr/>
              <w:rPr>
                <w:rFonts w:ascii="Cambria Math" w:hAnsi="Cambria Math"/>
              </w:rPr>
              <m:t>0</m:t>
            </m:r>
            <m:ctrlPr>
              <w:rPr>
                <w:rFonts w:ascii="Cambria Math" w:hAnsi="Cambria Math"/>
                <w:i/>
              </w:rPr>
            </m:ctrlPr>
          </m:sub>
        </m:sSub>
      </m:oMath>
      <w:r>
        <w:rPr>
          <w:rFonts w:hint="eastAsia" w:hAnsi="宋体" w:cs="宋体"/>
        </w:rPr>
        <w:t>——</w:t>
      </w:r>
      <w:r>
        <w:rPr>
          <w:rFonts w:hint="eastAsia" w:hAnsi="Cambria Math"/>
        </w:rPr>
        <w:t>中心频率标称值，单位为赫兹（Hz）。</w:t>
      </w:r>
    </w:p>
    <w:p>
      <w:pPr>
        <w:pStyle w:val="231"/>
      </w:pPr>
    </w:p>
    <w:p>
      <w:pPr>
        <w:pStyle w:val="237"/>
        <w:spacing w:before="120" w:after="120"/>
      </w:pPr>
      <w:bookmarkStart w:id="232" w:name="_Toc236735694"/>
      <w:r>
        <w:rPr>
          <w:rFonts w:hint="eastAsia"/>
        </w:rPr>
        <w:t>7.3.2.2 等效全向辐射功率限值</w:t>
      </w:r>
      <w:bookmarkEnd w:id="232"/>
    </w:p>
    <w:p>
      <w:pPr>
        <w:pStyle w:val="231"/>
      </w:pPr>
      <w:r>
        <w:rPr>
          <w:rFonts w:hint="eastAsia"/>
        </w:rPr>
        <w:t>测试步骤如下：</w:t>
      </w:r>
    </w:p>
    <w:p>
      <w:pPr>
        <w:pStyle w:val="231"/>
      </w:pPr>
      <w:r>
        <w:rPr>
          <w:rFonts w:hint="eastAsia"/>
        </w:rPr>
        <w:t>a）按图1连接被测终端；</w:t>
      </w:r>
    </w:p>
    <w:p>
      <w:pPr>
        <w:pStyle w:val="231"/>
      </w:pPr>
      <w:r>
        <w:rPr>
          <w:rFonts w:hint="eastAsia"/>
        </w:rPr>
        <w:t>b）测试系统</w:t>
      </w:r>
      <w:r>
        <w:t>播发1个波束</w:t>
      </w:r>
      <w:r>
        <w:rPr>
          <w:rFonts w:hint="eastAsia"/>
        </w:rPr>
        <w:t>S2C</w:t>
      </w:r>
      <w:r>
        <w:t>出站模拟信号</w:t>
      </w:r>
      <w:r>
        <w:rPr>
          <w:rFonts w:hint="eastAsia"/>
        </w:rPr>
        <w:t>，待被测终端锁定信号；</w:t>
      </w:r>
    </w:p>
    <w:p>
      <w:pPr>
        <w:pStyle w:val="231"/>
      </w:pPr>
      <w:r>
        <w:rPr>
          <w:rFonts w:hint="eastAsia"/>
        </w:rPr>
        <w:t>c） 设置天线仰角与方位角(仰角不少于3个且覆盖边界值，同一仰角下方位不少于4个)；</w:t>
      </w:r>
    </w:p>
    <w:p>
      <w:pPr>
        <w:pStyle w:val="231"/>
      </w:pPr>
      <w:r>
        <w:rPr>
          <w:rFonts w:hint="eastAsia"/>
        </w:rPr>
        <w:t>d）在不同角度下，控制被测终端按最大功率发射入站，测试等效全向辐射功率；</w:t>
      </w:r>
    </w:p>
    <w:p>
      <w:pPr>
        <w:pStyle w:val="231"/>
      </w:pPr>
      <w:r>
        <w:rPr>
          <w:rFonts w:hint="eastAsia"/>
        </w:rPr>
        <w:t>e）测试20次，统计该角度下样机等效全向辐射功率均值。</w:t>
      </w:r>
    </w:p>
    <w:p>
      <w:pPr>
        <w:pStyle w:val="231"/>
      </w:pPr>
    </w:p>
    <w:p>
      <w:pPr>
        <w:pStyle w:val="231"/>
      </w:pPr>
      <w:r>
        <w:rPr>
          <w:rFonts w:hint="eastAsia"/>
        </w:rPr>
        <w:t>被测终端等效全向辐射功率在所有角度下均满足4.3.2.2指标要求，则该项合格。</w:t>
      </w:r>
    </w:p>
    <w:p>
      <w:pPr>
        <w:pStyle w:val="237"/>
        <w:spacing w:before="120" w:after="120"/>
      </w:pPr>
      <w:bookmarkStart w:id="233" w:name="_Toc236735695"/>
      <w:r>
        <w:rPr>
          <w:rFonts w:hint="eastAsia"/>
        </w:rPr>
        <w:t>7.3.2.3 射频传导接收灵敏度</w:t>
      </w:r>
      <w:bookmarkEnd w:id="233"/>
    </w:p>
    <w:p>
      <w:pPr>
        <w:pStyle w:val="231"/>
      </w:pPr>
      <w:r>
        <w:rPr>
          <w:rFonts w:hint="eastAsia"/>
        </w:rPr>
        <w:t>测试步骤如下：</w:t>
      </w:r>
    </w:p>
    <w:p>
      <w:pPr>
        <w:pStyle w:val="231"/>
      </w:pPr>
      <w:r>
        <w:rPr>
          <w:rFonts w:hint="eastAsia"/>
        </w:rPr>
        <w:t>a）按图1连接被测终端；</w:t>
      </w:r>
    </w:p>
    <w:p>
      <w:pPr>
        <w:pStyle w:val="231"/>
      </w:pPr>
      <w:r>
        <w:rPr>
          <w:rFonts w:hint="eastAsia"/>
        </w:rPr>
        <w:t>b）测试系统播发BDS S2C信号，设置信号功率-127dBm、数据段速率、设置天线仰角与方位角(仰角不少于3个且覆盖边界值，同一仰角下方位循环运动)；</w:t>
      </w:r>
    </w:p>
    <w:p>
      <w:pPr>
        <w:pStyle w:val="231"/>
      </w:pPr>
      <w:r>
        <w:rPr>
          <w:rFonts w:hint="eastAsia"/>
        </w:rPr>
        <w:t>c） 待被测终端锁定信号后，控制被测终端上报接收的导航电文，采集电文总数不少于l</w:t>
      </w:r>
      <w:r>
        <w:rPr>
          <w:rFonts w:ascii="Arial" w:hAnsi="Arial" w:cs="Arial"/>
        </w:rPr>
        <w:t>×</w:t>
      </w:r>
      <w:r>
        <w:rPr>
          <w:rFonts w:hint="eastAsia"/>
        </w:rPr>
        <w:t>10</w:t>
      </w:r>
      <w:r>
        <w:rPr>
          <w:rFonts w:hint="eastAsia"/>
          <w:vertAlign w:val="superscript"/>
        </w:rPr>
        <w:t>6</w:t>
      </w:r>
      <w:r>
        <w:rPr>
          <w:rFonts w:hint="eastAsia"/>
        </w:rPr>
        <w:t>且天线方位循环转动不少于1周；</w:t>
      </w:r>
    </w:p>
    <w:p>
      <w:pPr>
        <w:pStyle w:val="231"/>
      </w:pPr>
      <w:r>
        <w:rPr>
          <w:rFonts w:hint="eastAsia"/>
        </w:rPr>
        <w:t>d）统计误码率，方法如下:</w:t>
      </w:r>
    </w:p>
    <w:p>
      <w:pPr>
        <w:pStyle w:val="231"/>
      </w:pPr>
      <w:r>
        <w:rPr>
          <w:rFonts w:hint="eastAsia"/>
        </w:rPr>
        <w:t>误码率=误码总数/单次测试样本总数。</w:t>
      </w:r>
    </w:p>
    <w:p>
      <w:pPr>
        <w:pStyle w:val="231"/>
      </w:pPr>
      <w:r>
        <w:rPr>
          <w:rFonts w:hint="eastAsia"/>
        </w:rPr>
        <w:t>被测终端所有天线角度下误码率均满足要求。</w:t>
      </w:r>
    </w:p>
    <w:p>
      <w:pPr>
        <w:pStyle w:val="236"/>
        <w:spacing w:before="120" w:after="120"/>
      </w:pPr>
      <w:bookmarkStart w:id="234" w:name="_Toc236735696"/>
      <w:r>
        <w:rPr>
          <w:rFonts w:hint="eastAsia"/>
        </w:rPr>
        <w:t>7.3.3 供电及续航要求测试</w:t>
      </w:r>
      <w:bookmarkEnd w:id="234"/>
    </w:p>
    <w:p>
      <w:pPr>
        <w:pStyle w:val="237"/>
        <w:spacing w:before="120" w:after="120"/>
      </w:pPr>
      <w:bookmarkStart w:id="235" w:name="_Toc236735697"/>
      <w:r>
        <w:rPr>
          <w:rFonts w:hint="eastAsia"/>
        </w:rPr>
        <w:t>7.3.3.1 充电模式</w:t>
      </w:r>
      <w:bookmarkEnd w:id="235"/>
    </w:p>
    <w:p>
      <w:pPr>
        <w:pStyle w:val="231"/>
      </w:pPr>
      <w:r>
        <w:rPr>
          <w:rFonts w:hint="eastAsia"/>
        </w:rPr>
        <w:t>实际操作检查终端充电接口，检查终端是否能使用户外充电宝、赛事补给站充电设备补电，是否支持快充功能。</w:t>
      </w:r>
    </w:p>
    <w:p>
      <w:pPr>
        <w:pStyle w:val="237"/>
        <w:spacing w:before="120" w:after="120"/>
      </w:pPr>
      <w:bookmarkStart w:id="236" w:name="_Toc236735699"/>
      <w:r>
        <w:rPr>
          <w:rFonts w:hint="eastAsia"/>
        </w:rPr>
        <w:t>7.3.3.2 低电量分级提醒</w:t>
      </w:r>
      <w:bookmarkEnd w:id="236"/>
    </w:p>
    <w:p>
      <w:pPr>
        <w:pStyle w:val="231"/>
      </w:pPr>
      <w:r>
        <w:rPr>
          <w:rFonts w:hint="eastAsia"/>
        </w:rPr>
        <w:t>该项目检测与6.4.2 终端续航项目同时进行，若终端在剩余电量20%、10%、5%时有三级声光提醒功能，则该项合格。</w:t>
      </w:r>
    </w:p>
    <w:p>
      <w:pPr>
        <w:pStyle w:val="237"/>
        <w:spacing w:before="120" w:after="120"/>
      </w:pPr>
      <w:bookmarkStart w:id="237" w:name="_Toc236735700"/>
      <w:r>
        <w:rPr>
          <w:rFonts w:hint="eastAsia"/>
        </w:rPr>
        <w:t>7.3.3.3 低电量消息发送能力</w:t>
      </w:r>
      <w:bookmarkEnd w:id="237"/>
    </w:p>
    <w:p>
      <w:pPr>
        <w:pStyle w:val="231"/>
      </w:pPr>
      <w:r>
        <w:rPr>
          <w:rFonts w:hint="eastAsia"/>
        </w:rPr>
        <w:t>该项目检测与6.4.2 终端续航项目同时进行，若终端电池电量低于5%时，能至少保留一次北斗短报文紧急发送能力，发射功率无明显下降，则该项合格。</w:t>
      </w:r>
    </w:p>
    <w:p>
      <w:pPr>
        <w:pStyle w:val="236"/>
        <w:spacing w:before="120" w:after="120"/>
      </w:pPr>
      <w:bookmarkStart w:id="238" w:name="_Toc236735701"/>
      <w:r>
        <w:rPr>
          <w:rFonts w:hint="eastAsia"/>
        </w:rPr>
        <w:t>7.3.4 操作交互要求测试</w:t>
      </w:r>
      <w:bookmarkEnd w:id="238"/>
    </w:p>
    <w:p>
      <w:pPr>
        <w:pStyle w:val="237"/>
        <w:spacing w:before="120" w:after="120"/>
      </w:pPr>
      <w:bookmarkStart w:id="239" w:name="_Toc236735702"/>
      <w:r>
        <w:rPr>
          <w:rFonts w:hint="eastAsia"/>
        </w:rPr>
        <w:t>7.3.4.1 操作便捷性</w:t>
      </w:r>
      <w:bookmarkEnd w:id="239"/>
    </w:p>
    <w:p>
      <w:pPr>
        <w:pStyle w:val="231"/>
      </w:pPr>
      <w:r>
        <w:rPr>
          <w:rFonts w:hint="eastAsia"/>
        </w:rPr>
        <w:t>实际操作检查终端操作逻辑是否简单，是否无需复杂设置，是否赛前经工作人员简单培训即可上手快速使用，若满足要求，则该项合格。</w:t>
      </w:r>
    </w:p>
    <w:p>
      <w:pPr>
        <w:pStyle w:val="237"/>
        <w:spacing w:before="120" w:after="120"/>
      </w:pPr>
      <w:bookmarkStart w:id="240" w:name="_Toc236735703"/>
      <w:r>
        <w:rPr>
          <w:rFonts w:hint="eastAsia"/>
        </w:rPr>
        <w:t>7.3.4.2 状态显示可读性</w:t>
      </w:r>
      <w:bookmarkEnd w:id="240"/>
    </w:p>
    <w:p>
      <w:pPr>
        <w:pStyle w:val="231"/>
      </w:pPr>
      <w:r>
        <w:rPr>
          <w:rFonts w:hint="eastAsia"/>
        </w:rPr>
        <w:t>实际操作检查终端是否具有状态显示方式，显示实时电量、卫星信号及公网信号强度等状态，在强光、雨夜、夜间低光环境下是否清晰可见，若满足要求，则该项合格。</w:t>
      </w:r>
    </w:p>
    <w:p>
      <w:pPr>
        <w:pStyle w:val="106"/>
        <w:spacing w:before="120" w:after="120"/>
      </w:pPr>
      <w:bookmarkStart w:id="241" w:name="_Toc237425943"/>
      <w:bookmarkStart w:id="242" w:name="_Toc236735704"/>
      <w:r>
        <w:rPr>
          <w:rFonts w:hint="eastAsia"/>
        </w:rPr>
        <w:t>环境适应性测试</w:t>
      </w:r>
      <w:bookmarkEnd w:id="241"/>
      <w:bookmarkEnd w:id="242"/>
    </w:p>
    <w:p>
      <w:pPr>
        <w:pStyle w:val="258"/>
        <w:ind w:firstLine="420"/>
      </w:pPr>
    </w:p>
    <w:p>
      <w:pPr>
        <w:pStyle w:val="236"/>
        <w:spacing w:before="120" w:after="120"/>
      </w:pPr>
      <w:bookmarkStart w:id="243" w:name="_Toc236735705"/>
      <w:r>
        <w:rPr>
          <w:rFonts w:hint="eastAsia"/>
        </w:rPr>
        <w:t>7.4.1 工作温度</w:t>
      </w:r>
      <w:bookmarkEnd w:id="243"/>
    </w:p>
    <w:p>
      <w:pPr>
        <w:pStyle w:val="237"/>
        <w:spacing w:before="120" w:after="120"/>
      </w:pPr>
      <w:bookmarkStart w:id="244" w:name="_Toc236735706"/>
      <w:r>
        <w:rPr>
          <w:rFonts w:hint="eastAsia"/>
        </w:rPr>
        <w:t>7.4.1.1 高温工作</w:t>
      </w:r>
      <w:bookmarkEnd w:id="244"/>
    </w:p>
    <w:p>
      <w:pPr>
        <w:pStyle w:val="231"/>
      </w:pPr>
      <w:r>
        <w:rPr>
          <w:rFonts w:hint="eastAsia"/>
        </w:rPr>
        <w:t>a）</w:t>
      </w:r>
      <w:r>
        <w:t>安装试验样品；</w:t>
      </w:r>
    </w:p>
    <w:p>
      <w:pPr>
        <w:pStyle w:val="231"/>
      </w:pPr>
      <w:r>
        <w:rPr>
          <w:rFonts w:hint="eastAsia"/>
        </w:rPr>
        <w:t>b）</w:t>
      </w:r>
      <w:r>
        <w:t>在正常大气条件下对试验样品进行初始检测；</w:t>
      </w:r>
    </w:p>
    <w:p>
      <w:pPr>
        <w:pStyle w:val="231"/>
      </w:pPr>
      <w:r>
        <w:rPr>
          <w:rFonts w:hint="eastAsia"/>
        </w:rPr>
        <w:t>c）</w:t>
      </w:r>
      <w:r>
        <w:t>以温度变化率不超过1K/min的速率将箱(室)内温度升高到</w:t>
      </w:r>
      <w:r>
        <w:rPr>
          <w:rFonts w:hint="eastAsia"/>
        </w:rPr>
        <w:t>60℃</w:t>
      </w:r>
      <w:r>
        <w:t>，使试验样品到达温度稳定，对于试验时需要通电运行的试验样品（即使它们不属于散热试验样品），应在试验样品温度达到稳定后通电，根据需要进行功能检测,试验样品通常在非工作状态下进行试验；</w:t>
      </w:r>
    </w:p>
    <w:p>
      <w:pPr>
        <w:pStyle w:val="231"/>
      </w:pPr>
      <w:r>
        <w:rPr>
          <w:rFonts w:hint="eastAsia"/>
        </w:rPr>
        <w:t>d）</w:t>
      </w:r>
      <w:r>
        <w:t>在该高温条件下暴露到相关规范规定的持续时间；</w:t>
      </w:r>
    </w:p>
    <w:p>
      <w:pPr>
        <w:pStyle w:val="231"/>
      </w:pPr>
      <w:r>
        <w:rPr>
          <w:rFonts w:hint="eastAsia"/>
        </w:rPr>
        <w:t>e）</w:t>
      </w:r>
      <w:r>
        <w:t>相关规范可能要求在条件试验中间或条件试验结束时（试验样品仍在试验箱中）进行加负载和（或）测量。如果要求进行这种测量，相关规范应对这种测量的内容及时间间隔进行规定。对于这种测量，试验样品不应移出试验箱。</w:t>
      </w:r>
    </w:p>
    <w:p>
      <w:pPr>
        <w:pStyle w:val="231"/>
      </w:pPr>
      <w:r>
        <w:rPr>
          <w:rFonts w:hint="eastAsia"/>
        </w:rPr>
        <w:t>f）</w:t>
      </w:r>
      <w:r>
        <w:t>如果试验样品在试验期间保持在运行状态或负载条件下，应在温度下降前断电或卸掉负载；</w:t>
      </w:r>
    </w:p>
    <w:p>
      <w:pPr>
        <w:pStyle w:val="231"/>
      </w:pPr>
      <w:r>
        <w:rPr>
          <w:rFonts w:hint="eastAsia"/>
        </w:rPr>
        <w:t>g）</w:t>
      </w:r>
      <w:r>
        <w:t>以温度变化率不超过1K/min的速率将箱(室)内温度恢复至正常大气条件，恢复时间应足够使温度达到稳定，至少1h；</w:t>
      </w:r>
    </w:p>
    <w:p>
      <w:pPr>
        <w:pStyle w:val="231"/>
      </w:pPr>
      <w:r>
        <w:rPr>
          <w:rFonts w:hint="eastAsia"/>
        </w:rPr>
        <w:t>h）</w:t>
      </w:r>
      <w:r>
        <w:t>最后检测，终端可正常工作</w:t>
      </w:r>
      <w:r>
        <w:rPr>
          <w:rFonts w:hint="eastAsia"/>
        </w:rPr>
        <w:t>，</w:t>
      </w:r>
      <w:r>
        <w:t>则</w:t>
      </w:r>
      <w:r>
        <w:rPr>
          <w:rFonts w:hint="eastAsia"/>
        </w:rPr>
        <w:t>该项</w:t>
      </w:r>
      <w:r>
        <w:t>合格。</w:t>
      </w:r>
    </w:p>
    <w:p>
      <w:pPr>
        <w:pStyle w:val="237"/>
        <w:spacing w:before="120" w:after="120"/>
      </w:pPr>
      <w:bookmarkStart w:id="245" w:name="_Toc236735707"/>
      <w:r>
        <w:rPr>
          <w:rFonts w:hint="eastAsia"/>
        </w:rPr>
        <w:t>7.4.1.2 低温工作</w:t>
      </w:r>
      <w:bookmarkEnd w:id="245"/>
    </w:p>
    <w:p>
      <w:pPr>
        <w:pStyle w:val="231"/>
      </w:pPr>
      <w:r>
        <w:rPr>
          <w:rFonts w:hint="eastAsia"/>
        </w:rPr>
        <w:t>a）</w:t>
      </w:r>
      <w:r>
        <w:t>安装试验样品；</w:t>
      </w:r>
    </w:p>
    <w:p>
      <w:pPr>
        <w:pStyle w:val="231"/>
      </w:pPr>
      <w:r>
        <w:rPr>
          <w:rFonts w:hint="eastAsia"/>
        </w:rPr>
        <w:t>b）</w:t>
      </w:r>
      <w:r>
        <w:t>在正常大气条件下对试验样品进行初始检测；</w:t>
      </w:r>
    </w:p>
    <w:p>
      <w:pPr>
        <w:pStyle w:val="231"/>
      </w:pPr>
      <w:r>
        <w:rPr>
          <w:rFonts w:hint="eastAsia"/>
        </w:rPr>
        <w:t>c）</w:t>
      </w:r>
      <w:r>
        <w:t>以温度变化率不超过1K/min的速率将箱(室)内温度降低到</w:t>
      </w:r>
      <w:r>
        <w:rPr>
          <w:rFonts w:hint="eastAsia"/>
        </w:rPr>
        <w:t>-20℃</w:t>
      </w:r>
      <w:r>
        <w:t>，使试验样品到达温度稳定，对于试验时需要通电运行的试验样品（即使它们不属于散热试验样品），应在试验样品温度达到稳定后通电，根据需要进行功能检测,试验样品通常在非工作状态下进行试验；</w:t>
      </w:r>
    </w:p>
    <w:p>
      <w:pPr>
        <w:pStyle w:val="231"/>
      </w:pPr>
      <w:r>
        <w:rPr>
          <w:rFonts w:hint="eastAsia"/>
        </w:rPr>
        <w:t>d）</w:t>
      </w:r>
      <w:r>
        <w:t>在该低温条件下暴露到相关规范规定的持续时间；</w:t>
      </w:r>
    </w:p>
    <w:p>
      <w:pPr>
        <w:pStyle w:val="231"/>
      </w:pPr>
      <w:r>
        <w:rPr>
          <w:rFonts w:hint="eastAsia"/>
        </w:rPr>
        <w:t>e）</w:t>
      </w:r>
      <w:r>
        <w:t>相关规范可能要求在条件试验中间或条件试验结束时 （试验样品仍在试验箱中）进行加负载和（或）测量。如果要求进行这种测量，相关规范应对这种测量的内容及时间间隔进行规定。对于这种测量，试验样品不应移出试验箱</w:t>
      </w:r>
      <w:r>
        <w:rPr>
          <w:rFonts w:hint="eastAsia"/>
        </w:rPr>
        <w:t>；</w:t>
      </w:r>
    </w:p>
    <w:p>
      <w:pPr>
        <w:pStyle w:val="231"/>
      </w:pPr>
      <w:r>
        <w:rPr>
          <w:rFonts w:hint="eastAsia"/>
        </w:rPr>
        <w:t>f）</w:t>
      </w:r>
      <w:r>
        <w:t>如果试验样品在试验期间保持在运行状态或负载条件下，应在温度上升前断电或卸掉负载；</w:t>
      </w:r>
    </w:p>
    <w:p>
      <w:pPr>
        <w:pStyle w:val="231"/>
      </w:pPr>
      <w:r>
        <w:rPr>
          <w:rFonts w:hint="eastAsia"/>
        </w:rPr>
        <w:t>g）</w:t>
      </w:r>
      <w:r>
        <w:t xml:space="preserve"> 以温度变化率不超过1K/min的速率将箱(室)内温度恢复至正常大气条件，擦去试验样品上的水滴，恢复时间应足够使温度达到稳定，至少1h；</w:t>
      </w:r>
    </w:p>
    <w:p>
      <w:pPr>
        <w:pStyle w:val="231"/>
      </w:pPr>
      <w:r>
        <w:rPr>
          <w:rFonts w:hint="eastAsia"/>
        </w:rPr>
        <w:t>h）</w:t>
      </w:r>
      <w:r>
        <w:t>最后检测</w:t>
      </w:r>
      <w:r>
        <w:rPr>
          <w:rFonts w:hint="eastAsia"/>
        </w:rPr>
        <w:t>，</w:t>
      </w:r>
      <w:r>
        <w:t>终端可正常工作</w:t>
      </w:r>
      <w:r>
        <w:rPr>
          <w:rFonts w:hint="eastAsia"/>
        </w:rPr>
        <w:t>，则该项</w:t>
      </w:r>
      <w:r>
        <w:t>合格。</w:t>
      </w:r>
    </w:p>
    <w:p>
      <w:pPr>
        <w:pStyle w:val="237"/>
        <w:spacing w:before="120" w:after="120"/>
      </w:pPr>
      <w:bookmarkStart w:id="246" w:name="_Toc236735708"/>
      <w:r>
        <w:rPr>
          <w:rFonts w:hint="eastAsia"/>
        </w:rPr>
        <w:t>7.4.1.3 防跌落</w:t>
      </w:r>
      <w:bookmarkEnd w:id="246"/>
    </w:p>
    <w:p>
      <w:pPr>
        <w:pStyle w:val="231"/>
      </w:pPr>
      <w:r>
        <w:rPr>
          <w:rFonts w:hint="eastAsia"/>
        </w:rPr>
        <w:t>终端具备高度</w:t>
      </w:r>
      <w:r>
        <w:t>1米以上抗摔的防护性能</w:t>
      </w:r>
      <w:r>
        <w:rPr>
          <w:rFonts w:hint="eastAsia"/>
        </w:rPr>
        <w:t>（待补充引用标准）</w:t>
      </w:r>
      <w:r>
        <w:t>。</w:t>
      </w:r>
    </w:p>
    <w:p>
      <w:pPr>
        <w:pStyle w:val="231"/>
      </w:pPr>
      <w:r>
        <w:rPr>
          <w:rFonts w:hint="eastAsia"/>
        </w:rPr>
        <w:t>a）在试验开始前，应按有关规范的规定，对试验样品进行外观检查和电气性能、机械性能检测。</w:t>
      </w:r>
    </w:p>
    <w:p>
      <w:pPr>
        <w:pStyle w:val="231"/>
        <w:ind w:firstLine="0" w:firstLineChars="0"/>
      </w:pPr>
      <w:r>
        <w:rPr>
          <w:rFonts w:hint="eastAsia"/>
        </w:rPr>
        <w:t>选取跌落高度1米，从产品标准中选取试验设备表面；</w:t>
      </w:r>
    </w:p>
    <w:p>
      <w:pPr>
        <w:pStyle w:val="231"/>
      </w:pPr>
      <w:r>
        <w:rPr>
          <w:rFonts w:hint="eastAsia"/>
        </w:rPr>
        <w:t>b）跌落高度应是试验样品在跌落前悬挂着的时候，试验表面与离它最近的样品部位之间的高度；</w:t>
      </w:r>
    </w:p>
    <w:p>
      <w:pPr>
        <w:pStyle w:val="231"/>
      </w:pPr>
      <w:r>
        <w:rPr>
          <w:rFonts w:hint="eastAsia"/>
        </w:rPr>
        <w:t>c）释放试验样品的方法应使试验样品从悬挂着的位置自由跌落。释放时，要使干扰最小；</w:t>
      </w:r>
    </w:p>
    <w:p>
      <w:pPr>
        <w:pStyle w:val="231"/>
        <w:ind w:firstLine="0" w:firstLineChars="0"/>
      </w:pPr>
      <w:r>
        <w:rPr>
          <w:rFonts w:hint="eastAsia"/>
        </w:rPr>
        <w:t>有关规范应规定试验样品受跌落试验的面和角；</w:t>
      </w:r>
    </w:p>
    <w:p>
      <w:pPr>
        <w:pStyle w:val="231"/>
      </w:pPr>
      <w:r>
        <w:rPr>
          <w:rFonts w:hint="eastAsia"/>
        </w:rPr>
        <w:t>d）试验样品应按有关规范的规定进行外观检查、电性能和机械性能检测。</w:t>
      </w:r>
    </w:p>
    <w:p>
      <w:pPr>
        <w:pStyle w:val="231"/>
      </w:pPr>
      <w:r>
        <w:rPr>
          <w:rFonts w:hint="eastAsia"/>
        </w:rPr>
        <w:t>除非有关规范另有规定,试验样品应按照规定的姿态跌落两次。</w:t>
      </w:r>
    </w:p>
    <w:p>
      <w:pPr>
        <w:pStyle w:val="237"/>
        <w:spacing w:before="120" w:after="120"/>
      </w:pPr>
      <w:bookmarkStart w:id="247" w:name="_Toc236735709"/>
      <w:r>
        <w:rPr>
          <w:rFonts w:hint="eastAsia"/>
        </w:rPr>
        <w:t>7.4.1.4 外壳</w:t>
      </w:r>
      <w:r>
        <w:t>防护等级：</w:t>
      </w:r>
      <w:bookmarkEnd w:id="247"/>
    </w:p>
    <w:p>
      <w:pPr>
        <w:pStyle w:val="231"/>
        <w:ind w:firstLine="422"/>
        <w:rPr>
          <w:b/>
          <w:bCs/>
        </w:rPr>
      </w:pPr>
      <w:bookmarkStart w:id="248" w:name="_Toc236735710"/>
      <w:r>
        <w:rPr>
          <w:rFonts w:hint="eastAsia"/>
          <w:b/>
          <w:bCs/>
        </w:rPr>
        <w:t>1.试验条件</w:t>
      </w:r>
      <w:bookmarkEnd w:id="248"/>
    </w:p>
    <w:p>
      <w:pPr>
        <w:ind w:firstLine="420" w:firstLineChars="200"/>
      </w:pPr>
      <w:r>
        <w:rPr>
          <w:rFonts w:hint="eastAsia"/>
        </w:rPr>
        <w:t>a）IPX7试验条件</w:t>
      </w:r>
    </w:p>
    <w:p>
      <w:pPr>
        <w:ind w:firstLine="420" w:firstLineChars="200"/>
      </w:pPr>
      <w:r>
        <w:rPr>
          <w:rFonts w:hint="eastAsia"/>
        </w:rPr>
        <w:t>使用下GB/T 4208-2017图6所示喷嘴，喷嘴直径12.5mm，距离2.5m~3m。</w:t>
      </w:r>
    </w:p>
    <w:p>
      <w:pPr>
        <w:ind w:firstLine="420" w:firstLineChars="200"/>
      </w:pPr>
      <w:r>
        <w:rPr>
          <w:rFonts w:hint="eastAsia"/>
        </w:rPr>
        <w:t>水流量：100（1±5%）L/min</w:t>
      </w:r>
    </w:p>
    <w:p>
      <w:pPr>
        <w:ind w:firstLine="420" w:firstLineChars="200"/>
      </w:pPr>
      <w:r>
        <w:rPr>
          <w:rFonts w:hint="eastAsia"/>
        </w:rPr>
        <w:t>试验持续时间：1min/m²至少3min</w:t>
      </w:r>
    </w:p>
    <w:p>
      <w:pPr>
        <w:ind w:firstLine="420" w:firstLineChars="200"/>
      </w:pPr>
      <w:r>
        <w:rPr>
          <w:rFonts w:hint="eastAsia"/>
        </w:rPr>
        <w:t>b）IPX8试验条件</w:t>
      </w:r>
    </w:p>
    <w:p>
      <w:pPr>
        <w:ind w:firstLine="420" w:firstLineChars="200"/>
      </w:pPr>
      <w:r>
        <w:t>使用潜水箱，水面高度由用户和制造厂协商。</w:t>
      </w:r>
    </w:p>
    <w:p>
      <w:pPr>
        <w:ind w:firstLine="420" w:firstLineChars="200"/>
      </w:pPr>
      <w:r>
        <w:rPr>
          <w:rFonts w:hint="eastAsia"/>
        </w:rPr>
        <w:t>c）IP6X试验条件</w:t>
      </w:r>
    </w:p>
    <w:p>
      <w:pPr>
        <w:ind w:firstLine="420" w:firstLineChars="200"/>
      </w:pPr>
      <w:r>
        <w:t>固体异物：无灰尘进入。</w:t>
      </w:r>
    </w:p>
    <w:p>
      <w:pPr>
        <w:pStyle w:val="231"/>
        <w:ind w:firstLine="422"/>
        <w:rPr>
          <w:b/>
          <w:bCs/>
        </w:rPr>
      </w:pPr>
      <w:bookmarkStart w:id="249" w:name="_Toc236735711"/>
      <w:r>
        <w:rPr>
          <w:rFonts w:hint="eastAsia"/>
          <w:b/>
          <w:bCs/>
        </w:rPr>
        <w:t>2. 试验步骤</w:t>
      </w:r>
      <w:bookmarkEnd w:id="249"/>
    </w:p>
    <w:p>
      <w:pPr>
        <w:ind w:firstLine="420" w:firstLineChars="200"/>
      </w:pPr>
      <w:r>
        <w:rPr>
          <w:rFonts w:hint="eastAsia"/>
        </w:rPr>
        <w:t>IPX7试验步骤</w:t>
      </w:r>
    </w:p>
    <w:p>
      <w:pPr>
        <w:pStyle w:val="231"/>
      </w:pPr>
      <w:r>
        <w:t>被试外壳全部浸入水中，高度＜850mm的外壳最低点，应低于水面1000mm；高度≥850mm的外壳最高点，应低于水面150mm；试验持续时间30min，水温于被试样品温差≤5K。</w:t>
      </w:r>
    </w:p>
    <w:p>
      <w:pPr>
        <w:ind w:firstLine="420" w:firstLineChars="200"/>
      </w:pPr>
      <w:r>
        <w:rPr>
          <w:rFonts w:hint="eastAsia"/>
        </w:rPr>
        <w:t>IPX8试验步骤</w:t>
      </w:r>
    </w:p>
    <w:p>
      <w:pPr>
        <w:ind w:firstLine="420" w:firstLineChars="200"/>
      </w:pPr>
      <w:r>
        <w:t>若无相应的产品标准，试验条件应由生产厂和用户协商，但条件应比IP X7规定的严酷而且要考虑到在实际使用中外壳持续潜水的要求。</w:t>
      </w:r>
    </w:p>
    <w:p>
      <w:pPr>
        <w:ind w:firstLine="420" w:firstLineChars="200"/>
      </w:pPr>
      <w:r>
        <w:rPr>
          <w:rFonts w:hint="eastAsia"/>
        </w:rPr>
        <w:t>IP6X试验步骤</w:t>
      </w:r>
    </w:p>
    <w:p>
      <w:pPr>
        <w:ind w:firstLine="420" w:firstLineChars="200"/>
      </w:pPr>
      <w:r>
        <w:rPr>
          <w:rFonts w:hint="eastAsia"/>
        </w:rPr>
        <w:t>a）</w:t>
      </w:r>
      <w:r>
        <w:t>试验应在防尘箱中进行，其结构如下</w:t>
      </w:r>
      <w:r>
        <w:rPr>
          <w:rFonts w:hint="eastAsia"/>
        </w:rPr>
        <w:t>GB/T 4208-2017</w:t>
      </w:r>
      <w:r>
        <w:t>图2所示。借气流使滑石粉悬浮在箱内，所用的滑石粉应用方孔筛筛过。筛的直径为50μm，筛孔尺寸为75μm。滑石粉用量为每立方米试验箱容积2kg，试验用尘使用次数不得超过20次，应注意维持干燥以保持粉尘细度，滑石粉的选用应符合人体健康与安全的各项规定。试验时，真空泵接样品外壳并抽气，使壳内的气压低于大气压。抽气孔可专为试验设置，也可为电缆入口，但孔应紧靠在易损部件位置</w:t>
      </w:r>
      <w:r>
        <w:rPr>
          <w:rFonts w:hint="eastAsia"/>
        </w:rPr>
        <w:t>；</w:t>
      </w:r>
    </w:p>
    <w:p>
      <w:pPr>
        <w:ind w:firstLine="420" w:firstLineChars="200"/>
      </w:pPr>
      <w:r>
        <w:rPr>
          <w:rFonts w:hint="eastAsia"/>
        </w:rPr>
        <w:t>b）试验目的是利用压差把箱内空气抽入被试设备内，抽气量为80倍被试样品外壳容积，抽气速度每小时不超过60倍外壳容积，压差不大于2kPa。如果抽气速度为每小时40~60倍外壳容积，则试验进行2h。如果最大压差为2kPa，而抽气速度低于每小时40倍外壳容积，则应连续抽满80倍容积或抽满8h为止；</w:t>
      </w:r>
    </w:p>
    <w:p>
      <w:pPr>
        <w:ind w:firstLine="420" w:firstLineChars="200"/>
      </w:pPr>
      <w:r>
        <w:rPr>
          <w:rFonts w:hint="eastAsia"/>
        </w:rPr>
        <w:t>c）壳内带电部分之间，或带电对地部分，或运动部分之间所沉积的灰尘应不影响样品的正常工作；</w:t>
      </w:r>
    </w:p>
    <w:p>
      <w:pPr>
        <w:ind w:firstLine="420" w:firstLineChars="200"/>
      </w:pPr>
      <w:r>
        <w:rPr>
          <w:rFonts w:hint="eastAsia"/>
        </w:rPr>
        <w:t>d）试验结束后，壳内应无肉眼可见的灰尘。</w:t>
      </w:r>
    </w:p>
    <w:p>
      <w:pPr>
        <w:ind w:firstLine="420" w:firstLineChars="200"/>
      </w:pPr>
    </w:p>
    <w:p>
      <w:pPr>
        <w:ind w:firstLine="420" w:firstLineChars="200"/>
      </w:pPr>
      <w:r>
        <w:rPr>
          <w:rFonts w:hint="eastAsia"/>
        </w:rPr>
        <w:t>检测结果满足标准4.6.3指标要求，则该项合格。</w:t>
      </w:r>
    </w:p>
    <w:p>
      <w:pPr>
        <w:ind w:firstLine="420" w:firstLineChars="200"/>
        <w:jc w:val="center"/>
      </w:pPr>
      <w:r>
        <w:t>_________________________________</w:t>
      </w:r>
    </w:p>
    <w:p>
      <w:pPr>
        <w:pStyle w:val="57"/>
        <w:ind w:firstLine="420"/>
      </w:pPr>
    </w:p>
    <w:sectPr>
      <w:pgSz w:w="11906" w:h="16838"/>
      <w:pgMar w:top="2410"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等线 Light">
    <w:altName w:val="华文仿宋"/>
    <w:panose1 w:val="02010600030101010101"/>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Cambria Math">
    <w:altName w:val="DejaVu Math TeX Gyre"/>
    <w:panose1 w:val="02040503050406030204"/>
    <w:charset w:val="00"/>
    <w:family w:val="roman"/>
    <w:pitch w:val="default"/>
    <w:sig w:usb0="00000000" w:usb1="00000000" w:usb2="02000000" w:usb3="00000000" w:csb0="0000019F" w:csb1="00000000"/>
  </w:font>
  <w:font w:name="E-BZ">
    <w:altName w:val="仿宋"/>
    <w:panose1 w:val="00000000000000000000"/>
    <w:charset w:val="00"/>
    <w:family w:val="auto"/>
    <w:pitch w:val="default"/>
    <w:sig w:usb0="00000000" w:usb1="00000000" w:usb2="00000000" w:usb3="00000000" w:csb0="00000000" w:csb1="00000000"/>
  </w:font>
  <w:font w:name="E-BX">
    <w:altName w:val="仿宋"/>
    <w:panose1 w:val="00000000000000000000"/>
    <w:charset w:val="86"/>
    <w:family w:val="auto"/>
    <w:pitch w:val="default"/>
    <w:sig w:usb0="00000000" w:usb1="00000000" w:usb2="00000000" w:usb3="00000000" w:csb0="00040000" w:csb1="00000000"/>
  </w:font>
  <w:font w:name="FZSSK--GBK1-0">
    <w:altName w:val="仿宋"/>
    <w:panose1 w:val="00000000000000000000"/>
    <w:charset w:val="86"/>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等线">
    <w:altName w:val="仿宋"/>
    <w:panose1 w:val="00000000000000000000"/>
    <w:charset w:val="00"/>
    <w:family w:val="auto"/>
    <w:pitch w:val="default"/>
    <w:sig w:usb0="00000000" w:usb1="00000000" w:usb2="00000000" w:usb3="00000000" w:csb0="00000000" w:csb1="00000000"/>
  </w:font>
  <w:font w:name="Liberation Serif">
    <w:panose1 w:val="02020603050405020304"/>
    <w:charset w:val="00"/>
    <w:family w:val="auto"/>
    <w:pitch w:val="default"/>
    <w:sig w:usb0="A00002AF" w:usb1="500078FB" w:usb2="00000000" w:usb3="00000000" w:csb0="6000009F" w:csb1="DFD7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2"/>
      <w:rPr>
        <w:rFonts w:hint="eastAsia"/>
      </w:rPr>
    </w:pPr>
    <w:r>
      <w:fldChar w:fldCharType="begin"/>
    </w:r>
    <w:r>
      <w:instrText xml:space="preserve"> STYLEREF  标准文件_文件编号  \* MERGEFORMAT </w:instrText>
    </w:r>
    <w:r>
      <w:fldChar w:fldCharType="separate"/>
    </w:r>
    <w:r>
      <w:rPr>
        <w:rFonts w:hint="eastAsia"/>
      </w:rPr>
      <w:t>TY/T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fldChar w:fldCharType="begin"/>
    </w:r>
    <w:r>
      <w:instrText xml:space="preserve"> STYLEREF  标准文件_文件编号  \* MERGEFORMAT </w:instrText>
    </w:r>
    <w:r>
      <w:fldChar w:fldCharType="separate"/>
    </w:r>
    <w:r>
      <w:t>TY/T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BFF62C"/>
    <w:multiLevelType w:val="singleLevel"/>
    <w:tmpl w:val="DDBFF62C"/>
    <w:lvl w:ilvl="0" w:tentative="0">
      <w:start w:val="1"/>
      <w:numFmt w:val="lowerLetter"/>
      <w:suff w:val="space"/>
      <w:lvlText w:val="%1)"/>
      <w:lvlJc w:val="left"/>
    </w:lvl>
  </w:abstractNum>
  <w:abstractNum w:abstractNumId="1">
    <w:nsid w:val="FAFFBCDA"/>
    <w:multiLevelType w:val="singleLevel"/>
    <w:tmpl w:val="FAFFBCDA"/>
    <w:lvl w:ilvl="0" w:tentative="0">
      <w:start w:val="1"/>
      <w:numFmt w:val="lowerLetter"/>
      <w:suff w:val="space"/>
      <w:lvlText w:val="%1)"/>
      <w:lvlJc w:val="left"/>
    </w:lvl>
  </w:abstractNum>
  <w:abstractNum w:abstractNumId="2">
    <w:nsid w:val="02837933"/>
    <w:multiLevelType w:val="multilevel"/>
    <w:tmpl w:val="02837933"/>
    <w:lvl w:ilvl="0" w:tentative="0">
      <w:start w:val="1"/>
      <w:numFmt w:val="decimal"/>
      <w:pStyle w:val="65"/>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3">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0"/>
      <w:suff w:val="nothing"/>
      <w:lvlText w:val="%1%2.%3　"/>
      <w:lvlJc w:val="left"/>
      <w:pPr>
        <w:ind w:left="0" w:firstLine="0"/>
      </w:pPr>
    </w:lvl>
    <w:lvl w:ilvl="3" w:tentative="0">
      <w:start w:val="1"/>
      <w:numFmt w:val="decimal"/>
      <w:pStyle w:val="119"/>
      <w:suff w:val="nothing"/>
      <w:lvlText w:val="%1%2.%3.%4　"/>
      <w:lvlJc w:val="left"/>
      <w:pPr>
        <w:ind w:left="0" w:firstLine="0"/>
      </w:pPr>
    </w:lvl>
    <w:lvl w:ilvl="4" w:tentative="0">
      <w:start w:val="1"/>
      <w:numFmt w:val="decimal"/>
      <w:pStyle w:val="154"/>
      <w:suff w:val="nothing"/>
      <w:lvlText w:val="%1%2.%3.%4.%5　"/>
      <w:lvlJc w:val="left"/>
      <w:pPr>
        <w:ind w:left="0" w:firstLine="0"/>
      </w:pPr>
    </w:lvl>
    <w:lvl w:ilvl="5" w:tentative="0">
      <w:start w:val="1"/>
      <w:numFmt w:val="decimal"/>
      <w:pStyle w:val="156"/>
      <w:suff w:val="nothing"/>
      <w:lvlText w:val="%1%2.%3.%4.%5.%6　"/>
      <w:lvlJc w:val="left"/>
      <w:pPr>
        <w:ind w:left="0" w:firstLine="0"/>
      </w:pPr>
    </w:lvl>
    <w:lvl w:ilvl="6" w:tentative="0">
      <w:start w:val="1"/>
      <w:numFmt w:val="decimal"/>
      <w:pStyle w:val="159"/>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4">
    <w:nsid w:val="079102AD"/>
    <w:multiLevelType w:val="multilevel"/>
    <w:tmpl w:val="079102AD"/>
    <w:lvl w:ilvl="0" w:tentative="0">
      <w:start w:val="1"/>
      <w:numFmt w:val="decimal"/>
      <w:pStyle w:val="181"/>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5">
    <w:nsid w:val="07ED3FEA"/>
    <w:multiLevelType w:val="multilevel"/>
    <w:tmpl w:val="07ED3FEA"/>
    <w:lvl w:ilvl="0" w:tentative="0">
      <w:start w:val="1"/>
      <w:numFmt w:val="none"/>
      <w:pStyle w:val="90"/>
      <w:lvlText w:val="%1"/>
      <w:lvlJc w:val="left"/>
      <w:pPr>
        <w:ind w:left="425" w:hanging="425"/>
      </w:pPr>
      <w:rPr>
        <w:rFonts w:hint="eastAsia"/>
      </w:rPr>
    </w:lvl>
    <w:lvl w:ilvl="1" w:tentative="0">
      <w:start w:val="1"/>
      <w:numFmt w:val="decimal"/>
      <w:pStyle w:val="201"/>
      <w:suff w:val="nothing"/>
      <w:lvlText w:val="%10.%2 "/>
      <w:lvlJc w:val="left"/>
      <w:pPr>
        <w:ind w:left="0" w:firstLine="0"/>
      </w:pPr>
      <w:rPr>
        <w:rFonts w:hint="eastAsia" w:ascii="黑体" w:eastAsia="黑体" w:hAnsiTheme="minorHAnsi"/>
        <w:b w:val="0"/>
        <w:i w:val="0"/>
        <w:sz w:val="21"/>
      </w:rPr>
    </w:lvl>
    <w:lvl w:ilvl="2" w:tentative="0">
      <w:start w:val="1"/>
      <w:numFmt w:val="decimal"/>
      <w:pStyle w:val="202"/>
      <w:suff w:val="nothing"/>
      <w:lvlText w:val="%10.%2.%3 "/>
      <w:lvlJc w:val="left"/>
      <w:pPr>
        <w:ind w:left="0" w:firstLine="0"/>
      </w:pPr>
      <w:rPr>
        <w:rFonts w:hint="eastAsia" w:ascii="黑体" w:eastAsia="黑体" w:hAnsiTheme="minorHAnsi"/>
        <w:b w:val="0"/>
        <w:i w:val="0"/>
        <w:sz w:val="21"/>
      </w:rPr>
    </w:lvl>
    <w:lvl w:ilvl="3" w:tentative="0">
      <w:start w:val="1"/>
      <w:numFmt w:val="decimal"/>
      <w:pStyle w:val="203"/>
      <w:suff w:val="nothing"/>
      <w:lvlText w:val="%10.%2.%3.%4 "/>
      <w:lvlJc w:val="left"/>
      <w:pPr>
        <w:ind w:left="0" w:firstLine="0"/>
      </w:pPr>
      <w:rPr>
        <w:rFonts w:hint="eastAsia" w:ascii="黑体" w:eastAsia="黑体" w:hAnsiTheme="minorHAnsi"/>
        <w:b w:val="0"/>
        <w:i w:val="0"/>
        <w:sz w:val="21"/>
      </w:rPr>
    </w:lvl>
    <w:lvl w:ilvl="4" w:tentative="0">
      <w:start w:val="1"/>
      <w:numFmt w:val="decimal"/>
      <w:pStyle w:val="204"/>
      <w:suff w:val="nothing"/>
      <w:lvlText w:val="%10.%2.%3.%4.%5 "/>
      <w:lvlJc w:val="left"/>
      <w:pPr>
        <w:ind w:left="0" w:firstLine="0"/>
      </w:pPr>
      <w:rPr>
        <w:rFonts w:hint="eastAsia" w:ascii="黑体" w:eastAsia="黑体" w:hAnsiTheme="minorHAnsi"/>
        <w:b w:val="0"/>
        <w:i w:val="0"/>
        <w:sz w:val="21"/>
      </w:rPr>
    </w:lvl>
    <w:lvl w:ilvl="5" w:tentative="0">
      <w:start w:val="1"/>
      <w:numFmt w:val="decimal"/>
      <w:pStyle w:val="205"/>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0AE367E9"/>
    <w:multiLevelType w:val="multilevel"/>
    <w:tmpl w:val="0AE367E9"/>
    <w:lvl w:ilvl="0" w:tentative="0">
      <w:start w:val="1"/>
      <w:numFmt w:val="none"/>
      <w:pStyle w:val="182"/>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7">
    <w:nsid w:val="0BDC1670"/>
    <w:multiLevelType w:val="multilevel"/>
    <w:tmpl w:val="0BDC1670"/>
    <w:lvl w:ilvl="0" w:tentative="0">
      <w:start w:val="1"/>
      <w:numFmt w:val="decimal"/>
      <w:pStyle w:val="68"/>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D051F45"/>
    <w:multiLevelType w:val="multilevel"/>
    <w:tmpl w:val="0D051F45"/>
    <w:lvl w:ilvl="0" w:tentative="0">
      <w:start w:val="1"/>
      <w:numFmt w:val="low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9">
    <w:nsid w:val="1AD20F90"/>
    <w:multiLevelType w:val="multilevel"/>
    <w:tmpl w:val="1AD20F90"/>
    <w:lvl w:ilvl="0" w:tentative="0">
      <w:start w:val="1"/>
      <w:numFmt w:val="none"/>
      <w:pStyle w:val="111"/>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AF15012"/>
    <w:multiLevelType w:val="multilevel"/>
    <w:tmpl w:val="1AF15012"/>
    <w:lvl w:ilvl="0" w:tentative="0">
      <w:start w:val="1"/>
      <w:numFmt w:val="upperLetter"/>
      <w:pStyle w:val="86"/>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1">
    <w:nsid w:val="1EAA1992"/>
    <w:multiLevelType w:val="multilevel"/>
    <w:tmpl w:val="1EAA1992"/>
    <w:lvl w:ilvl="0" w:tentative="0">
      <w:start w:val="1"/>
      <w:numFmt w:val="none"/>
      <w:pStyle w:val="93"/>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2">
    <w:nsid w:val="259A435A"/>
    <w:multiLevelType w:val="multilevel"/>
    <w:tmpl w:val="259A435A"/>
    <w:lvl w:ilvl="0" w:tentative="0">
      <w:start w:val="4"/>
      <w:numFmt w:val="none"/>
      <w:suff w:val="nothing"/>
      <w:lvlText w:val="%1"/>
      <w:lvlJc w:val="left"/>
      <w:pPr>
        <w:ind w:left="0" w:firstLine="0"/>
      </w:pPr>
      <w:rPr>
        <w:rFonts w:hint="eastAsia"/>
      </w:rPr>
    </w:lvl>
    <w:lvl w:ilvl="1" w:tentative="0">
      <w:start w:val="2"/>
      <w:numFmt w:val="decimal"/>
      <w:suff w:val="nothing"/>
      <w:lvlText w:val="%1%2　"/>
      <w:lvlJc w:val="left"/>
      <w:pPr>
        <w:ind w:left="0" w:firstLine="0"/>
      </w:pPr>
      <w:rPr>
        <w:rFonts w:hint="eastAsia" w:ascii="黑体" w:eastAsia="黑体"/>
        <w:b w:val="0"/>
        <w:i w:val="0"/>
        <w:sz w:val="21"/>
      </w:rPr>
    </w:lvl>
    <w:lvl w:ilvl="2" w:tentative="0">
      <w:start w:val="2"/>
      <w:numFmt w:val="decimal"/>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4"/>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default" w:ascii="黑体" w:eastAsia="黑体"/>
        <w:b w:val="0"/>
        <w:i w:val="0"/>
        <w:color w:val="auto"/>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26973B25"/>
    <w:multiLevelType w:val="multilevel"/>
    <w:tmpl w:val="26973B25"/>
    <w:lvl w:ilvl="0" w:tentative="0">
      <w:start w:val="1"/>
      <w:numFmt w:val="none"/>
      <w:suff w:val="nothing"/>
      <w:lvlText w:val="%1"/>
      <w:lvlJc w:val="left"/>
      <w:pPr>
        <w:ind w:left="0" w:firstLine="0"/>
      </w:pPr>
      <w:rPr>
        <w:rFonts w:hint="eastAsia"/>
      </w:rPr>
    </w:lvl>
    <w:lvl w:ilvl="1" w:tentative="0">
      <w:start w:val="3"/>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default" w:ascii="黑体" w:eastAsia="黑体"/>
        <w:b w:val="0"/>
        <w:i w:val="0"/>
        <w:color w:val="auto"/>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2C5917C3"/>
    <w:multiLevelType w:val="multilevel"/>
    <w:tmpl w:val="2C5917C3"/>
    <w:lvl w:ilvl="0" w:tentative="0">
      <w:start w:val="1"/>
      <w:numFmt w:val="none"/>
      <w:pStyle w:val="133"/>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8"/>
      <w:lvlText w:val=""/>
      <w:lvlJc w:val="left"/>
      <w:pPr>
        <w:ind w:left="851" w:hanging="431"/>
      </w:pPr>
      <w:rPr>
        <w:rFonts w:hint="default" w:ascii="Symbol" w:hAnsi="Symbol"/>
        <w:sz w:val="21"/>
      </w:rPr>
    </w:lvl>
    <w:lvl w:ilvl="2" w:tentative="0">
      <w:start w:val="1"/>
      <w:numFmt w:val="bullet"/>
      <w:pStyle w:val="173"/>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5">
    <w:nsid w:val="32F04FB2"/>
    <w:multiLevelType w:val="multilevel"/>
    <w:tmpl w:val="32F04FB2"/>
    <w:lvl w:ilvl="0" w:tentative="0">
      <w:start w:val="1"/>
      <w:numFmt w:val="lowerLetter"/>
      <w:pStyle w:val="102"/>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6">
    <w:nsid w:val="44C50F90"/>
    <w:multiLevelType w:val="multilevel"/>
    <w:tmpl w:val="44C50F90"/>
    <w:lvl w:ilvl="0" w:tentative="0">
      <w:start w:val="1"/>
      <w:numFmt w:val="lowerLetter"/>
      <w:pStyle w:val="175"/>
      <w:lvlText w:val="%1)"/>
      <w:lvlJc w:val="left"/>
      <w:pPr>
        <w:tabs>
          <w:tab w:val="left" w:pos="851"/>
        </w:tabs>
        <w:ind w:left="851" w:hanging="426"/>
      </w:pPr>
      <w:rPr>
        <w:rFonts w:hint="eastAsia" w:ascii="宋体" w:hAnsi="Times New Roman" w:eastAsia="宋体"/>
        <w:sz w:val="21"/>
      </w:rPr>
    </w:lvl>
    <w:lvl w:ilvl="1" w:tentative="0">
      <w:start w:val="1"/>
      <w:numFmt w:val="decimal"/>
      <w:pStyle w:val="110"/>
      <w:lvlText w:val="%2)"/>
      <w:lvlJc w:val="left"/>
      <w:pPr>
        <w:tabs>
          <w:tab w:val="left" w:pos="1276"/>
        </w:tabs>
        <w:ind w:left="1276" w:hanging="425"/>
      </w:pPr>
      <w:rPr>
        <w:rFonts w:hint="eastAsia" w:ascii="宋体" w:hAnsi="Times New Roman" w:eastAsia="宋体"/>
        <w:sz w:val="21"/>
      </w:rPr>
    </w:lvl>
    <w:lvl w:ilvl="2" w:tentative="0">
      <w:start w:val="1"/>
      <w:numFmt w:val="decimal"/>
      <w:pStyle w:val="118"/>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7">
    <w:nsid w:val="48802D1C"/>
    <w:multiLevelType w:val="multilevel"/>
    <w:tmpl w:val="48802D1C"/>
    <w:lvl w:ilvl="0" w:tentative="0">
      <w:start w:val="1"/>
      <w:numFmt w:val="upperLetter"/>
      <w:pStyle w:val="199"/>
      <w:lvlText w:val="%1"/>
      <w:lvlJc w:val="left"/>
      <w:pPr>
        <w:ind w:left="420" w:hanging="420"/>
      </w:pPr>
      <w:rPr>
        <w:rFonts w:hint="eastAsia"/>
      </w:rPr>
    </w:lvl>
    <w:lvl w:ilvl="1" w:tentative="0">
      <w:start w:val="1"/>
      <w:numFmt w:val="decimal"/>
      <w:pStyle w:val="84"/>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8">
    <w:nsid w:val="4B733A5F"/>
    <w:multiLevelType w:val="multilevel"/>
    <w:tmpl w:val="4B733A5F"/>
    <w:lvl w:ilvl="0" w:tentative="0">
      <w:start w:val="1"/>
      <w:numFmt w:val="decimal"/>
      <w:pStyle w:val="184"/>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9">
    <w:nsid w:val="4E5D0534"/>
    <w:multiLevelType w:val="multilevel"/>
    <w:tmpl w:val="4E5D0534"/>
    <w:lvl w:ilvl="0" w:tentative="0">
      <w:start w:val="1"/>
      <w:numFmt w:val="decimal"/>
      <w:pStyle w:val="117"/>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0">
    <w:nsid w:val="4E6254C9"/>
    <w:multiLevelType w:val="multilevel"/>
    <w:tmpl w:val="4E6254C9"/>
    <w:lvl w:ilvl="0" w:tentative="0">
      <w:start w:val="1"/>
      <w:numFmt w:val="none"/>
      <w:suff w:val="nothing"/>
      <w:lvlText w:val="%1"/>
      <w:lvlJc w:val="left"/>
      <w:pPr>
        <w:ind w:left="0" w:firstLine="0"/>
      </w:pPr>
      <w:rPr>
        <w:rFonts w:hint="eastAsia"/>
      </w:rPr>
    </w:lvl>
    <w:lvl w:ilvl="1" w:tentative="0">
      <w:start w:val="3"/>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default" w:ascii="黑体" w:eastAsia="黑体"/>
        <w:b w:val="0"/>
        <w:i w:val="0"/>
        <w:color w:val="auto"/>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1">
    <w:nsid w:val="54632751"/>
    <w:multiLevelType w:val="multilevel"/>
    <w:tmpl w:val="54632751"/>
    <w:lvl w:ilvl="0" w:tentative="0">
      <w:start w:val="1"/>
      <w:numFmt w:val="none"/>
      <w:pStyle w:val="94"/>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2">
    <w:nsid w:val="557C2AF5"/>
    <w:multiLevelType w:val="multilevel"/>
    <w:tmpl w:val="557C2AF5"/>
    <w:lvl w:ilvl="0" w:tentative="0">
      <w:start w:val="1"/>
      <w:numFmt w:val="decimal"/>
      <w:pStyle w:val="115"/>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3">
    <w:nsid w:val="5603797C"/>
    <w:multiLevelType w:val="multilevel"/>
    <w:tmpl w:val="5603797C"/>
    <w:lvl w:ilvl="0" w:tentative="0">
      <w:start w:val="1"/>
      <w:numFmt w:val="upperLetter"/>
      <w:pStyle w:val="200"/>
      <w:suff w:val="space"/>
      <w:lvlText w:val="%1"/>
      <w:lvlJc w:val="left"/>
      <w:pPr>
        <w:ind w:left="425" w:hanging="425"/>
      </w:pPr>
      <w:rPr>
        <w:rFonts w:hint="eastAsia"/>
      </w:rPr>
    </w:lvl>
    <w:lvl w:ilvl="1" w:tentative="0">
      <w:start w:val="1"/>
      <w:numFmt w:val="decimal"/>
      <w:pStyle w:val="78"/>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564D2089"/>
    <w:multiLevelType w:val="multilevel"/>
    <w:tmpl w:val="564D2089"/>
    <w:lvl w:ilvl="0" w:tentative="0">
      <w:start w:val="1"/>
      <w:numFmt w:val="none"/>
      <w:pStyle w:val="112"/>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644622F9"/>
    <w:multiLevelType w:val="multilevel"/>
    <w:tmpl w:val="644622F9"/>
    <w:lvl w:ilvl="0" w:tentative="0">
      <w:start w:val="1"/>
      <w:numFmt w:val="upp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6">
    <w:nsid w:val="646260FA"/>
    <w:multiLevelType w:val="multilevel"/>
    <w:tmpl w:val="646260FA"/>
    <w:lvl w:ilvl="0" w:tentative="0">
      <w:start w:val="1"/>
      <w:numFmt w:val="decimal"/>
      <w:pStyle w:val="113"/>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7">
    <w:nsid w:val="654A26C9"/>
    <w:multiLevelType w:val="multilevel"/>
    <w:tmpl w:val="654A26C9"/>
    <w:lvl w:ilvl="0" w:tentative="0">
      <w:start w:val="1"/>
      <w:numFmt w:val="none"/>
      <w:pStyle w:val="190"/>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8">
    <w:nsid w:val="657D3FBC"/>
    <w:multiLevelType w:val="multilevel"/>
    <w:tmpl w:val="657D3FBC"/>
    <w:lvl w:ilvl="0" w:tentative="0">
      <w:start w:val="1"/>
      <w:numFmt w:val="upperLetter"/>
      <w:pStyle w:val="77"/>
      <w:suff w:val="nothing"/>
      <w:lvlText w:val="附录%1"/>
      <w:lvlJc w:val="left"/>
      <w:pPr>
        <w:ind w:left="0" w:firstLine="0"/>
      </w:pPr>
      <w:rPr>
        <w:rFonts w:hint="eastAsia"/>
        <w:spacing w:val="100"/>
      </w:rPr>
    </w:lvl>
    <w:lvl w:ilvl="1" w:tentative="0">
      <w:start w:val="1"/>
      <w:numFmt w:val="decimal"/>
      <w:pStyle w:val="79"/>
      <w:suff w:val="nothing"/>
      <w:lvlText w:val="%1.%2　"/>
      <w:lvlJc w:val="left"/>
      <w:pPr>
        <w:ind w:left="0" w:firstLine="0"/>
      </w:pPr>
      <w:rPr>
        <w:rFonts w:hint="eastAsia" w:ascii="黑体" w:eastAsia="黑体"/>
        <w:b w:val="0"/>
        <w:i w:val="0"/>
        <w:sz w:val="21"/>
      </w:rPr>
    </w:lvl>
    <w:lvl w:ilvl="2" w:tentative="0">
      <w:start w:val="1"/>
      <w:numFmt w:val="decimal"/>
      <w:pStyle w:val="80"/>
      <w:suff w:val="nothing"/>
      <w:lvlText w:val="%1.%2.%3　"/>
      <w:lvlJc w:val="left"/>
      <w:pPr>
        <w:ind w:left="0" w:firstLine="0"/>
      </w:pPr>
      <w:rPr>
        <w:rFonts w:hint="eastAsia" w:ascii="黑体" w:eastAsia="黑体"/>
        <w:b w:val="0"/>
        <w:i w:val="0"/>
        <w:sz w:val="21"/>
      </w:rPr>
    </w:lvl>
    <w:lvl w:ilvl="3" w:tentative="0">
      <w:start w:val="1"/>
      <w:numFmt w:val="decimal"/>
      <w:pStyle w:val="82"/>
      <w:suff w:val="nothing"/>
      <w:lvlText w:val="%1.%2.%3.%4　"/>
      <w:lvlJc w:val="left"/>
      <w:pPr>
        <w:ind w:left="0" w:firstLine="0"/>
      </w:pPr>
      <w:rPr>
        <w:rFonts w:hint="eastAsia" w:ascii="黑体" w:eastAsia="黑体"/>
        <w:b w:val="0"/>
        <w:i w:val="0"/>
        <w:sz w:val="21"/>
      </w:rPr>
    </w:lvl>
    <w:lvl w:ilvl="4" w:tentative="0">
      <w:start w:val="1"/>
      <w:numFmt w:val="decimal"/>
      <w:pStyle w:val="83"/>
      <w:suff w:val="nothing"/>
      <w:lvlText w:val="%1.%2.%3.%4.%5　"/>
      <w:lvlJc w:val="left"/>
      <w:pPr>
        <w:ind w:left="0" w:firstLine="0"/>
      </w:pPr>
      <w:rPr>
        <w:rFonts w:hint="eastAsia" w:ascii="黑体" w:eastAsia="黑体"/>
        <w:b w:val="0"/>
        <w:i w:val="0"/>
        <w:sz w:val="21"/>
      </w:rPr>
    </w:lvl>
    <w:lvl w:ilvl="5" w:tentative="0">
      <w:start w:val="1"/>
      <w:numFmt w:val="decimal"/>
      <w:pStyle w:val="85"/>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9">
    <w:nsid w:val="69506ABF"/>
    <w:multiLevelType w:val="multilevel"/>
    <w:tmpl w:val="69506ABF"/>
    <w:lvl w:ilvl="0" w:tentative="0">
      <w:start w:val="1"/>
      <w:numFmt w:val="bullet"/>
      <w:pStyle w:val="189"/>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0">
    <w:nsid w:val="69ED7F66"/>
    <w:multiLevelType w:val="multilevel"/>
    <w:tmpl w:val="69ED7F66"/>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247"/>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1277" w:firstLine="0"/>
      </w:pPr>
      <w:rPr>
        <w:rFonts w:hint="eastAsia" w:ascii="黑体" w:hAnsi="Times New Roman" w:eastAsia="黑体"/>
        <w:b w:val="0"/>
        <w:i w:val="0"/>
        <w:sz w:val="21"/>
      </w:rPr>
    </w:lvl>
    <w:lvl w:ilvl="4" w:tentative="0">
      <w:start w:val="1"/>
      <w:numFmt w:val="decimal"/>
      <w:suff w:val="nothing"/>
      <w:lvlText w:val="%1.%2.%3.%4.%5　"/>
      <w:lvlJc w:val="left"/>
      <w:pPr>
        <w:ind w:left="993"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lvlText w:val="%1.%2.%3.%4.%5.%6.%7"/>
      <w:lvlJc w:val="left"/>
      <w:pPr>
        <w:ind w:left="0" w:firstLine="0"/>
      </w:pPr>
      <w:rPr>
        <w:rFonts w:hint="eastAsia"/>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1">
    <w:nsid w:val="6CA41985"/>
    <w:multiLevelType w:val="multilevel"/>
    <w:tmpl w:val="6CA41985"/>
    <w:lvl w:ilvl="0" w:tentative="0">
      <w:start w:val="1"/>
      <w:numFmt w:val="decimal"/>
      <w:pStyle w:val="98"/>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6CE42AC1"/>
    <w:multiLevelType w:val="multilevel"/>
    <w:tmpl w:val="6CE42AC1"/>
    <w:lvl w:ilvl="0" w:tentative="0">
      <w:start w:val="1"/>
      <w:numFmt w:val="lowerLetter"/>
      <w:pStyle w:val="17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6CEA2025"/>
    <w:multiLevelType w:val="multilevel"/>
    <w:tmpl w:val="6CEA2025"/>
    <w:lvl w:ilvl="0" w:tentative="0">
      <w:start w:val="1"/>
      <w:numFmt w:val="none"/>
      <w:pStyle w:val="153"/>
      <w:suff w:val="nothing"/>
      <w:lvlText w:val="%1"/>
      <w:lvlJc w:val="left"/>
      <w:pPr>
        <w:ind w:left="0" w:firstLine="0"/>
      </w:pPr>
      <w:rPr>
        <w:rFonts w:hint="eastAsia"/>
      </w:rPr>
    </w:lvl>
    <w:lvl w:ilvl="1" w:tentative="0">
      <w:start w:val="1"/>
      <w:numFmt w:val="decimal"/>
      <w:pStyle w:val="105"/>
      <w:suff w:val="nothing"/>
      <w:lvlText w:val="%1%2　"/>
      <w:lvlJc w:val="left"/>
      <w:pPr>
        <w:ind w:left="0" w:firstLine="0"/>
      </w:pPr>
      <w:rPr>
        <w:rFonts w:hint="eastAsia" w:ascii="黑体" w:eastAsia="黑体"/>
        <w:b w:val="0"/>
        <w:i w:val="0"/>
        <w:sz w:val="21"/>
      </w:rPr>
    </w:lvl>
    <w:lvl w:ilvl="2" w:tentative="0">
      <w:start w:val="1"/>
      <w:numFmt w:val="decimal"/>
      <w:pStyle w:val="106"/>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6"/>
      <w:suff w:val="nothing"/>
      <w:lvlText w:val="%1%2.%3.%4　"/>
      <w:lvlJc w:val="left"/>
      <w:pPr>
        <w:ind w:left="0" w:firstLine="0"/>
      </w:pPr>
      <w:rPr>
        <w:rFonts w:hint="eastAsia" w:ascii="黑体" w:eastAsia="黑体"/>
        <w:b w:val="0"/>
        <w:i w:val="0"/>
        <w:sz w:val="21"/>
      </w:rPr>
    </w:lvl>
    <w:lvl w:ilvl="4" w:tentative="0">
      <w:start w:val="1"/>
      <w:numFmt w:val="decimal"/>
      <w:pStyle w:val="95"/>
      <w:suff w:val="nothing"/>
      <w:lvlText w:val="%1%2.%3.%4.%5　"/>
      <w:lvlJc w:val="left"/>
      <w:pPr>
        <w:ind w:left="0" w:firstLine="0"/>
      </w:pPr>
      <w:rPr>
        <w:rFonts w:hint="eastAsia" w:ascii="黑体" w:eastAsia="黑体"/>
        <w:b w:val="0"/>
        <w:i w:val="0"/>
        <w:sz w:val="21"/>
      </w:rPr>
    </w:lvl>
    <w:lvl w:ilvl="5" w:tentative="0">
      <w:start w:val="1"/>
      <w:numFmt w:val="decimal"/>
      <w:pStyle w:val="99"/>
      <w:suff w:val="nothing"/>
      <w:lvlText w:val="%1%2.%3.%4.%5.%6　"/>
      <w:lvlJc w:val="left"/>
      <w:pPr>
        <w:ind w:left="0" w:firstLine="0"/>
      </w:pPr>
      <w:rPr>
        <w:rFonts w:hint="eastAsia" w:ascii="黑体" w:eastAsia="黑体"/>
        <w:b w:val="0"/>
        <w:i w:val="0"/>
        <w:sz w:val="21"/>
      </w:rPr>
    </w:lvl>
    <w:lvl w:ilvl="6" w:tentative="0">
      <w:start w:val="1"/>
      <w:numFmt w:val="decimal"/>
      <w:pStyle w:val="104"/>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4">
    <w:nsid w:val="6DBF04F4"/>
    <w:multiLevelType w:val="multilevel"/>
    <w:tmpl w:val="6DBF04F4"/>
    <w:lvl w:ilvl="0" w:tentative="0">
      <w:start w:val="1"/>
      <w:numFmt w:val="none"/>
      <w:pStyle w:val="180"/>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5">
    <w:nsid w:val="6DF35F19"/>
    <w:multiLevelType w:val="multilevel"/>
    <w:tmpl w:val="6DF35F19"/>
    <w:lvl w:ilvl="0" w:tentative="0">
      <w:start w:val="1"/>
      <w:numFmt w:val="decimal"/>
      <w:pStyle w:val="116"/>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6">
    <w:nsid w:val="76933334"/>
    <w:multiLevelType w:val="multilevel"/>
    <w:tmpl w:val="76933334"/>
    <w:lvl w:ilvl="0" w:tentative="0">
      <w:start w:val="1"/>
      <w:numFmt w:val="none"/>
      <w:pStyle w:val="140"/>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3"/>
  </w:num>
  <w:num w:numId="3">
    <w:abstractNumId w:val="7"/>
  </w:num>
  <w:num w:numId="4">
    <w:abstractNumId w:val="28"/>
  </w:num>
  <w:num w:numId="5">
    <w:abstractNumId w:val="23"/>
  </w:num>
  <w:num w:numId="6">
    <w:abstractNumId w:val="17"/>
  </w:num>
  <w:num w:numId="7">
    <w:abstractNumId w:val="10"/>
  </w:num>
  <w:num w:numId="8">
    <w:abstractNumId w:val="5"/>
  </w:num>
  <w:num w:numId="9">
    <w:abstractNumId w:val="11"/>
  </w:num>
  <w:num w:numId="10">
    <w:abstractNumId w:val="21"/>
  </w:num>
  <w:num w:numId="11">
    <w:abstractNumId w:val="31"/>
  </w:num>
  <w:num w:numId="12">
    <w:abstractNumId w:val="15"/>
  </w:num>
  <w:num w:numId="13">
    <w:abstractNumId w:val="16"/>
  </w:num>
  <w:num w:numId="14">
    <w:abstractNumId w:val="9"/>
  </w:num>
  <w:num w:numId="15">
    <w:abstractNumId w:val="24"/>
  </w:num>
  <w:num w:numId="16">
    <w:abstractNumId w:val="26"/>
  </w:num>
  <w:num w:numId="17">
    <w:abstractNumId w:val="22"/>
  </w:num>
  <w:num w:numId="18">
    <w:abstractNumId w:val="35"/>
  </w:num>
  <w:num w:numId="19">
    <w:abstractNumId w:val="19"/>
  </w:num>
  <w:num w:numId="20">
    <w:abstractNumId w:val="3"/>
  </w:num>
  <w:num w:numId="21">
    <w:abstractNumId w:val="14"/>
  </w:num>
  <w:num w:numId="22">
    <w:abstractNumId w:val="36"/>
  </w:num>
  <w:num w:numId="23">
    <w:abstractNumId w:val="25"/>
  </w:num>
  <w:num w:numId="24">
    <w:abstractNumId w:val="8"/>
  </w:num>
  <w:num w:numId="25">
    <w:abstractNumId w:val="32"/>
  </w:num>
  <w:num w:numId="26">
    <w:abstractNumId w:val="34"/>
  </w:num>
  <w:num w:numId="27">
    <w:abstractNumId w:val="4"/>
  </w:num>
  <w:num w:numId="28">
    <w:abstractNumId w:val="6"/>
  </w:num>
  <w:num w:numId="29">
    <w:abstractNumId w:val="18"/>
  </w:num>
  <w:num w:numId="30">
    <w:abstractNumId w:val="29"/>
  </w:num>
  <w:num w:numId="31">
    <w:abstractNumId w:val="27"/>
  </w:num>
  <w:num w:numId="32">
    <w:abstractNumId w:val="30"/>
  </w:num>
  <w:num w:numId="33">
    <w:abstractNumId w:val="12"/>
  </w:num>
  <w:num w:numId="34">
    <w:abstractNumId w:val="20"/>
  </w:num>
  <w:num w:numId="35">
    <w:abstractNumId w:val="1"/>
  </w:num>
  <w:num w:numId="36">
    <w:abstractNumId w:val="13"/>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8"/>
  <w:bordersDoNotSurroundHeader w:val="true"/>
  <w:bordersDoNotSurroundFooter w:val="true"/>
  <w:attachedTemplate r:id="rId1"/>
  <w:documentProtection w:edit="forms" w:enforcement="1" w:cryptProviderType="rsaAES" w:cryptAlgorithmClass="hash" w:cryptAlgorithmType="typeAny" w:cryptAlgorithmSid="14" w:cryptSpinCount="100000" w:hash="gr70naEXArM/2jHGT256dLXCiGbw1qF0qXpX+/onq71n0/o0HXAaNbS1O4yiCWr8ec9QXyZ0tAD8GQAV3dmzNg==" w:salt="oTCMBri4uOAZ0ffKtwSwmA=="/>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541"/>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1F6"/>
    <w:rsid w:val="000249DB"/>
    <w:rsid w:val="0002595E"/>
    <w:rsid w:val="000303C3"/>
    <w:rsid w:val="000331D3"/>
    <w:rsid w:val="000346A5"/>
    <w:rsid w:val="000359C3"/>
    <w:rsid w:val="00035A7D"/>
    <w:rsid w:val="000409D6"/>
    <w:rsid w:val="000410E8"/>
    <w:rsid w:val="0004249A"/>
    <w:rsid w:val="00043282"/>
    <w:rsid w:val="00044286"/>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51DC1"/>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5DF2"/>
    <w:rsid w:val="001C680C"/>
    <w:rsid w:val="001C7FEA"/>
    <w:rsid w:val="001D0499"/>
    <w:rsid w:val="001D0BBE"/>
    <w:rsid w:val="001D0ED4"/>
    <w:rsid w:val="001D0FCC"/>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05F2C"/>
    <w:rsid w:val="00210B15"/>
    <w:rsid w:val="002142EA"/>
    <w:rsid w:val="002204BB"/>
    <w:rsid w:val="00221B79"/>
    <w:rsid w:val="00221C6B"/>
    <w:rsid w:val="002225C0"/>
    <w:rsid w:val="00224596"/>
    <w:rsid w:val="002253A1"/>
    <w:rsid w:val="00225CF8"/>
    <w:rsid w:val="0022794E"/>
    <w:rsid w:val="00233D64"/>
    <w:rsid w:val="00234784"/>
    <w:rsid w:val="0023482A"/>
    <w:rsid w:val="002359CB"/>
    <w:rsid w:val="00243540"/>
    <w:rsid w:val="0024497B"/>
    <w:rsid w:val="0024515B"/>
    <w:rsid w:val="00246021"/>
    <w:rsid w:val="00246541"/>
    <w:rsid w:val="0024666E"/>
    <w:rsid w:val="00247F52"/>
    <w:rsid w:val="00250B25"/>
    <w:rsid w:val="00250BBE"/>
    <w:rsid w:val="002515C2"/>
    <w:rsid w:val="0025194F"/>
    <w:rsid w:val="0026148A"/>
    <w:rsid w:val="00262696"/>
    <w:rsid w:val="002634BC"/>
    <w:rsid w:val="002643C3"/>
    <w:rsid w:val="00264A0C"/>
    <w:rsid w:val="00267EF4"/>
    <w:rsid w:val="00270CB8"/>
    <w:rsid w:val="00272B08"/>
    <w:rsid w:val="00277CFE"/>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7EBB"/>
    <w:rsid w:val="002D06C1"/>
    <w:rsid w:val="002D42B5"/>
    <w:rsid w:val="002D4F1A"/>
    <w:rsid w:val="002D6C7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3F5A"/>
    <w:rsid w:val="003A4077"/>
    <w:rsid w:val="003B09AD"/>
    <w:rsid w:val="003B0BD9"/>
    <w:rsid w:val="003B1F18"/>
    <w:rsid w:val="003B5BF0"/>
    <w:rsid w:val="003B60BF"/>
    <w:rsid w:val="003B6BE3"/>
    <w:rsid w:val="003B77DA"/>
    <w:rsid w:val="003C010C"/>
    <w:rsid w:val="003C0A6C"/>
    <w:rsid w:val="003C1E0E"/>
    <w:rsid w:val="003C2859"/>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3F72A3"/>
    <w:rsid w:val="00400E72"/>
    <w:rsid w:val="00401400"/>
    <w:rsid w:val="00404869"/>
    <w:rsid w:val="00405884"/>
    <w:rsid w:val="00407D39"/>
    <w:rsid w:val="004110C2"/>
    <w:rsid w:val="0041477A"/>
    <w:rsid w:val="004167A3"/>
    <w:rsid w:val="00432DAA"/>
    <w:rsid w:val="00434305"/>
    <w:rsid w:val="00435DF7"/>
    <w:rsid w:val="0044083F"/>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4B57"/>
    <w:rsid w:val="004A63FA"/>
    <w:rsid w:val="004B0272"/>
    <w:rsid w:val="004B2701"/>
    <w:rsid w:val="004B2E1B"/>
    <w:rsid w:val="004B3DBC"/>
    <w:rsid w:val="004B3E93"/>
    <w:rsid w:val="004C1FBC"/>
    <w:rsid w:val="004C3F1D"/>
    <w:rsid w:val="004C458D"/>
    <w:rsid w:val="004C7491"/>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0E89"/>
    <w:rsid w:val="005C29B8"/>
    <w:rsid w:val="005C5F21"/>
    <w:rsid w:val="005C7156"/>
    <w:rsid w:val="005D0C75"/>
    <w:rsid w:val="005D1E63"/>
    <w:rsid w:val="005D4171"/>
    <w:rsid w:val="005D6A95"/>
    <w:rsid w:val="005D6B2C"/>
    <w:rsid w:val="005D6D9C"/>
    <w:rsid w:val="005E2335"/>
    <w:rsid w:val="005E2F54"/>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7387"/>
    <w:rsid w:val="006252D8"/>
    <w:rsid w:val="006259BC"/>
    <w:rsid w:val="00625E0F"/>
    <w:rsid w:val="0062636B"/>
    <w:rsid w:val="00632182"/>
    <w:rsid w:val="00632AE0"/>
    <w:rsid w:val="00633C17"/>
    <w:rsid w:val="00636E3E"/>
    <w:rsid w:val="006379F7"/>
    <w:rsid w:val="00637E4D"/>
    <w:rsid w:val="00640620"/>
    <w:rsid w:val="00641A1F"/>
    <w:rsid w:val="00644D63"/>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7002C5"/>
    <w:rsid w:val="0070348B"/>
    <w:rsid w:val="00704387"/>
    <w:rsid w:val="00707669"/>
    <w:rsid w:val="00710A2A"/>
    <w:rsid w:val="00711CBA"/>
    <w:rsid w:val="00711FB5"/>
    <w:rsid w:val="00712A01"/>
    <w:rsid w:val="00714F58"/>
    <w:rsid w:val="00722FBF"/>
    <w:rsid w:val="00722FC2"/>
    <w:rsid w:val="00725949"/>
    <w:rsid w:val="00727FA2"/>
    <w:rsid w:val="007322D9"/>
    <w:rsid w:val="00732BC0"/>
    <w:rsid w:val="00732F4E"/>
    <w:rsid w:val="007331A7"/>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386D"/>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47F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722"/>
    <w:rsid w:val="009027BC"/>
    <w:rsid w:val="00903A81"/>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47F51"/>
    <w:rsid w:val="00953604"/>
    <w:rsid w:val="0095496B"/>
    <w:rsid w:val="009610DC"/>
    <w:rsid w:val="00961490"/>
    <w:rsid w:val="0096381A"/>
    <w:rsid w:val="00965E04"/>
    <w:rsid w:val="009674AD"/>
    <w:rsid w:val="00970CDC"/>
    <w:rsid w:val="00977010"/>
    <w:rsid w:val="00977D02"/>
    <w:rsid w:val="009809BB"/>
    <w:rsid w:val="0098364B"/>
    <w:rsid w:val="0098603A"/>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5B8"/>
    <w:rsid w:val="00A3367B"/>
    <w:rsid w:val="00A3597D"/>
    <w:rsid w:val="00A36338"/>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1D48"/>
    <w:rsid w:val="00A648CD"/>
    <w:rsid w:val="00A6537A"/>
    <w:rsid w:val="00A67866"/>
    <w:rsid w:val="00A707CB"/>
    <w:rsid w:val="00A70B07"/>
    <w:rsid w:val="00A723F8"/>
    <w:rsid w:val="00A77CCB"/>
    <w:rsid w:val="00A83D8D"/>
    <w:rsid w:val="00A8446B"/>
    <w:rsid w:val="00A8473F"/>
    <w:rsid w:val="00A862D6"/>
    <w:rsid w:val="00A8715E"/>
    <w:rsid w:val="00A87647"/>
    <w:rsid w:val="00A9295B"/>
    <w:rsid w:val="00A93B09"/>
    <w:rsid w:val="00A952D7"/>
    <w:rsid w:val="00A963F7"/>
    <w:rsid w:val="00A96AD8"/>
    <w:rsid w:val="00AA052C"/>
    <w:rsid w:val="00AA0949"/>
    <w:rsid w:val="00AA1E45"/>
    <w:rsid w:val="00AA30E6"/>
    <w:rsid w:val="00AA3DCC"/>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101C"/>
    <w:rsid w:val="00AE232F"/>
    <w:rsid w:val="00AE5EB4"/>
    <w:rsid w:val="00AF0C18"/>
    <w:rsid w:val="00AF47C5"/>
    <w:rsid w:val="00AF5398"/>
    <w:rsid w:val="00B049AF"/>
    <w:rsid w:val="00B07242"/>
    <w:rsid w:val="00B10534"/>
    <w:rsid w:val="00B113DB"/>
    <w:rsid w:val="00B11D8A"/>
    <w:rsid w:val="00B12981"/>
    <w:rsid w:val="00B147DD"/>
    <w:rsid w:val="00B156FD"/>
    <w:rsid w:val="00B21F61"/>
    <w:rsid w:val="00B22D18"/>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8B"/>
    <w:rsid w:val="00BC73D8"/>
    <w:rsid w:val="00BD52D7"/>
    <w:rsid w:val="00BD5AD2"/>
    <w:rsid w:val="00BD7F8C"/>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A24"/>
    <w:rsid w:val="00D21E81"/>
    <w:rsid w:val="00D223DE"/>
    <w:rsid w:val="00D25E37"/>
    <w:rsid w:val="00D2661A"/>
    <w:rsid w:val="00D27582"/>
    <w:rsid w:val="00D32719"/>
    <w:rsid w:val="00D33333"/>
    <w:rsid w:val="00D34CB7"/>
    <w:rsid w:val="00D352A2"/>
    <w:rsid w:val="00D407E9"/>
    <w:rsid w:val="00D4162B"/>
    <w:rsid w:val="00D4514F"/>
    <w:rsid w:val="00D451E2"/>
    <w:rsid w:val="00D45E89"/>
    <w:rsid w:val="00D45E8D"/>
    <w:rsid w:val="00D466AE"/>
    <w:rsid w:val="00D4734F"/>
    <w:rsid w:val="00D51BF3"/>
    <w:rsid w:val="00D54B98"/>
    <w:rsid w:val="00D5549F"/>
    <w:rsid w:val="00D56D85"/>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5BB6"/>
    <w:rsid w:val="00F26B7E"/>
    <w:rsid w:val="00F27A3B"/>
    <w:rsid w:val="00F33817"/>
    <w:rsid w:val="00F3447F"/>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662D"/>
    <w:rsid w:val="00FA6730"/>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5C2D"/>
    <w:rsid w:val="00FE7E79"/>
    <w:rsid w:val="00FF3E7D"/>
    <w:rsid w:val="00FF5B99"/>
    <w:rsid w:val="00FF730C"/>
    <w:rsid w:val="00FF73F4"/>
    <w:rsid w:val="00FF7CE4"/>
    <w:rsid w:val="00FF7E39"/>
    <w:rsid w:val="36D9722C"/>
    <w:rsid w:val="7FEF18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0" w:name="toc 8"/>
    <w:lsdException w:uiPriority="0" w:name="toc 9"/>
    <w:lsdException w:unhideWhenUsed="0" w:uiPriority="0" w:semiHidden="0" w:name="Normal Indent"/>
    <w:lsdException w:unhideWhenUsed="0" w:uiPriority="0"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nhideWhenUsed="0" w:uiPriority="0" w:semiHidden="0" w:name="caption"/>
    <w:lsdException w:unhideWhenUsed="0" w:uiPriority="0"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7"/>
    <w:qFormat/>
    <w:uiPriority w:val="0"/>
    <w:pPr>
      <w:keepNext/>
      <w:keepLines/>
      <w:spacing w:before="260" w:after="260" w:line="416" w:lineRule="auto"/>
      <w:outlineLvl w:val="2"/>
    </w:pPr>
    <w:rPr>
      <w:b/>
      <w:bCs/>
      <w:sz w:val="32"/>
      <w:szCs w:val="32"/>
    </w:rPr>
  </w:style>
  <w:style w:type="paragraph" w:styleId="5">
    <w:name w:val="heading 4"/>
    <w:basedOn w:val="1"/>
    <w:next w:val="1"/>
    <w:link w:val="3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9"/>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0"/>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1"/>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2"/>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3"/>
    <w:qFormat/>
    <w:uiPriority w:val="0"/>
    <w:pPr>
      <w:keepNext/>
      <w:keepLines/>
      <w:adjustRightInd/>
      <w:spacing w:before="240" w:after="64" w:line="320" w:lineRule="auto"/>
      <w:outlineLvl w:val="8"/>
    </w:pPr>
    <w:rPr>
      <w:rFonts w:ascii="Arial" w:hAnsi="Arial" w:eastAsia="黑体"/>
    </w:rPr>
  </w:style>
  <w:style w:type="character" w:default="1" w:styleId="29">
    <w:name w:val="Default Paragraph Font"/>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tabs>
        <w:tab w:val="right" w:leader="dot" w:pos="9344"/>
      </w:tabs>
      <w:spacing w:line="300" w:lineRule="exact"/>
      <w:ind w:left="1259"/>
    </w:pPr>
    <w:rPr>
      <w:rFonts w:ascii="宋体"/>
    </w:rPr>
  </w:style>
  <w:style w:type="paragraph" w:styleId="12">
    <w:name w:val="Normal Indent"/>
    <w:basedOn w:val="1"/>
    <w:uiPriority w:val="0"/>
    <w:pPr>
      <w:ind w:firstLine="420"/>
    </w:pPr>
  </w:style>
  <w:style w:type="paragraph" w:styleId="13">
    <w:name w:val="caption"/>
    <w:basedOn w:val="1"/>
    <w:next w:val="1"/>
    <w:link w:val="259"/>
    <w:qFormat/>
    <w:uiPriority w:val="0"/>
    <w:pPr>
      <w:adjustRightInd/>
      <w:spacing w:before="152" w:after="160" w:line="240" w:lineRule="auto"/>
    </w:pPr>
    <w:rPr>
      <w:rFonts w:ascii="Arial" w:hAnsi="Arial" w:eastAsia="黑体"/>
      <w:sz w:val="20"/>
      <w:szCs w:val="20"/>
    </w:rPr>
  </w:style>
  <w:style w:type="paragraph" w:styleId="14">
    <w:name w:val="Body Text"/>
    <w:basedOn w:val="1"/>
    <w:link w:val="87"/>
    <w:uiPriority w:val="0"/>
    <w:pPr>
      <w:spacing w:after="120"/>
    </w:pPr>
  </w:style>
  <w:style w:type="paragraph" w:styleId="15">
    <w:name w:val="toc 5"/>
    <w:basedOn w:val="1"/>
    <w:next w:val="1"/>
    <w:unhideWhenUsed/>
    <w:uiPriority w:val="39"/>
    <w:pPr>
      <w:ind w:left="839"/>
    </w:pPr>
    <w:rPr>
      <w:rFonts w:ascii="宋体"/>
    </w:rPr>
  </w:style>
  <w:style w:type="paragraph" w:styleId="16">
    <w:name w:val="toc 3"/>
    <w:basedOn w:val="1"/>
    <w:next w:val="1"/>
    <w:unhideWhenUsed/>
    <w:uiPriority w:val="39"/>
    <w:pPr>
      <w:spacing w:line="300" w:lineRule="exact"/>
      <w:ind w:left="420"/>
    </w:pPr>
    <w:rPr>
      <w:rFonts w:ascii="宋体"/>
    </w:rPr>
  </w:style>
  <w:style w:type="paragraph" w:styleId="17">
    <w:name w:val="Balloon Text"/>
    <w:basedOn w:val="1"/>
    <w:link w:val="46"/>
    <w:semiHidden/>
    <w:unhideWhenUsed/>
    <w:uiPriority w:val="99"/>
    <w:rPr>
      <w:sz w:val="18"/>
      <w:szCs w:val="18"/>
    </w:rPr>
  </w:style>
  <w:style w:type="paragraph" w:styleId="18">
    <w:name w:val="footer"/>
    <w:basedOn w:val="1"/>
    <w:link w:val="45"/>
    <w:uiPriority w:val="99"/>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4"/>
    <w:uiPriority w:val="99"/>
    <w:pPr>
      <w:tabs>
        <w:tab w:val="center" w:pos="4153"/>
        <w:tab w:val="right" w:pos="8306"/>
      </w:tabs>
      <w:adjustRightInd/>
      <w:snapToGrid w:val="0"/>
      <w:jc w:val="center"/>
    </w:pPr>
    <w:rPr>
      <w:sz w:val="18"/>
      <w:szCs w:val="18"/>
    </w:rPr>
  </w:style>
  <w:style w:type="paragraph" w:styleId="20">
    <w:name w:val="toc 1"/>
    <w:basedOn w:val="1"/>
    <w:next w:val="1"/>
    <w:unhideWhenUsed/>
    <w:uiPriority w:val="39"/>
    <w:rPr>
      <w:rFonts w:ascii="宋体"/>
    </w:rPr>
  </w:style>
  <w:style w:type="paragraph" w:styleId="21">
    <w:name w:val="toc 4"/>
    <w:basedOn w:val="1"/>
    <w:next w:val="1"/>
    <w:unhideWhenUsed/>
    <w:uiPriority w:val="39"/>
    <w:pPr>
      <w:tabs>
        <w:tab w:val="right" w:leader="dot" w:pos="9344"/>
      </w:tabs>
      <w:spacing w:line="300" w:lineRule="exact"/>
      <w:ind w:left="629"/>
    </w:pPr>
    <w:rPr>
      <w:rFonts w:ascii="宋体"/>
    </w:rPr>
  </w:style>
  <w:style w:type="paragraph" w:styleId="22">
    <w:name w:val="footnote text"/>
    <w:basedOn w:val="1"/>
    <w:next w:val="1"/>
    <w:link w:val="100"/>
    <w:semiHidden/>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unhideWhenUsed/>
    <w:uiPriority w:val="39"/>
    <w:pPr>
      <w:spacing w:line="300" w:lineRule="exact"/>
      <w:ind w:left="1049"/>
    </w:pPr>
    <w:rPr>
      <w:rFonts w:ascii="宋体"/>
    </w:rPr>
  </w:style>
  <w:style w:type="paragraph" w:styleId="24">
    <w:name w:val="table of figures"/>
    <w:basedOn w:val="1"/>
    <w:next w:val="1"/>
    <w:semiHidden/>
    <w:uiPriority w:val="0"/>
    <w:pPr>
      <w:adjustRightInd/>
      <w:spacing w:line="240" w:lineRule="auto"/>
      <w:jc w:val="left"/>
    </w:pPr>
    <w:rPr>
      <w:szCs w:val="24"/>
    </w:rPr>
  </w:style>
  <w:style w:type="paragraph" w:styleId="25">
    <w:name w:val="toc 2"/>
    <w:basedOn w:val="1"/>
    <w:next w:val="1"/>
    <w:unhideWhenUsed/>
    <w:uiPriority w:val="39"/>
    <w:pPr>
      <w:tabs>
        <w:tab w:val="right" w:leader="dot" w:pos="9344"/>
      </w:tabs>
      <w:spacing w:line="300" w:lineRule="exact"/>
      <w:ind w:left="210"/>
    </w:pPr>
    <w:rPr>
      <w:rFonts w:ascii="宋体"/>
    </w:rPr>
  </w:style>
  <w:style w:type="paragraph" w:styleId="26">
    <w:name w:val="Title"/>
    <w:basedOn w:val="1"/>
    <w:link w:val="49"/>
    <w:qFormat/>
    <w:uiPriority w:val="0"/>
    <w:pPr>
      <w:spacing w:before="240" w:after="60"/>
      <w:jc w:val="center"/>
      <w:outlineLvl w:val="0"/>
    </w:pPr>
    <w:rPr>
      <w:rFonts w:ascii="Arial" w:hAnsi="Arial" w:cs="Arial"/>
      <w:b/>
      <w:bCs/>
      <w:sz w:val="32"/>
      <w:szCs w:val="32"/>
    </w:rPr>
  </w:style>
  <w:style w:type="table" w:styleId="28">
    <w:name w:val="Table Grid"/>
    <w:basedOn w:val="2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uiPriority w:val="0"/>
    <w:rPr>
      <w:rFonts w:ascii="宋体" w:hAnsi="Times New Roman" w:eastAsia="宋体"/>
      <w:sz w:val="18"/>
    </w:rPr>
  </w:style>
  <w:style w:type="character" w:styleId="32">
    <w:name w:val="Emphasis"/>
    <w:qFormat/>
    <w:uiPriority w:val="20"/>
    <w:rPr>
      <w:i/>
      <w:iCs/>
    </w:rPr>
  </w:style>
  <w:style w:type="character" w:styleId="33">
    <w:name w:val="Hyperlink"/>
    <w:uiPriority w:val="99"/>
    <w:rPr>
      <w:rFonts w:ascii="宋体" w:hAnsi="Times New Roman" w:eastAsia="宋体"/>
      <w:color w:val="auto"/>
      <w:spacing w:val="0"/>
      <w:w w:val="100"/>
      <w:position w:val="0"/>
      <w:sz w:val="21"/>
      <w:u w:val="none"/>
      <w:vertAlign w:val="baseline"/>
    </w:rPr>
  </w:style>
  <w:style w:type="character" w:styleId="34">
    <w:name w:val="footnote reference"/>
    <w:semiHidden/>
    <w:uiPriority w:val="0"/>
    <w:rPr>
      <w:rFonts w:ascii="宋体" w:hAnsi="宋体" w:eastAsia="宋体" w:cs="Times New Roman"/>
      <w:spacing w:val="0"/>
      <w:sz w:val="18"/>
      <w:vertAlign w:val="superscript"/>
    </w:rPr>
  </w:style>
  <w:style w:type="character" w:customStyle="1" w:styleId="35">
    <w:name w:val="标题 1 字符"/>
    <w:link w:val="2"/>
    <w:uiPriority w:val="0"/>
    <w:rPr>
      <w:rFonts w:ascii="Times New Roman" w:hAnsi="Times New Roman" w:eastAsia="宋体" w:cs="Times New Roman"/>
      <w:b/>
      <w:bCs/>
      <w:kern w:val="44"/>
      <w:sz w:val="44"/>
      <w:szCs w:val="44"/>
    </w:rPr>
  </w:style>
  <w:style w:type="character" w:customStyle="1" w:styleId="36">
    <w:name w:val="标题 2 字符"/>
    <w:link w:val="3"/>
    <w:uiPriority w:val="0"/>
    <w:rPr>
      <w:rFonts w:ascii="Arial" w:hAnsi="Arial" w:eastAsia="黑体" w:cs="Times New Roman"/>
      <w:b/>
      <w:bCs/>
      <w:sz w:val="32"/>
      <w:szCs w:val="32"/>
    </w:rPr>
  </w:style>
  <w:style w:type="character" w:customStyle="1" w:styleId="37">
    <w:name w:val="标题 3 字符"/>
    <w:link w:val="4"/>
    <w:uiPriority w:val="0"/>
    <w:rPr>
      <w:rFonts w:ascii="Times New Roman" w:hAnsi="Times New Roman" w:eastAsia="宋体" w:cs="Times New Roman"/>
      <w:b/>
      <w:bCs/>
      <w:sz w:val="32"/>
      <w:szCs w:val="32"/>
    </w:rPr>
  </w:style>
  <w:style w:type="character" w:customStyle="1" w:styleId="38">
    <w:name w:val="标题 4 字符"/>
    <w:link w:val="5"/>
    <w:uiPriority w:val="0"/>
    <w:rPr>
      <w:rFonts w:ascii="Arial" w:hAnsi="Arial" w:eastAsia="黑体" w:cs="Times New Roman"/>
      <w:b/>
      <w:bCs/>
      <w:sz w:val="28"/>
      <w:szCs w:val="28"/>
    </w:rPr>
  </w:style>
  <w:style w:type="character" w:customStyle="1" w:styleId="39">
    <w:name w:val="标题 5 字符"/>
    <w:link w:val="6"/>
    <w:uiPriority w:val="0"/>
    <w:rPr>
      <w:rFonts w:ascii="Times New Roman" w:hAnsi="Times New Roman" w:eastAsia="宋体" w:cs="Times New Roman"/>
      <w:b/>
      <w:bCs/>
      <w:sz w:val="28"/>
      <w:szCs w:val="28"/>
    </w:rPr>
  </w:style>
  <w:style w:type="character" w:customStyle="1" w:styleId="40">
    <w:name w:val="标题 6 字符"/>
    <w:link w:val="7"/>
    <w:uiPriority w:val="0"/>
    <w:rPr>
      <w:rFonts w:ascii="Arial" w:hAnsi="Arial" w:eastAsia="黑体" w:cs="Times New Roman"/>
      <w:b/>
      <w:bCs/>
      <w:sz w:val="24"/>
      <w:szCs w:val="24"/>
    </w:rPr>
  </w:style>
  <w:style w:type="character" w:customStyle="1" w:styleId="41">
    <w:name w:val="标题 7 字符"/>
    <w:link w:val="8"/>
    <w:uiPriority w:val="0"/>
    <w:rPr>
      <w:rFonts w:ascii="Times New Roman" w:hAnsi="Times New Roman" w:eastAsia="宋体" w:cs="Times New Roman"/>
      <w:b/>
      <w:bCs/>
      <w:sz w:val="24"/>
      <w:szCs w:val="24"/>
    </w:rPr>
  </w:style>
  <w:style w:type="character" w:customStyle="1" w:styleId="42">
    <w:name w:val="标题 8 字符"/>
    <w:link w:val="9"/>
    <w:uiPriority w:val="0"/>
    <w:rPr>
      <w:rFonts w:ascii="Arial" w:hAnsi="Arial" w:eastAsia="黑体" w:cs="Times New Roman"/>
      <w:sz w:val="24"/>
      <w:szCs w:val="24"/>
    </w:rPr>
  </w:style>
  <w:style w:type="character" w:customStyle="1" w:styleId="43">
    <w:name w:val="标题 9 字符"/>
    <w:link w:val="10"/>
    <w:uiPriority w:val="0"/>
    <w:rPr>
      <w:rFonts w:ascii="Arial" w:hAnsi="Arial" w:eastAsia="黑体" w:cs="Times New Roman"/>
      <w:szCs w:val="21"/>
    </w:rPr>
  </w:style>
  <w:style w:type="character" w:customStyle="1" w:styleId="44">
    <w:name w:val="页眉 字符"/>
    <w:link w:val="19"/>
    <w:uiPriority w:val="99"/>
    <w:rPr>
      <w:rFonts w:ascii="Times New Roman" w:hAnsi="Times New Roman" w:eastAsia="宋体" w:cs="Times New Roman"/>
      <w:sz w:val="18"/>
      <w:szCs w:val="18"/>
    </w:rPr>
  </w:style>
  <w:style w:type="character" w:customStyle="1" w:styleId="45">
    <w:name w:val="页脚 字符"/>
    <w:link w:val="18"/>
    <w:uiPriority w:val="99"/>
    <w:rPr>
      <w:rFonts w:ascii="宋体" w:hAnsi="Times New Roman" w:eastAsia="宋体" w:cs="Times New Roman"/>
      <w:sz w:val="18"/>
      <w:szCs w:val="18"/>
    </w:rPr>
  </w:style>
  <w:style w:type="character" w:customStyle="1" w:styleId="46">
    <w:name w:val="批注框文本 字符"/>
    <w:link w:val="17"/>
    <w:semiHidden/>
    <w:uiPriority w:val="99"/>
    <w:rPr>
      <w:sz w:val="18"/>
      <w:szCs w:val="18"/>
    </w:rPr>
  </w:style>
  <w:style w:type="paragraph" w:styleId="47">
    <w:name w:val="Quote"/>
    <w:basedOn w:val="1"/>
    <w:next w:val="1"/>
    <w:link w:val="48"/>
    <w:qFormat/>
    <w:uiPriority w:val="29"/>
    <w:rPr>
      <w:i/>
      <w:iCs/>
      <w:color w:val="000000"/>
    </w:rPr>
  </w:style>
  <w:style w:type="character" w:customStyle="1" w:styleId="48">
    <w:name w:val="引用 字符"/>
    <w:link w:val="47"/>
    <w:uiPriority w:val="29"/>
    <w:rPr>
      <w:i/>
      <w:iCs/>
      <w:color w:val="000000"/>
    </w:rPr>
  </w:style>
  <w:style w:type="character" w:customStyle="1" w:styleId="49">
    <w:name w:val="标题 字符"/>
    <w:link w:val="26"/>
    <w:uiPriority w:val="0"/>
    <w:rPr>
      <w:rFonts w:ascii="Arial" w:hAnsi="Arial" w:eastAsia="宋体" w:cs="Arial"/>
      <w:b/>
      <w:bCs/>
      <w:sz w:val="32"/>
      <w:szCs w:val="32"/>
    </w:rPr>
  </w:style>
  <w:style w:type="paragraph" w:customStyle="1" w:styleId="50">
    <w:name w:val="标准标志"/>
    <w:next w:val="1"/>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1">
    <w:name w:val="标准称谓"/>
    <w:next w:val="1"/>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2">
    <w:name w:val="标准文件_页脚偶数页"/>
    <w:uiPriority w:val="0"/>
    <w:pPr>
      <w:ind w:left="198"/>
    </w:pPr>
    <w:rPr>
      <w:rFonts w:ascii="宋体" w:hAnsi="Times New Roman" w:eastAsia="宋体" w:cs="Times New Roman"/>
      <w:sz w:val="18"/>
      <w:lang w:val="en-US" w:eastAsia="zh-CN" w:bidi="ar-SA"/>
    </w:rPr>
  </w:style>
  <w:style w:type="paragraph" w:customStyle="1" w:styleId="53">
    <w:name w:val="标准文件_页脚奇数页"/>
    <w:uiPriority w:val="0"/>
    <w:pPr>
      <w:ind w:right="227"/>
      <w:jc w:val="right"/>
    </w:pPr>
    <w:rPr>
      <w:rFonts w:ascii="宋体" w:hAnsi="Times New Roman" w:eastAsia="宋体" w:cs="Times New Roman"/>
      <w:sz w:val="18"/>
      <w:lang w:val="en-US" w:eastAsia="zh-CN" w:bidi="ar-SA"/>
    </w:rPr>
  </w:style>
  <w:style w:type="paragraph" w:customStyle="1" w:styleId="54">
    <w:name w:val="标准书眉一"/>
    <w:uiPriority w:val="0"/>
    <w:pPr>
      <w:jc w:val="both"/>
    </w:pPr>
    <w:rPr>
      <w:rFonts w:ascii="Times New Roman" w:hAnsi="Times New Roman" w:eastAsia="宋体" w:cs="Times New Roman"/>
      <w:lang w:val="en-US" w:eastAsia="zh-CN" w:bidi="ar-SA"/>
    </w:rPr>
  </w:style>
  <w:style w:type="paragraph" w:customStyle="1" w:styleId="55">
    <w:name w:val="标准文件_ICS"/>
    <w:basedOn w:val="1"/>
    <w:uiPriority w:val="0"/>
    <w:pPr>
      <w:spacing w:line="0" w:lineRule="atLeast"/>
    </w:pPr>
    <w:rPr>
      <w:rFonts w:ascii="黑体" w:hAnsi="宋体" w:eastAsia="黑体"/>
    </w:rPr>
  </w:style>
  <w:style w:type="paragraph" w:customStyle="1" w:styleId="56">
    <w:name w:val="标准文件_标准正文"/>
    <w:basedOn w:val="1"/>
    <w:next w:val="57"/>
    <w:uiPriority w:val="0"/>
    <w:pPr>
      <w:snapToGrid w:val="0"/>
      <w:ind w:firstLine="200" w:firstLineChars="200"/>
    </w:pPr>
    <w:rPr>
      <w:kern w:val="0"/>
    </w:rPr>
  </w:style>
  <w:style w:type="paragraph" w:customStyle="1" w:styleId="57">
    <w:name w:val="标准文件_段"/>
    <w:link w:val="18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8">
    <w:name w:val="标准文件_版本"/>
    <w:basedOn w:val="56"/>
    <w:uiPriority w:val="0"/>
    <w:pPr>
      <w:adjustRightInd/>
      <w:snapToGrid/>
      <w:ind w:firstLine="0" w:firstLineChars="0"/>
    </w:pPr>
    <w:rPr>
      <w:rFonts w:ascii="宋体" w:hAnsi="宋体"/>
      <w:kern w:val="2"/>
    </w:rPr>
  </w:style>
  <w:style w:type="paragraph" w:customStyle="1" w:styleId="59">
    <w:name w:val="标准文件_标准部门"/>
    <w:basedOn w:val="1"/>
    <w:uiPriority w:val="0"/>
    <w:pPr>
      <w:jc w:val="center"/>
    </w:pPr>
    <w:rPr>
      <w:rFonts w:ascii="黑体" w:eastAsia="黑体"/>
      <w:kern w:val="0"/>
      <w:sz w:val="44"/>
    </w:rPr>
  </w:style>
  <w:style w:type="paragraph" w:customStyle="1" w:styleId="60">
    <w:name w:val="标准文件_标准代替"/>
    <w:basedOn w:val="1"/>
    <w:next w:val="1"/>
    <w:uiPriority w:val="0"/>
    <w:pPr>
      <w:spacing w:line="310" w:lineRule="exact"/>
      <w:jc w:val="right"/>
    </w:pPr>
    <w:rPr>
      <w:rFonts w:ascii="宋体" w:hAnsi="宋体"/>
      <w:kern w:val="0"/>
    </w:rPr>
  </w:style>
  <w:style w:type="paragraph" w:customStyle="1" w:styleId="61">
    <w:name w:val="标准文件_标准名称标题"/>
    <w:basedOn w:val="1"/>
    <w:next w:val="1"/>
    <w:uiPriority w:val="0"/>
    <w:pPr>
      <w:widowControl/>
      <w:shd w:val="clear" w:color="FFFFFF" w:fill="FFFFFF"/>
      <w:adjustRightInd/>
      <w:spacing w:before="640" w:after="100"/>
      <w:jc w:val="center"/>
    </w:pPr>
    <w:rPr>
      <w:rFonts w:ascii="黑体" w:eastAsia="黑体"/>
      <w:kern w:val="0"/>
      <w:sz w:val="32"/>
    </w:rPr>
  </w:style>
  <w:style w:type="paragraph" w:customStyle="1" w:styleId="62">
    <w:name w:val="标准文件_页眉奇数页"/>
    <w:next w:val="1"/>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3">
    <w:name w:val="标准文件_页眉偶数页"/>
    <w:basedOn w:val="62"/>
    <w:next w:val="1"/>
    <w:uiPriority w:val="0"/>
    <w:pPr>
      <w:jc w:val="left"/>
    </w:pPr>
  </w:style>
  <w:style w:type="paragraph" w:customStyle="1" w:styleId="64">
    <w:name w:val="标准文件_参考文献标题"/>
    <w:basedOn w:val="1"/>
    <w:next w:val="1"/>
    <w:uiPriority w:val="0"/>
    <w:pPr>
      <w:widowControl/>
      <w:shd w:val="clear" w:color="FFFFFF" w:fill="FFFFFF"/>
      <w:adjustRightInd/>
      <w:spacing w:before="40" w:beforeLines="40" w:after="50" w:afterLines="50" w:line="240" w:lineRule="auto"/>
      <w:jc w:val="center"/>
      <w:outlineLvl w:val="0"/>
    </w:pPr>
    <w:rPr>
      <w:rFonts w:ascii="黑体" w:eastAsia="黑体"/>
      <w:kern w:val="0"/>
    </w:rPr>
  </w:style>
  <w:style w:type="paragraph" w:customStyle="1" w:styleId="65">
    <w:name w:val="标准文件_参考文献条目"/>
    <w:uiPriority w:val="0"/>
    <w:pPr>
      <w:numPr>
        <w:ilvl w:val="0"/>
        <w:numId w:val="1"/>
      </w:numPr>
    </w:pPr>
    <w:rPr>
      <w:rFonts w:ascii="宋体" w:hAnsi="Times New Roman" w:eastAsia="宋体" w:cs="Times New Roman"/>
      <w:lang w:val="en-US" w:eastAsia="zh-CN" w:bidi="ar-SA"/>
    </w:rPr>
  </w:style>
  <w:style w:type="paragraph" w:customStyle="1" w:styleId="66">
    <w:name w:val="标准文件_二级条标题"/>
    <w:next w:val="57"/>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7">
    <w:name w:val="标准文件_发布"/>
    <w:uiPriority w:val="0"/>
    <w:rPr>
      <w:rFonts w:ascii="黑体" w:eastAsia="黑体"/>
      <w:spacing w:val="0"/>
      <w:w w:val="100"/>
      <w:position w:val="3"/>
      <w:sz w:val="28"/>
    </w:rPr>
  </w:style>
  <w:style w:type="paragraph" w:customStyle="1" w:styleId="68">
    <w:name w:val="标准文件_方框数字列项"/>
    <w:basedOn w:val="57"/>
    <w:uiPriority w:val="0"/>
    <w:pPr>
      <w:numPr>
        <w:ilvl w:val="0"/>
        <w:numId w:val="3"/>
      </w:numPr>
      <w:ind w:firstLine="0" w:firstLineChars="0"/>
    </w:pPr>
  </w:style>
  <w:style w:type="paragraph" w:customStyle="1" w:styleId="69">
    <w:name w:val="标准文件_封面标准编号"/>
    <w:basedOn w:val="1"/>
    <w:next w:val="60"/>
    <w:uiPriority w:val="0"/>
    <w:pPr>
      <w:spacing w:line="310" w:lineRule="exact"/>
      <w:jc w:val="right"/>
    </w:pPr>
    <w:rPr>
      <w:rFonts w:ascii="黑体" w:eastAsia="黑体"/>
      <w:kern w:val="0"/>
      <w:sz w:val="28"/>
    </w:rPr>
  </w:style>
  <w:style w:type="paragraph" w:customStyle="1" w:styleId="70">
    <w:name w:val="标准文件_封面标准分类号"/>
    <w:basedOn w:val="1"/>
    <w:uiPriority w:val="0"/>
    <w:rPr>
      <w:rFonts w:ascii="黑体" w:eastAsia="黑体"/>
      <w:b/>
      <w:kern w:val="0"/>
      <w:sz w:val="28"/>
    </w:rPr>
  </w:style>
  <w:style w:type="paragraph" w:customStyle="1" w:styleId="71">
    <w:name w:val="标准文件_封面标准名称"/>
    <w:basedOn w:val="1"/>
    <w:uiPriority w:val="0"/>
    <w:pPr>
      <w:spacing w:line="240" w:lineRule="auto"/>
      <w:jc w:val="center"/>
    </w:pPr>
    <w:rPr>
      <w:rFonts w:ascii="黑体" w:eastAsia="黑体"/>
      <w:kern w:val="0"/>
      <w:sz w:val="52"/>
    </w:rPr>
  </w:style>
  <w:style w:type="paragraph" w:customStyle="1" w:styleId="72">
    <w:name w:val="标准文件_封面标准英文名称"/>
    <w:basedOn w:val="1"/>
    <w:uiPriority w:val="0"/>
    <w:pPr>
      <w:spacing w:line="240" w:lineRule="auto"/>
      <w:jc w:val="center"/>
    </w:pPr>
    <w:rPr>
      <w:rFonts w:ascii="黑体" w:eastAsia="黑体"/>
      <w:b/>
      <w:sz w:val="28"/>
    </w:rPr>
  </w:style>
  <w:style w:type="paragraph" w:customStyle="1" w:styleId="73">
    <w:name w:val="标准文件_封面发布日期"/>
    <w:basedOn w:val="1"/>
    <w:uiPriority w:val="0"/>
    <w:pPr>
      <w:spacing w:line="310" w:lineRule="exact"/>
    </w:pPr>
    <w:rPr>
      <w:rFonts w:ascii="黑体" w:eastAsia="黑体"/>
      <w:kern w:val="0"/>
      <w:sz w:val="28"/>
    </w:rPr>
  </w:style>
  <w:style w:type="paragraph" w:customStyle="1" w:styleId="74">
    <w:name w:val="标准文件_封面密级"/>
    <w:basedOn w:val="1"/>
    <w:uiPriority w:val="0"/>
    <w:rPr>
      <w:rFonts w:eastAsia="黑体"/>
      <w:sz w:val="32"/>
    </w:rPr>
  </w:style>
  <w:style w:type="paragraph" w:customStyle="1" w:styleId="75">
    <w:name w:val="标准文件_封面实施日期"/>
    <w:basedOn w:val="1"/>
    <w:uiPriority w:val="0"/>
    <w:pPr>
      <w:spacing w:line="310" w:lineRule="exact"/>
      <w:jc w:val="right"/>
    </w:pPr>
    <w:rPr>
      <w:rFonts w:ascii="黑体" w:eastAsia="黑体"/>
      <w:sz w:val="28"/>
    </w:rPr>
  </w:style>
  <w:style w:type="paragraph" w:customStyle="1" w:styleId="76">
    <w:name w:val="标准文件_封面抬头"/>
    <w:basedOn w:val="57"/>
    <w:uiPriority w:val="0"/>
    <w:pPr>
      <w:adjustRightInd w:val="0"/>
      <w:spacing w:line="800" w:lineRule="exact"/>
      <w:ind w:firstLine="0" w:firstLineChars="0"/>
      <w:jc w:val="distribute"/>
    </w:pPr>
    <w:rPr>
      <w:rFonts w:ascii="黑体" w:eastAsia="黑体"/>
      <w:b/>
      <w:sz w:val="64"/>
    </w:rPr>
  </w:style>
  <w:style w:type="paragraph" w:customStyle="1" w:styleId="77">
    <w:name w:val="标准文件_附录标识"/>
    <w:next w:val="57"/>
    <w:uiPriority w:val="0"/>
    <w:pPr>
      <w:numPr>
        <w:ilvl w:val="0"/>
        <w:numId w:val="4"/>
      </w:numPr>
      <w:shd w:val="clear" w:color="FFFFFF" w:fill="FFFFFF"/>
      <w:tabs>
        <w:tab w:val="left" w:pos="6406"/>
      </w:tabs>
      <w:spacing w:before="25" w:beforeLines="25" w:after="50" w:afterLines="50"/>
      <w:jc w:val="center"/>
      <w:outlineLvl w:val="0"/>
    </w:pPr>
    <w:rPr>
      <w:rFonts w:ascii="黑体" w:hAnsi="Times New Roman" w:eastAsia="黑体" w:cs="Times New Roman"/>
      <w:sz w:val="21"/>
      <w:lang w:val="en-US" w:eastAsia="zh-CN" w:bidi="ar-SA"/>
    </w:rPr>
  </w:style>
  <w:style w:type="paragraph" w:customStyle="1" w:styleId="78">
    <w:name w:val="标准文件_附录表标题"/>
    <w:next w:val="57"/>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79">
    <w:name w:val="标准文件_附录一级条标题"/>
    <w:next w:val="57"/>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0">
    <w:name w:val="标准文件_附录二级条标题"/>
    <w:basedOn w:val="79"/>
    <w:next w:val="57"/>
    <w:uiPriority w:val="0"/>
    <w:pPr>
      <w:widowControl/>
      <w:numPr>
        <w:ilvl w:val="2"/>
      </w:numPr>
      <w:wordWrap w:val="0"/>
      <w:overflowPunct w:val="0"/>
      <w:autoSpaceDE w:val="0"/>
      <w:autoSpaceDN w:val="0"/>
      <w:textAlignment w:val="baseline"/>
      <w:outlineLvl w:val="3"/>
    </w:pPr>
  </w:style>
  <w:style w:type="paragraph" w:customStyle="1" w:styleId="81">
    <w:name w:val="标准文件_附录公式"/>
    <w:basedOn w:val="56"/>
    <w:next w:val="56"/>
    <w:uiPriority w:val="0"/>
    <w:pPr>
      <w:tabs>
        <w:tab w:val="center" w:pos="4678"/>
        <w:tab w:val="right" w:leader="middleDot" w:pos="9356"/>
      </w:tabs>
      <w:spacing w:line="240" w:lineRule="auto"/>
      <w:ind w:right="-51" w:firstLine="0" w:firstLineChars="0"/>
    </w:pPr>
    <w:rPr>
      <w:rFonts w:ascii="宋体" w:hAnsi="宋体"/>
    </w:rPr>
  </w:style>
  <w:style w:type="paragraph" w:customStyle="1" w:styleId="82">
    <w:name w:val="标准文件_附录三级条标题"/>
    <w:next w:val="57"/>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3">
    <w:name w:val="标准文件_附录四级条标题"/>
    <w:next w:val="57"/>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4">
    <w:name w:val="标准文件_附录图标题"/>
    <w:next w:val="57"/>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5">
    <w:name w:val="标准文件_附录五级条标题"/>
    <w:next w:val="57"/>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6">
    <w:name w:val="标准文件_附录英文标识"/>
    <w:next w:val="14"/>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7">
    <w:name w:val="正文文本 字符"/>
    <w:link w:val="14"/>
    <w:uiPriority w:val="0"/>
    <w:rPr>
      <w:rFonts w:ascii="Times New Roman" w:hAnsi="Times New Roman" w:eastAsia="宋体" w:cs="Times New Roman"/>
      <w:szCs w:val="20"/>
    </w:rPr>
  </w:style>
  <w:style w:type="paragraph" w:customStyle="1" w:styleId="88">
    <w:name w:val="标准文件_附录章标题"/>
    <w:next w:val="57"/>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9">
    <w:name w:val="标准文件_公式后的破折号"/>
    <w:basedOn w:val="57"/>
    <w:next w:val="57"/>
    <w:uiPriority w:val="0"/>
    <w:pPr>
      <w:ind w:left="488" w:leftChars="200" w:hanging="289" w:hangingChars="290"/>
    </w:pPr>
  </w:style>
  <w:style w:type="paragraph" w:customStyle="1" w:styleId="90">
    <w:name w:val="标准文件_前言、引言标题"/>
    <w:next w:val="1"/>
    <w:uiPriority w:val="0"/>
    <w:pPr>
      <w:numPr>
        <w:ilvl w:val="0"/>
        <w:numId w:val="8"/>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91">
    <w:name w:val="标准文件_目次、标准名称标题"/>
    <w:basedOn w:val="90"/>
    <w:next w:val="57"/>
    <w:uiPriority w:val="0"/>
    <w:pPr>
      <w:spacing w:line="460" w:lineRule="exact"/>
    </w:pPr>
  </w:style>
  <w:style w:type="paragraph" w:customStyle="1" w:styleId="92">
    <w:name w:val="标准文件_目录标题"/>
    <w:basedOn w:val="1"/>
    <w:uiPriority w:val="0"/>
    <w:pPr>
      <w:spacing w:after="150" w:afterLines="150" w:line="240" w:lineRule="auto"/>
      <w:jc w:val="center"/>
    </w:pPr>
    <w:rPr>
      <w:rFonts w:ascii="黑体" w:eastAsia="黑体"/>
      <w:sz w:val="32"/>
    </w:rPr>
  </w:style>
  <w:style w:type="paragraph" w:customStyle="1" w:styleId="93">
    <w:name w:val="标准文件_破折号列项"/>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4">
    <w:name w:val="标准文件_破折号列项（二级）"/>
    <w:basedOn w:val="93"/>
    <w:uiPriority w:val="0"/>
    <w:pPr>
      <w:numPr>
        <w:numId w:val="10"/>
      </w:numPr>
      <w:ind w:left="0" w:firstLine="200"/>
    </w:pPr>
  </w:style>
  <w:style w:type="paragraph" w:customStyle="1" w:styleId="95">
    <w:name w:val="标准文件_三级条标题"/>
    <w:basedOn w:val="66"/>
    <w:next w:val="57"/>
    <w:qFormat/>
    <w:uiPriority w:val="0"/>
    <w:pPr>
      <w:widowControl/>
      <w:numPr>
        <w:ilvl w:val="4"/>
      </w:numPr>
      <w:outlineLvl w:val="3"/>
    </w:pPr>
  </w:style>
  <w:style w:type="character" w:customStyle="1" w:styleId="96">
    <w:name w:val="Subtle Reference"/>
    <w:qFormat/>
    <w:uiPriority w:val="31"/>
    <w:rPr>
      <w:smallCaps/>
      <w:color w:val="C0504D"/>
      <w:u w:val="single"/>
    </w:rPr>
  </w:style>
  <w:style w:type="paragraph" w:customStyle="1" w:styleId="97">
    <w:name w:val="标准文件_示例后续"/>
    <w:basedOn w:val="1"/>
    <w:uiPriority w:val="0"/>
    <w:pPr>
      <w:adjustRightInd/>
      <w:spacing w:line="240" w:lineRule="auto"/>
      <w:ind w:firstLine="200" w:firstLineChars="200"/>
    </w:pPr>
    <w:rPr>
      <w:sz w:val="18"/>
      <w:szCs w:val="24"/>
    </w:rPr>
  </w:style>
  <w:style w:type="paragraph" w:customStyle="1" w:styleId="98">
    <w:name w:val="标准文件_数字编号列项"/>
    <w:uiPriority w:val="0"/>
    <w:pPr>
      <w:numPr>
        <w:ilvl w:val="0"/>
        <w:numId w:val="11"/>
      </w:numPr>
      <w:jc w:val="both"/>
    </w:pPr>
    <w:rPr>
      <w:rFonts w:ascii="宋体" w:hAnsi="宋体" w:eastAsia="宋体" w:cs="Times New Roman"/>
      <w:sz w:val="21"/>
      <w:lang w:val="en-US" w:eastAsia="zh-CN" w:bidi="ar-SA"/>
    </w:rPr>
  </w:style>
  <w:style w:type="paragraph" w:customStyle="1" w:styleId="99">
    <w:name w:val="标准文件_四级条标题"/>
    <w:next w:val="57"/>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0">
    <w:name w:val="脚注文本 字符"/>
    <w:link w:val="22"/>
    <w:semiHidden/>
    <w:uiPriority w:val="0"/>
    <w:rPr>
      <w:rFonts w:ascii="宋体" w:hAnsi="Times New Roman" w:eastAsia="宋体" w:cs="Times New Roman"/>
      <w:sz w:val="18"/>
      <w:szCs w:val="18"/>
    </w:rPr>
  </w:style>
  <w:style w:type="paragraph" w:customStyle="1" w:styleId="101">
    <w:name w:val="标准文件_条文脚注"/>
    <w:basedOn w:val="22"/>
    <w:uiPriority w:val="0"/>
    <w:pPr>
      <w:adjustRightInd w:val="0"/>
      <w:spacing w:line="240" w:lineRule="auto"/>
      <w:ind w:left="0" w:leftChars="0" w:firstLine="200" w:firstLineChars="200"/>
      <w:jc w:val="both"/>
    </w:pPr>
    <w:rPr>
      <w:rFonts w:hAnsi="宋体"/>
    </w:rPr>
  </w:style>
  <w:style w:type="paragraph" w:customStyle="1" w:styleId="102">
    <w:name w:val="标准文件_图表脚注"/>
    <w:basedOn w:val="1"/>
    <w:next w:val="57"/>
    <w:uiPriority w:val="0"/>
    <w:pPr>
      <w:numPr>
        <w:ilvl w:val="0"/>
        <w:numId w:val="12"/>
      </w:numPr>
      <w:spacing w:line="240" w:lineRule="auto"/>
      <w:jc w:val="left"/>
    </w:pPr>
    <w:rPr>
      <w:rFonts w:ascii="宋体" w:hAnsi="宋体"/>
      <w:sz w:val="18"/>
    </w:rPr>
  </w:style>
  <w:style w:type="character" w:customStyle="1" w:styleId="103">
    <w:name w:val="标准文件_图表脚注内容"/>
    <w:uiPriority w:val="0"/>
    <w:rPr>
      <w:rFonts w:ascii="宋体" w:hAnsi="宋体" w:eastAsia="宋体" w:cs="Times New Roman"/>
      <w:spacing w:val="0"/>
      <w:sz w:val="18"/>
      <w:vertAlign w:val="superscript"/>
    </w:rPr>
  </w:style>
  <w:style w:type="paragraph" w:customStyle="1" w:styleId="104">
    <w:name w:val="标准文件_五级条标题"/>
    <w:next w:val="57"/>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5">
    <w:name w:val="标准文件_章标题"/>
    <w:next w:val="57"/>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6">
    <w:name w:val="标准文件_一级条标题"/>
    <w:basedOn w:val="105"/>
    <w:next w:val="57"/>
    <w:link w:val="233"/>
    <w:qFormat/>
    <w:uiPriority w:val="0"/>
    <w:pPr>
      <w:numPr>
        <w:ilvl w:val="2"/>
      </w:numPr>
      <w:spacing w:before="50" w:beforeLines="50" w:after="50" w:afterLines="50"/>
      <w:outlineLvl w:val="1"/>
    </w:pPr>
  </w:style>
  <w:style w:type="paragraph" w:customStyle="1" w:styleId="107">
    <w:name w:val="标准文件_一致程度"/>
    <w:basedOn w:val="1"/>
    <w:uiPriority w:val="0"/>
    <w:pPr>
      <w:spacing w:line="440" w:lineRule="exact"/>
      <w:jc w:val="center"/>
    </w:pPr>
    <w:rPr>
      <w:sz w:val="28"/>
    </w:rPr>
  </w:style>
  <w:style w:type="paragraph" w:customStyle="1" w:styleId="108">
    <w:name w:val="标准文件_引言标题"/>
    <w:next w:val="1"/>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9">
    <w:name w:val="标准文件_英文图表脚注"/>
    <w:basedOn w:val="56"/>
    <w:uiPriority w:val="0"/>
    <w:pPr>
      <w:widowControl/>
      <w:adjustRightInd/>
      <w:snapToGrid/>
      <w:spacing w:line="240" w:lineRule="auto"/>
      <w:ind w:left="79" w:hanging="79" w:hangingChars="80"/>
    </w:pPr>
    <w:rPr>
      <w:rFonts w:ascii="宋体" w:hAnsi="宋体"/>
    </w:rPr>
  </w:style>
  <w:style w:type="paragraph" w:customStyle="1" w:styleId="110">
    <w:name w:val="标准文件_数字编号列项（二级）"/>
    <w:uiPriority w:val="0"/>
    <w:pPr>
      <w:numPr>
        <w:ilvl w:val="1"/>
        <w:numId w:val="13"/>
      </w:numPr>
      <w:jc w:val="both"/>
    </w:pPr>
    <w:rPr>
      <w:rFonts w:ascii="宋体" w:hAnsi="Times New Roman" w:eastAsia="宋体" w:cs="Times New Roman"/>
      <w:sz w:val="21"/>
      <w:lang w:val="en-US" w:eastAsia="zh-CN" w:bidi="ar-SA"/>
    </w:rPr>
  </w:style>
  <w:style w:type="paragraph" w:customStyle="1" w:styleId="111">
    <w:name w:val="标准文件_英文注："/>
    <w:basedOn w:val="1"/>
    <w:next w:val="57"/>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2">
    <w:name w:val="标准文件_英文注×："/>
    <w:basedOn w:val="1"/>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3">
    <w:name w:val="标准文件_正文表标题"/>
    <w:next w:val="57"/>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4">
    <w:name w:val="标准文件_正文公式"/>
    <w:basedOn w:val="1"/>
    <w:next w:val="56"/>
    <w:uiPriority w:val="0"/>
    <w:pPr>
      <w:tabs>
        <w:tab w:val="center" w:pos="4678"/>
        <w:tab w:val="right" w:leader="middleDot" w:pos="9356"/>
      </w:tabs>
      <w:spacing w:line="240" w:lineRule="auto"/>
    </w:pPr>
    <w:rPr>
      <w:rFonts w:ascii="宋体" w:hAnsi="宋体"/>
    </w:rPr>
  </w:style>
  <w:style w:type="paragraph" w:customStyle="1" w:styleId="115">
    <w:name w:val="标准文件_正文图标题"/>
    <w:next w:val="57"/>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6">
    <w:name w:val="标准文件_正文英文表标题"/>
    <w:next w:val="57"/>
    <w:uiPriority w:val="0"/>
    <w:pPr>
      <w:numPr>
        <w:ilvl w:val="0"/>
        <w:numId w:val="18"/>
      </w:numPr>
      <w:jc w:val="center"/>
    </w:pPr>
    <w:rPr>
      <w:rFonts w:ascii="黑体" w:hAnsi="Times New Roman" w:eastAsia="黑体" w:cs="Times New Roman"/>
      <w:sz w:val="21"/>
      <w:lang w:val="en-US" w:eastAsia="zh-CN" w:bidi="ar-SA"/>
    </w:rPr>
  </w:style>
  <w:style w:type="paragraph" w:customStyle="1" w:styleId="117">
    <w:name w:val="标准文件_正文英文图标题"/>
    <w:next w:val="57"/>
    <w:uiPriority w:val="0"/>
    <w:pPr>
      <w:numPr>
        <w:ilvl w:val="0"/>
        <w:numId w:val="19"/>
      </w:numPr>
      <w:jc w:val="center"/>
    </w:pPr>
    <w:rPr>
      <w:rFonts w:ascii="黑体" w:hAnsi="Times New Roman" w:eastAsia="黑体" w:cs="Times New Roman"/>
      <w:sz w:val="21"/>
      <w:lang w:val="en-US" w:eastAsia="zh-CN" w:bidi="ar-SA"/>
    </w:rPr>
  </w:style>
  <w:style w:type="paragraph" w:customStyle="1" w:styleId="118">
    <w:name w:val="标准文件_编号列项（三级）"/>
    <w:uiPriority w:val="0"/>
    <w:pPr>
      <w:numPr>
        <w:ilvl w:val="2"/>
        <w:numId w:val="13"/>
      </w:numPr>
    </w:pPr>
    <w:rPr>
      <w:rFonts w:ascii="宋体" w:hAnsi="Times New Roman" w:eastAsia="宋体" w:cs="Times New Roman"/>
      <w:sz w:val="21"/>
      <w:lang w:val="en-US" w:eastAsia="zh-CN" w:bidi="ar-SA"/>
    </w:rPr>
  </w:style>
  <w:style w:type="paragraph" w:customStyle="1" w:styleId="119">
    <w:name w:val="二级无标题条"/>
    <w:basedOn w:val="1"/>
    <w:uiPriority w:val="0"/>
    <w:pPr>
      <w:numPr>
        <w:ilvl w:val="3"/>
        <w:numId w:val="20"/>
      </w:numPr>
      <w:adjustRightInd/>
      <w:spacing w:line="240" w:lineRule="auto"/>
    </w:pPr>
    <w:rPr>
      <w:rFonts w:ascii="宋体" w:hAnsi="宋体"/>
      <w:szCs w:val="24"/>
    </w:rPr>
  </w:style>
  <w:style w:type="paragraph" w:customStyle="1" w:styleId="120">
    <w:name w:val="发布部门"/>
    <w:next w:val="57"/>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1">
    <w:name w:val="发布日期"/>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2">
    <w:name w:val="封面标准代替信息"/>
    <w:basedOn w:val="1"/>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3">
    <w:name w:val="封面标准名称"/>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4">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125">
    <w:name w:val="封面标准文稿类别"/>
    <w:uiPriority w:val="0"/>
    <w:pPr>
      <w:spacing w:before="440" w:line="400" w:lineRule="exact"/>
      <w:jc w:val="center"/>
    </w:pPr>
    <w:rPr>
      <w:rFonts w:ascii="宋体" w:hAnsi="Times New Roman" w:eastAsia="宋体" w:cs="Times New Roman"/>
      <w:sz w:val="24"/>
      <w:lang w:val="en-US" w:eastAsia="zh-CN" w:bidi="ar-SA"/>
    </w:rPr>
  </w:style>
  <w:style w:type="paragraph" w:customStyle="1" w:styleId="126">
    <w:name w:val="封面标准英文名称"/>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7">
    <w:name w:val="封面一致性程度标识"/>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8">
    <w:name w:val="封面正文"/>
    <w:uiPriority w:val="0"/>
    <w:pPr>
      <w:jc w:val="both"/>
    </w:pPr>
    <w:rPr>
      <w:rFonts w:ascii="Times New Roman" w:hAnsi="Times New Roman" w:eastAsia="宋体" w:cs="Times New Roman"/>
      <w:lang w:val="en-US" w:eastAsia="zh-CN" w:bidi="ar-SA"/>
    </w:rPr>
  </w:style>
  <w:style w:type="paragraph" w:customStyle="1" w:styleId="129">
    <w:name w:val="附录二级无标题条"/>
    <w:basedOn w:val="1"/>
    <w:next w:val="57"/>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0">
    <w:name w:val="附录三级无标题条"/>
    <w:basedOn w:val="129"/>
    <w:next w:val="57"/>
    <w:uiPriority w:val="0"/>
    <w:pPr>
      <w:outlineLvl w:val="4"/>
    </w:pPr>
  </w:style>
  <w:style w:type="paragraph" w:customStyle="1" w:styleId="131">
    <w:name w:val="附录四级无标题条"/>
    <w:basedOn w:val="130"/>
    <w:next w:val="57"/>
    <w:uiPriority w:val="0"/>
    <w:pPr>
      <w:outlineLvl w:val="5"/>
    </w:pPr>
  </w:style>
  <w:style w:type="paragraph" w:customStyle="1" w:styleId="132">
    <w:name w:val="附录图"/>
    <w:next w:val="57"/>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3">
    <w:name w:val="标准文件_一级项"/>
    <w:uiPriority w:val="0"/>
    <w:pPr>
      <w:numPr>
        <w:ilvl w:val="0"/>
        <w:numId w:val="21"/>
      </w:numPr>
    </w:pPr>
    <w:rPr>
      <w:rFonts w:ascii="宋体" w:hAnsi="Times New Roman" w:eastAsia="宋体" w:cs="Times New Roman"/>
      <w:sz w:val="21"/>
      <w:lang w:val="en-US" w:eastAsia="zh-CN" w:bidi="ar-SA"/>
    </w:rPr>
  </w:style>
  <w:style w:type="paragraph" w:customStyle="1" w:styleId="134">
    <w:name w:val="附录五级无标题条"/>
    <w:basedOn w:val="131"/>
    <w:next w:val="57"/>
    <w:uiPriority w:val="0"/>
    <w:pPr>
      <w:outlineLvl w:val="6"/>
    </w:pPr>
  </w:style>
  <w:style w:type="paragraph" w:customStyle="1" w:styleId="135">
    <w:name w:val="附录性质"/>
    <w:basedOn w:val="1"/>
    <w:uiPriority w:val="0"/>
    <w:pPr>
      <w:widowControl/>
      <w:adjustRightInd/>
      <w:jc w:val="center"/>
    </w:pPr>
    <w:rPr>
      <w:rFonts w:ascii="黑体" w:eastAsia="黑体"/>
    </w:rPr>
  </w:style>
  <w:style w:type="paragraph" w:customStyle="1" w:styleId="136">
    <w:name w:val="附录一级无标题条"/>
    <w:basedOn w:val="88"/>
    <w:next w:val="57"/>
    <w:uiPriority w:val="0"/>
    <w:pPr>
      <w:autoSpaceDN w:val="0"/>
      <w:outlineLvl w:val="2"/>
    </w:pPr>
    <w:rPr>
      <w:rFonts w:ascii="宋体" w:hAnsi="宋体" w:eastAsia="宋体"/>
    </w:rPr>
  </w:style>
  <w:style w:type="character" w:customStyle="1" w:styleId="137">
    <w:name w:val="个人答复风格"/>
    <w:uiPriority w:val="0"/>
    <w:rPr>
      <w:rFonts w:ascii="Arial" w:hAnsi="Arial" w:eastAsia="宋体" w:cs="Arial"/>
      <w:color w:val="auto"/>
      <w:spacing w:val="0"/>
      <w:sz w:val="20"/>
    </w:rPr>
  </w:style>
  <w:style w:type="character" w:customStyle="1" w:styleId="138">
    <w:name w:val="个人撰写风格"/>
    <w:uiPriority w:val="0"/>
    <w:rPr>
      <w:rFonts w:ascii="Arial" w:hAnsi="Arial" w:eastAsia="宋体" w:cs="Arial"/>
      <w:color w:val="auto"/>
      <w:spacing w:val="0"/>
      <w:sz w:val="20"/>
    </w:rPr>
  </w:style>
  <w:style w:type="paragraph" w:customStyle="1" w:styleId="139">
    <w:name w:val="脚注后续"/>
    <w:uiPriority w:val="0"/>
    <w:pPr>
      <w:ind w:left="350" w:leftChars="350"/>
      <w:jc w:val="both"/>
    </w:pPr>
    <w:rPr>
      <w:rFonts w:ascii="宋体" w:hAnsi="Times New Roman" w:eastAsia="宋体" w:cs="Times New Roman"/>
      <w:sz w:val="18"/>
      <w:lang w:val="en-US" w:eastAsia="zh-CN" w:bidi="ar-SA"/>
    </w:rPr>
  </w:style>
  <w:style w:type="paragraph" w:customStyle="1" w:styleId="140">
    <w:name w:val="列项——"/>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1">
    <w:name w:val="列项·"/>
    <w:basedOn w:val="57"/>
    <w:uiPriority w:val="0"/>
    <w:pPr>
      <w:tabs>
        <w:tab w:val="left" w:pos="840"/>
      </w:tabs>
    </w:pPr>
  </w:style>
  <w:style w:type="paragraph" w:customStyle="1" w:styleId="142">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143">
    <w:name w:val="目录 21"/>
    <w:basedOn w:val="1"/>
    <w:next w:val="1"/>
    <w:semiHidden/>
    <w:uiPriority w:val="0"/>
    <w:pPr>
      <w:adjustRightInd/>
      <w:spacing w:line="240" w:lineRule="auto"/>
      <w:jc w:val="left"/>
    </w:pPr>
    <w:rPr>
      <w:bCs/>
      <w:iCs/>
    </w:rPr>
  </w:style>
  <w:style w:type="paragraph" w:customStyle="1" w:styleId="144">
    <w:name w:val="目录 31"/>
    <w:basedOn w:val="1"/>
    <w:next w:val="1"/>
    <w:semiHidden/>
    <w:uiPriority w:val="0"/>
    <w:pPr>
      <w:spacing w:line="240" w:lineRule="auto"/>
    </w:pPr>
    <w:rPr>
      <w:rFonts w:ascii="宋体" w:hAnsi="宋体"/>
      <w:iCs/>
    </w:rPr>
  </w:style>
  <w:style w:type="paragraph" w:customStyle="1" w:styleId="145">
    <w:name w:val="目录 41"/>
    <w:basedOn w:val="1"/>
    <w:next w:val="1"/>
    <w:semiHidden/>
    <w:uiPriority w:val="0"/>
    <w:pPr>
      <w:adjustRightInd/>
      <w:spacing w:line="240" w:lineRule="auto"/>
      <w:jc w:val="left"/>
    </w:pPr>
  </w:style>
  <w:style w:type="paragraph" w:customStyle="1" w:styleId="146">
    <w:name w:val="目录 51"/>
    <w:basedOn w:val="1"/>
    <w:next w:val="1"/>
    <w:semiHidden/>
    <w:uiPriority w:val="0"/>
    <w:pPr>
      <w:spacing w:line="240" w:lineRule="auto"/>
    </w:pPr>
    <w:rPr>
      <w:rFonts w:ascii="宋体" w:hAnsi="宋体"/>
    </w:rPr>
  </w:style>
  <w:style w:type="paragraph" w:customStyle="1" w:styleId="147">
    <w:name w:val="目录 61"/>
    <w:basedOn w:val="1"/>
    <w:next w:val="1"/>
    <w:semiHidden/>
    <w:uiPriority w:val="0"/>
    <w:pPr>
      <w:adjustRightInd/>
      <w:spacing w:line="240" w:lineRule="auto"/>
      <w:jc w:val="left"/>
    </w:pPr>
  </w:style>
  <w:style w:type="paragraph" w:customStyle="1" w:styleId="148">
    <w:name w:val="目录 71"/>
    <w:basedOn w:val="147"/>
    <w:semiHidden/>
    <w:uiPriority w:val="0"/>
    <w:pPr>
      <w:ind w:left="1260"/>
    </w:pPr>
  </w:style>
  <w:style w:type="paragraph" w:customStyle="1" w:styleId="149">
    <w:name w:val="目录 81"/>
    <w:basedOn w:val="148"/>
    <w:semiHidden/>
    <w:uiPriority w:val="0"/>
    <w:pPr>
      <w:ind w:left="1470"/>
    </w:pPr>
  </w:style>
  <w:style w:type="paragraph" w:customStyle="1" w:styleId="150">
    <w:name w:val="目录 91"/>
    <w:basedOn w:val="149"/>
    <w:semiHidden/>
    <w:uiPriority w:val="0"/>
    <w:pPr>
      <w:ind w:left="1680"/>
    </w:pPr>
  </w:style>
  <w:style w:type="paragraph" w:customStyle="1" w:styleId="151">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152">
    <w:name w:val="其他发布部门"/>
    <w:basedOn w:val="120"/>
    <w:uiPriority w:val="0"/>
    <w:pPr>
      <w:spacing w:line="0" w:lineRule="atLeast"/>
    </w:pPr>
    <w:rPr>
      <w:rFonts w:ascii="黑体" w:eastAsia="黑体"/>
      <w:b w:val="0"/>
    </w:rPr>
  </w:style>
  <w:style w:type="paragraph" w:customStyle="1" w:styleId="153">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4">
    <w:name w:val="三级无标题条"/>
    <w:basedOn w:val="1"/>
    <w:uiPriority w:val="0"/>
    <w:pPr>
      <w:numPr>
        <w:ilvl w:val="4"/>
        <w:numId w:val="20"/>
      </w:numPr>
      <w:adjustRightInd/>
      <w:spacing w:line="240" w:lineRule="auto"/>
    </w:pPr>
    <w:rPr>
      <w:rFonts w:ascii="宋体" w:hAnsi="宋体"/>
      <w:szCs w:val="24"/>
    </w:rPr>
  </w:style>
  <w:style w:type="paragraph" w:customStyle="1" w:styleId="155">
    <w:name w:val="实施日期"/>
    <w:basedOn w:val="121"/>
    <w:uiPriority w:val="0"/>
    <w:pPr>
      <w:framePr w:hSpace="0" w:xAlign="right"/>
      <w:jc w:val="right"/>
    </w:pPr>
  </w:style>
  <w:style w:type="paragraph" w:customStyle="1" w:styleId="156">
    <w:name w:val="四级无标题条"/>
    <w:basedOn w:val="1"/>
    <w:uiPriority w:val="0"/>
    <w:pPr>
      <w:numPr>
        <w:ilvl w:val="5"/>
        <w:numId w:val="20"/>
      </w:numPr>
      <w:adjustRightInd/>
      <w:spacing w:line="240" w:lineRule="auto"/>
    </w:pPr>
    <w:rPr>
      <w:rFonts w:ascii="宋体" w:hAnsi="宋体"/>
      <w:szCs w:val="24"/>
    </w:rPr>
  </w:style>
  <w:style w:type="paragraph" w:customStyle="1" w:styleId="157">
    <w:name w:val="文献分类号"/>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8">
    <w:name w:val="无标题条"/>
    <w:next w:val="57"/>
    <w:uiPriority w:val="0"/>
    <w:pPr>
      <w:jc w:val="both"/>
    </w:pPr>
    <w:rPr>
      <w:rFonts w:ascii="宋体" w:hAnsi="宋体" w:eastAsia="宋体" w:cs="Times New Roman"/>
      <w:sz w:val="21"/>
      <w:lang w:val="en-US" w:eastAsia="zh-CN" w:bidi="ar-SA"/>
    </w:rPr>
  </w:style>
  <w:style w:type="paragraph" w:customStyle="1" w:styleId="159">
    <w:name w:val="五级无标题条"/>
    <w:basedOn w:val="1"/>
    <w:uiPriority w:val="0"/>
    <w:pPr>
      <w:numPr>
        <w:ilvl w:val="6"/>
        <w:numId w:val="20"/>
      </w:numPr>
      <w:adjustRightInd/>
    </w:pPr>
    <w:rPr>
      <w:szCs w:val="24"/>
    </w:rPr>
  </w:style>
  <w:style w:type="paragraph" w:customStyle="1" w:styleId="160">
    <w:name w:val="一级无标题条"/>
    <w:basedOn w:val="1"/>
    <w:uiPriority w:val="0"/>
    <w:pPr>
      <w:numPr>
        <w:ilvl w:val="2"/>
        <w:numId w:val="20"/>
      </w:numPr>
      <w:adjustRightInd/>
      <w:spacing w:before="10" w:after="10" w:line="240" w:lineRule="auto"/>
    </w:pPr>
    <w:rPr>
      <w:rFonts w:ascii="宋体" w:hAnsi="宋体"/>
      <w:szCs w:val="24"/>
    </w:rPr>
  </w:style>
  <w:style w:type="paragraph" w:customStyle="1" w:styleId="161">
    <w:name w:val="注:后续"/>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2">
    <w:name w:val="注×:后续"/>
    <w:basedOn w:val="161"/>
    <w:uiPriority w:val="0"/>
    <w:pPr>
      <w:ind w:left="1406" w:leftChars="0" w:hanging="499" w:firstLineChars="0"/>
    </w:pPr>
  </w:style>
  <w:style w:type="paragraph" w:customStyle="1" w:styleId="163">
    <w:name w:val="标准文件_一级无标题"/>
    <w:basedOn w:val="106"/>
    <w:qFormat/>
    <w:uiPriority w:val="0"/>
    <w:pPr>
      <w:spacing w:before="0" w:beforeLines="0" w:after="0" w:afterLines="0"/>
      <w:outlineLvl w:val="9"/>
    </w:pPr>
    <w:rPr>
      <w:rFonts w:ascii="宋体" w:eastAsia="宋体"/>
    </w:rPr>
  </w:style>
  <w:style w:type="paragraph" w:customStyle="1" w:styleId="164">
    <w:name w:val="标准文件_五级无标题"/>
    <w:basedOn w:val="104"/>
    <w:qFormat/>
    <w:uiPriority w:val="0"/>
    <w:pPr>
      <w:spacing w:before="0" w:beforeLines="0" w:after="0" w:afterLines="0"/>
      <w:outlineLvl w:val="9"/>
    </w:pPr>
    <w:rPr>
      <w:rFonts w:ascii="宋体" w:eastAsia="宋体"/>
    </w:rPr>
  </w:style>
  <w:style w:type="paragraph" w:customStyle="1" w:styleId="165">
    <w:name w:val="标准文件_三级无标题"/>
    <w:basedOn w:val="95"/>
    <w:qFormat/>
    <w:uiPriority w:val="0"/>
    <w:pPr>
      <w:spacing w:before="0" w:beforeLines="0" w:after="0" w:afterLines="0"/>
      <w:outlineLvl w:val="9"/>
    </w:pPr>
    <w:rPr>
      <w:rFonts w:ascii="宋体" w:eastAsia="宋体"/>
    </w:rPr>
  </w:style>
  <w:style w:type="paragraph" w:customStyle="1" w:styleId="166">
    <w:name w:val="标准文件_二级无标题"/>
    <w:basedOn w:val="66"/>
    <w:qFormat/>
    <w:uiPriority w:val="0"/>
    <w:pPr>
      <w:spacing w:before="0" w:beforeLines="0" w:after="0" w:afterLines="0"/>
      <w:outlineLvl w:val="9"/>
    </w:pPr>
    <w:rPr>
      <w:rFonts w:ascii="宋体" w:eastAsia="宋体"/>
    </w:rPr>
  </w:style>
  <w:style w:type="paragraph" w:customStyle="1" w:styleId="167">
    <w:name w:val="标准_四级无标题"/>
    <w:basedOn w:val="99"/>
    <w:next w:val="57"/>
    <w:qFormat/>
    <w:uiPriority w:val="0"/>
    <w:rPr>
      <w:rFonts w:eastAsia="宋体"/>
    </w:rPr>
  </w:style>
  <w:style w:type="paragraph" w:customStyle="1" w:styleId="168">
    <w:name w:val="标准文件_四级无标题"/>
    <w:basedOn w:val="99"/>
    <w:qFormat/>
    <w:uiPriority w:val="0"/>
    <w:pPr>
      <w:spacing w:before="0" w:beforeLines="0" w:after="0" w:afterLines="0"/>
      <w:outlineLvl w:val="9"/>
    </w:pPr>
    <w:rPr>
      <w:rFonts w:ascii="宋体" w:hAnsi="黑体" w:eastAsia="宋体"/>
      <w:szCs w:val="52"/>
    </w:rPr>
  </w:style>
  <w:style w:type="paragraph" w:customStyle="1" w:styleId="169">
    <w:name w:val="标准文件_大写罗马数字编号列项"/>
    <w:basedOn w:val="57"/>
    <w:uiPriority w:val="0"/>
    <w:pPr>
      <w:numPr>
        <w:ilvl w:val="0"/>
        <w:numId w:val="23"/>
      </w:numPr>
      <w:ind w:firstLine="0" w:firstLineChars="0"/>
    </w:pPr>
    <w:rPr>
      <w:rFonts w:ascii="Times New Roman" w:cs="Arial"/>
      <w:szCs w:val="28"/>
    </w:rPr>
  </w:style>
  <w:style w:type="paragraph" w:customStyle="1" w:styleId="170">
    <w:name w:val="标准文件_小写罗马数字编号列项"/>
    <w:basedOn w:val="57"/>
    <w:uiPriority w:val="0"/>
    <w:pPr>
      <w:numPr>
        <w:ilvl w:val="0"/>
        <w:numId w:val="24"/>
      </w:numPr>
      <w:ind w:firstLine="0" w:firstLineChars="0"/>
    </w:pPr>
    <w:rPr>
      <w:rFonts w:cs="Arial"/>
      <w:szCs w:val="28"/>
    </w:rPr>
  </w:style>
  <w:style w:type="paragraph" w:customStyle="1" w:styleId="171">
    <w:name w:val="标准文件_附录标题"/>
    <w:basedOn w:val="77"/>
    <w:qFormat/>
    <w:uiPriority w:val="0"/>
    <w:pPr>
      <w:numPr>
        <w:numId w:val="0"/>
      </w:numPr>
      <w:spacing w:after="280"/>
      <w:outlineLvl w:val="9"/>
    </w:pPr>
  </w:style>
  <w:style w:type="paragraph" w:customStyle="1" w:styleId="172">
    <w:name w:val="标准文件_二级项"/>
    <w:uiPriority w:val="0"/>
    <w:rPr>
      <w:rFonts w:ascii="宋体" w:hAnsi="Times New Roman" w:eastAsia="宋体" w:cs="Times New Roman"/>
      <w:sz w:val="21"/>
      <w:lang w:val="en-US" w:eastAsia="zh-CN" w:bidi="ar-SA"/>
    </w:rPr>
  </w:style>
  <w:style w:type="paragraph" w:customStyle="1" w:styleId="173">
    <w:name w:val="标准文件_三级项"/>
    <w:basedOn w:val="1"/>
    <w:uiPriority w:val="0"/>
    <w:pPr>
      <w:numPr>
        <w:ilvl w:val="2"/>
        <w:numId w:val="21"/>
      </w:numPr>
      <w:spacing w:line="536870612" w:lineRule="auto"/>
    </w:pPr>
    <w:rPr>
      <w:rFonts w:ascii="Times New Roman" w:hAnsi="Times New Roman"/>
    </w:rPr>
  </w:style>
  <w:style w:type="paragraph" w:customStyle="1" w:styleId="174">
    <w:name w:val="图表脚注说明"/>
    <w:basedOn w:val="1"/>
    <w:next w:val="57"/>
    <w:uiPriority w:val="0"/>
    <w:pPr>
      <w:numPr>
        <w:ilvl w:val="0"/>
        <w:numId w:val="25"/>
      </w:numPr>
      <w:adjustRightInd/>
      <w:spacing w:line="240" w:lineRule="auto"/>
      <w:ind w:left="783"/>
    </w:pPr>
    <w:rPr>
      <w:rFonts w:ascii="宋体" w:hAnsi="Times New Roman"/>
      <w:sz w:val="18"/>
      <w:szCs w:val="18"/>
    </w:rPr>
  </w:style>
  <w:style w:type="paragraph" w:customStyle="1" w:styleId="175">
    <w:name w:val="标准文件_字母编号列项（一级）"/>
    <w:uiPriority w:val="0"/>
    <w:pPr>
      <w:numPr>
        <w:ilvl w:val="0"/>
        <w:numId w:val="13"/>
      </w:numPr>
      <w:jc w:val="both"/>
    </w:pPr>
    <w:rPr>
      <w:rFonts w:ascii="宋体" w:hAnsi="Times New Roman" w:eastAsia="宋体" w:cs="Times New Roman"/>
      <w:sz w:val="21"/>
      <w:lang w:val="en-US" w:eastAsia="zh-CN" w:bidi="ar-SA"/>
    </w:rPr>
  </w:style>
  <w:style w:type="paragraph" w:customStyle="1" w:styleId="176">
    <w:name w:val="标准文件_索引字母"/>
    <w:next w:val="57"/>
    <w:qFormat/>
    <w:uiPriority w:val="0"/>
    <w:pPr>
      <w:jc w:val="center"/>
    </w:pPr>
    <w:rPr>
      <w:rFonts w:ascii="宋体" w:hAnsi="宋体" w:eastAsia="Times New Roman" w:cs="Times New Roman"/>
      <w:b/>
      <w:kern w:val="2"/>
      <w:sz w:val="21"/>
      <w:lang w:val="en-US" w:eastAsia="zh-CN" w:bidi="ar-SA"/>
    </w:rPr>
  </w:style>
  <w:style w:type="paragraph" w:customStyle="1" w:styleId="177">
    <w:name w:val="标准文件_附录前"/>
    <w:next w:val="57"/>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8">
    <w:name w:val="标准文件_正文标准名称"/>
    <w:qFormat/>
    <w:uiPriority w:val="0"/>
    <w:pPr>
      <w:spacing w:before="20" w:beforeLines="20" w:after="640" w:line="400" w:lineRule="exact"/>
      <w:jc w:val="center"/>
    </w:pPr>
    <w:rPr>
      <w:rFonts w:ascii="黑体" w:hAnsi="黑体" w:eastAsia="黑体" w:cs="Times New Roman"/>
      <w:kern w:val="2"/>
      <w:sz w:val="32"/>
      <w:szCs w:val="32"/>
      <w:lang w:val="en-US" w:eastAsia="zh-CN" w:bidi="ar-SA"/>
    </w:rPr>
  </w:style>
  <w:style w:type="paragraph" w:customStyle="1" w:styleId="179">
    <w:name w:val="标准文件_表格"/>
    <w:basedOn w:val="57"/>
    <w:qFormat/>
    <w:uiPriority w:val="0"/>
    <w:pPr>
      <w:ind w:firstLine="0" w:firstLineChars="0"/>
      <w:jc w:val="center"/>
    </w:pPr>
    <w:rPr>
      <w:sz w:val="18"/>
    </w:rPr>
  </w:style>
  <w:style w:type="paragraph" w:customStyle="1" w:styleId="180">
    <w:name w:val="标准文件_注："/>
    <w:next w:val="57"/>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注×："/>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示例："/>
    <w:next w:val="183"/>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3">
    <w:name w:val="标准文件_示例内容"/>
    <w:basedOn w:val="57"/>
    <w:qFormat/>
    <w:uiPriority w:val="0"/>
    <w:pPr>
      <w:ind w:firstLine="420"/>
    </w:pPr>
    <w:rPr>
      <w:sz w:val="18"/>
    </w:rPr>
  </w:style>
  <w:style w:type="paragraph" w:customStyle="1" w:styleId="184">
    <w:name w:val="标准文件_示例×："/>
    <w:basedOn w:val="1"/>
    <w:next w:val="183"/>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5">
    <w:name w:val="标准文件_段 Char"/>
    <w:link w:val="57"/>
    <w:qFormat/>
    <w:uiPriority w:val="0"/>
    <w:rPr>
      <w:rFonts w:ascii="宋体" w:hAnsi="Times New Roman"/>
      <w:sz w:val="21"/>
    </w:rPr>
  </w:style>
  <w:style w:type="paragraph" w:customStyle="1" w:styleId="186">
    <w:name w:val="标准文件_表格续"/>
    <w:basedOn w:val="57"/>
    <w:next w:val="57"/>
    <w:qFormat/>
    <w:uiPriority w:val="0"/>
    <w:pPr>
      <w:jc w:val="center"/>
    </w:pPr>
    <w:rPr>
      <w:rFonts w:ascii="黑体" w:hAnsi="黑体" w:eastAsia="黑体"/>
    </w:rPr>
  </w:style>
  <w:style w:type="character" w:styleId="187">
    <w:name w:val="Placeholder Text"/>
    <w:basedOn w:val="29"/>
    <w:semiHidden/>
    <w:uiPriority w:val="99"/>
    <w:rPr>
      <w:color w:val="808080"/>
    </w:rPr>
  </w:style>
  <w:style w:type="paragraph" w:customStyle="1" w:styleId="188">
    <w:name w:val="标准文件_二级项2"/>
    <w:basedOn w:val="57"/>
    <w:qFormat/>
    <w:uiPriority w:val="0"/>
    <w:pPr>
      <w:numPr>
        <w:ilvl w:val="1"/>
        <w:numId w:val="21"/>
      </w:numPr>
      <w:ind w:left="1271" w:hanging="420" w:firstLineChars="0"/>
    </w:pPr>
  </w:style>
  <w:style w:type="paragraph" w:customStyle="1" w:styleId="189">
    <w:name w:val="标准文件_三级项2"/>
    <w:basedOn w:val="57"/>
    <w:qFormat/>
    <w:uiPriority w:val="0"/>
    <w:pPr>
      <w:numPr>
        <w:ilvl w:val="0"/>
        <w:numId w:val="30"/>
      </w:numPr>
      <w:spacing w:line="300" w:lineRule="exact"/>
      <w:ind w:left="1276" w:hanging="425" w:firstLineChars="0"/>
    </w:pPr>
    <w:rPr>
      <w:rFonts w:ascii="Times New Roman"/>
    </w:rPr>
  </w:style>
  <w:style w:type="paragraph" w:customStyle="1" w:styleId="190">
    <w:name w:val="标准文件_一级项2"/>
    <w:basedOn w:val="57"/>
    <w:qFormat/>
    <w:uiPriority w:val="0"/>
    <w:pPr>
      <w:numPr>
        <w:ilvl w:val="0"/>
        <w:numId w:val="31"/>
      </w:numPr>
      <w:spacing w:line="300" w:lineRule="exact"/>
      <w:ind w:left="1271" w:hanging="420" w:firstLineChars="0"/>
    </w:pPr>
    <w:rPr>
      <w:rFonts w:ascii="Times New Roman"/>
    </w:rPr>
  </w:style>
  <w:style w:type="paragraph" w:customStyle="1" w:styleId="191">
    <w:name w:val="标准文件_提示"/>
    <w:basedOn w:val="57"/>
    <w:next w:val="57"/>
    <w:qFormat/>
    <w:uiPriority w:val="0"/>
    <w:pPr>
      <w:ind w:firstLine="420"/>
    </w:pPr>
    <w:rPr>
      <w:rFonts w:ascii="黑体" w:eastAsia="黑体"/>
    </w:rPr>
  </w:style>
  <w:style w:type="character" w:customStyle="1" w:styleId="192">
    <w:name w:val="标准文件_来源"/>
    <w:basedOn w:val="29"/>
    <w:qFormat/>
    <w:uiPriority w:val="1"/>
    <w:rPr>
      <w:rFonts w:eastAsia="宋体"/>
      <w:sz w:val="21"/>
    </w:rPr>
  </w:style>
  <w:style w:type="paragraph" w:customStyle="1" w:styleId="193">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4">
    <w:name w:val="其他发布日期"/>
    <w:basedOn w:val="121"/>
    <w:uiPriority w:val="0"/>
    <w:pPr>
      <w:framePr w:w="3997" w:h="471" w:hRule="exact" w:hSpace="0" w:vSpace="181" w:vAnchor="page" w:hAnchor="page" w:x="1419" w:y="14097"/>
    </w:pPr>
  </w:style>
  <w:style w:type="paragraph" w:customStyle="1" w:styleId="195">
    <w:name w:val="其他实施日期"/>
    <w:basedOn w:val="155"/>
    <w:uiPriority w:val="0"/>
    <w:pPr>
      <w:framePr w:w="3997" w:h="471" w:hRule="exact" w:vSpace="181" w:vAnchor="page" w:hAnchor="page" w:x="7089" w:y="14097"/>
    </w:pPr>
  </w:style>
  <w:style w:type="paragraph" w:customStyle="1" w:styleId="196">
    <w:name w:val="标准文件_文件编号"/>
    <w:basedOn w:val="57"/>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7">
    <w:name w:val="标准文件_替换文件编号"/>
    <w:basedOn w:val="196"/>
    <w:qFormat/>
    <w:uiPriority w:val="0"/>
    <w:pPr>
      <w:spacing w:before="57"/>
    </w:pPr>
    <w:rPr>
      <w:sz w:val="21"/>
    </w:rPr>
  </w:style>
  <w:style w:type="paragraph" w:customStyle="1" w:styleId="198">
    <w:name w:val="标准文件_文件名称"/>
    <w:basedOn w:val="57"/>
    <w:next w:val="57"/>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9">
    <w:name w:val="标准文件_附录图标号"/>
    <w:basedOn w:val="57"/>
    <w:next w:val="57"/>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0">
    <w:name w:val="标准文件_附录表标号"/>
    <w:basedOn w:val="57"/>
    <w:next w:val="57"/>
    <w:qFormat/>
    <w:uiPriority w:val="0"/>
    <w:pPr>
      <w:numPr>
        <w:ilvl w:val="0"/>
        <w:numId w:val="5"/>
      </w:numPr>
      <w:spacing w:line="14" w:lineRule="exact"/>
      <w:ind w:firstLine="0" w:firstLineChars="0"/>
      <w:jc w:val="center"/>
    </w:pPr>
    <w:rPr>
      <w:rFonts w:eastAsia="黑体"/>
      <w:vanish/>
      <w:sz w:val="2"/>
    </w:rPr>
  </w:style>
  <w:style w:type="paragraph" w:customStyle="1" w:styleId="201">
    <w:name w:val="标准文件_引言一级条标题"/>
    <w:basedOn w:val="57"/>
    <w:next w:val="57"/>
    <w:qFormat/>
    <w:uiPriority w:val="0"/>
    <w:pPr>
      <w:numPr>
        <w:ilvl w:val="1"/>
        <w:numId w:val="8"/>
      </w:numPr>
      <w:spacing w:before="50" w:beforeLines="50" w:after="50" w:afterLines="50"/>
      <w:ind w:firstLineChars="0"/>
    </w:pPr>
    <w:rPr>
      <w:rFonts w:ascii="黑体" w:eastAsia="黑体"/>
    </w:rPr>
  </w:style>
  <w:style w:type="paragraph" w:customStyle="1" w:styleId="202">
    <w:name w:val="标准文件_引言二级条标题"/>
    <w:basedOn w:val="57"/>
    <w:next w:val="57"/>
    <w:qFormat/>
    <w:uiPriority w:val="0"/>
    <w:pPr>
      <w:numPr>
        <w:ilvl w:val="2"/>
        <w:numId w:val="8"/>
      </w:numPr>
      <w:spacing w:before="50" w:beforeLines="50" w:after="50" w:afterLines="50"/>
      <w:ind w:firstLineChars="0"/>
    </w:pPr>
    <w:rPr>
      <w:rFonts w:ascii="黑体" w:eastAsia="黑体"/>
    </w:rPr>
  </w:style>
  <w:style w:type="paragraph" w:customStyle="1" w:styleId="203">
    <w:name w:val="标准文件_引言三级条标题"/>
    <w:basedOn w:val="57"/>
    <w:next w:val="57"/>
    <w:qFormat/>
    <w:uiPriority w:val="0"/>
    <w:pPr>
      <w:numPr>
        <w:ilvl w:val="3"/>
        <w:numId w:val="8"/>
      </w:numPr>
      <w:spacing w:before="50" w:beforeLines="50" w:after="50" w:afterLines="50"/>
      <w:ind w:firstLineChars="0"/>
    </w:pPr>
    <w:rPr>
      <w:rFonts w:ascii="黑体" w:eastAsia="黑体"/>
    </w:rPr>
  </w:style>
  <w:style w:type="paragraph" w:customStyle="1" w:styleId="204">
    <w:name w:val="标准文件_引言四级条标题"/>
    <w:basedOn w:val="57"/>
    <w:next w:val="57"/>
    <w:qFormat/>
    <w:uiPriority w:val="0"/>
    <w:pPr>
      <w:numPr>
        <w:ilvl w:val="4"/>
        <w:numId w:val="8"/>
      </w:numPr>
      <w:spacing w:before="50" w:beforeLines="50" w:after="50" w:afterLines="50"/>
      <w:ind w:firstLineChars="0"/>
    </w:pPr>
    <w:rPr>
      <w:rFonts w:ascii="黑体" w:eastAsia="黑体"/>
    </w:rPr>
  </w:style>
  <w:style w:type="paragraph" w:customStyle="1" w:styleId="205">
    <w:name w:val="标准文件_引言五级条标题"/>
    <w:basedOn w:val="57"/>
    <w:next w:val="57"/>
    <w:qFormat/>
    <w:uiPriority w:val="0"/>
    <w:pPr>
      <w:numPr>
        <w:ilvl w:val="5"/>
        <w:numId w:val="8"/>
      </w:numPr>
      <w:spacing w:before="50" w:beforeLines="50" w:after="50" w:afterLines="50"/>
      <w:ind w:firstLineChars="0"/>
    </w:pPr>
    <w:rPr>
      <w:rFonts w:ascii="黑体" w:eastAsia="黑体"/>
    </w:rPr>
  </w:style>
  <w:style w:type="paragraph" w:customStyle="1" w:styleId="206">
    <w:name w:val="标准文件_注后"/>
    <w:basedOn w:val="57"/>
    <w:qFormat/>
    <w:uiPriority w:val="0"/>
    <w:pPr>
      <w:ind w:left="811" w:firstLine="0" w:firstLineChars="0"/>
    </w:pPr>
    <w:rPr>
      <w:sz w:val="18"/>
    </w:rPr>
  </w:style>
  <w:style w:type="paragraph" w:customStyle="1" w:styleId="207">
    <w:name w:val="标准文件_注X后"/>
    <w:basedOn w:val="57"/>
    <w:qFormat/>
    <w:uiPriority w:val="0"/>
    <w:pPr>
      <w:ind w:left="811" w:firstLine="0" w:firstLineChars="0"/>
    </w:pPr>
    <w:rPr>
      <w:sz w:val="18"/>
    </w:rPr>
  </w:style>
  <w:style w:type="paragraph" w:customStyle="1" w:styleId="208">
    <w:name w:val="标准文件_示例后"/>
    <w:basedOn w:val="57"/>
    <w:qFormat/>
    <w:uiPriority w:val="0"/>
    <w:pPr>
      <w:ind w:left="964" w:firstLine="0" w:firstLineChars="0"/>
    </w:pPr>
    <w:rPr>
      <w:sz w:val="18"/>
    </w:rPr>
  </w:style>
  <w:style w:type="paragraph" w:customStyle="1" w:styleId="209">
    <w:name w:val="标准文件_示例X后"/>
    <w:basedOn w:val="57"/>
    <w:link w:val="210"/>
    <w:qFormat/>
    <w:uiPriority w:val="0"/>
    <w:pPr>
      <w:ind w:left="1049" w:firstLine="0" w:firstLineChars="0"/>
    </w:pPr>
    <w:rPr>
      <w:sz w:val="18"/>
    </w:rPr>
  </w:style>
  <w:style w:type="character" w:customStyle="1" w:styleId="210">
    <w:name w:val="标准文件_示例X后 字符"/>
    <w:basedOn w:val="185"/>
    <w:link w:val="209"/>
    <w:uiPriority w:val="0"/>
    <w:rPr>
      <w:rFonts w:ascii="宋体" w:hAnsi="Times New Roman"/>
      <w:sz w:val="18"/>
    </w:rPr>
  </w:style>
  <w:style w:type="paragraph" w:customStyle="1" w:styleId="211">
    <w:name w:val="标准文件_索引项"/>
    <w:basedOn w:val="57"/>
    <w:next w:val="57"/>
    <w:qFormat/>
    <w:uiPriority w:val="0"/>
    <w:pPr>
      <w:tabs>
        <w:tab w:val="right" w:leader="dot" w:pos="9356"/>
      </w:tabs>
      <w:ind w:left="210" w:hanging="210" w:firstLineChars="0"/>
      <w:jc w:val="left"/>
    </w:pPr>
  </w:style>
  <w:style w:type="paragraph" w:customStyle="1" w:styleId="212">
    <w:name w:val="标准文件_附录一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二级无标题"/>
    <w:basedOn w:val="80"/>
    <w:uiPriority w:val="0"/>
    <w:pPr>
      <w:spacing w:before="0" w:beforeLines="0" w:after="0" w:afterLines="0" w:line="276" w:lineRule="auto"/>
      <w:outlineLvl w:val="9"/>
    </w:pPr>
    <w:rPr>
      <w:rFonts w:ascii="宋体" w:eastAsia="宋体"/>
    </w:rPr>
  </w:style>
  <w:style w:type="paragraph" w:customStyle="1" w:styleId="214">
    <w:name w:val="标准文件_附录三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四级无标题"/>
    <w:basedOn w:val="83"/>
    <w:qFormat/>
    <w:uiPriority w:val="0"/>
    <w:pPr>
      <w:spacing w:before="0" w:beforeLines="0" w:after="0" w:afterLines="0" w:line="276" w:lineRule="auto"/>
      <w:outlineLvl w:val="9"/>
    </w:pPr>
    <w:rPr>
      <w:rFonts w:ascii="宋体" w:eastAsia="宋体"/>
    </w:rPr>
  </w:style>
  <w:style w:type="paragraph" w:customStyle="1" w:styleId="216">
    <w:name w:val="标准文件_附录五级无标题"/>
    <w:basedOn w:val="85"/>
    <w:qFormat/>
    <w:uiPriority w:val="0"/>
    <w:pPr>
      <w:spacing w:before="0" w:beforeLines="0" w:after="0" w:afterLines="0" w:line="276" w:lineRule="auto"/>
      <w:outlineLvl w:val="9"/>
    </w:pPr>
    <w:rPr>
      <w:rFonts w:ascii="宋体" w:eastAsia="宋体"/>
    </w:rPr>
  </w:style>
  <w:style w:type="paragraph" w:customStyle="1" w:styleId="217">
    <w:name w:val="标准文件_引言一级无标题"/>
    <w:basedOn w:val="201"/>
    <w:next w:val="57"/>
    <w:qFormat/>
    <w:uiPriority w:val="0"/>
    <w:pPr>
      <w:spacing w:before="0" w:beforeLines="0" w:after="0" w:afterLines="0" w:line="276" w:lineRule="auto"/>
    </w:pPr>
    <w:rPr>
      <w:rFonts w:ascii="宋体" w:eastAsia="宋体"/>
    </w:rPr>
  </w:style>
  <w:style w:type="paragraph" w:customStyle="1" w:styleId="218">
    <w:name w:val="标准文件_引言二级无标题"/>
    <w:basedOn w:val="202"/>
    <w:next w:val="57"/>
    <w:qFormat/>
    <w:uiPriority w:val="0"/>
    <w:pPr>
      <w:spacing w:before="0" w:beforeLines="0" w:after="0" w:afterLines="0" w:line="276" w:lineRule="auto"/>
    </w:pPr>
    <w:rPr>
      <w:rFonts w:ascii="宋体" w:eastAsia="宋体"/>
    </w:rPr>
  </w:style>
  <w:style w:type="paragraph" w:customStyle="1" w:styleId="219">
    <w:name w:val="标准文件_引言三级无标题"/>
    <w:basedOn w:val="203"/>
    <w:next w:val="57"/>
    <w:qFormat/>
    <w:uiPriority w:val="0"/>
    <w:pPr>
      <w:spacing w:before="0" w:beforeLines="0" w:after="0" w:afterLines="0" w:line="276" w:lineRule="auto"/>
    </w:pPr>
    <w:rPr>
      <w:rFonts w:ascii="宋体" w:eastAsia="宋体"/>
    </w:rPr>
  </w:style>
  <w:style w:type="paragraph" w:customStyle="1" w:styleId="220">
    <w:name w:val="标准文件_引言四级无标题"/>
    <w:basedOn w:val="204"/>
    <w:next w:val="57"/>
    <w:qFormat/>
    <w:uiPriority w:val="0"/>
    <w:pPr>
      <w:spacing w:before="0" w:beforeLines="0" w:after="0" w:afterLines="0" w:line="276" w:lineRule="auto"/>
    </w:pPr>
    <w:rPr>
      <w:rFonts w:ascii="宋体" w:eastAsia="宋体"/>
    </w:rPr>
  </w:style>
  <w:style w:type="paragraph" w:customStyle="1" w:styleId="221">
    <w:name w:val="标准文件_引言五级无标题"/>
    <w:basedOn w:val="205"/>
    <w:next w:val="57"/>
    <w:qFormat/>
    <w:uiPriority w:val="0"/>
    <w:pPr>
      <w:spacing w:before="0" w:beforeLines="0" w:after="0" w:afterLines="0" w:line="276" w:lineRule="auto"/>
    </w:pPr>
    <w:rPr>
      <w:rFonts w:ascii="宋体" w:eastAsia="宋体"/>
    </w:rPr>
  </w:style>
  <w:style w:type="paragraph" w:customStyle="1" w:styleId="222">
    <w:name w:val="标准文件_索引标题"/>
    <w:basedOn w:val="64"/>
    <w:next w:val="57"/>
    <w:qFormat/>
    <w:uiPriority w:val="0"/>
    <w:rPr>
      <w:rFonts w:hAnsi="黑体"/>
    </w:rPr>
  </w:style>
  <w:style w:type="paragraph" w:customStyle="1" w:styleId="223">
    <w:name w:val="标准文件_脚注内容"/>
    <w:basedOn w:val="57"/>
    <w:qFormat/>
    <w:uiPriority w:val="0"/>
    <w:pPr>
      <w:ind w:left="400" w:leftChars="200" w:hanging="200" w:hangingChars="200"/>
    </w:pPr>
    <w:rPr>
      <w:sz w:val="15"/>
    </w:rPr>
  </w:style>
  <w:style w:type="paragraph" w:customStyle="1" w:styleId="224">
    <w:name w:val="标准文件_术语条一"/>
    <w:basedOn w:val="163"/>
    <w:next w:val="57"/>
    <w:qFormat/>
    <w:uiPriority w:val="0"/>
  </w:style>
  <w:style w:type="paragraph" w:customStyle="1" w:styleId="225">
    <w:name w:val="标准文件_术语条二"/>
    <w:basedOn w:val="166"/>
    <w:next w:val="57"/>
    <w:qFormat/>
    <w:uiPriority w:val="0"/>
  </w:style>
  <w:style w:type="paragraph" w:customStyle="1" w:styleId="226">
    <w:name w:val="标准文件_术语条三"/>
    <w:basedOn w:val="165"/>
    <w:next w:val="57"/>
    <w:qFormat/>
    <w:uiPriority w:val="0"/>
  </w:style>
  <w:style w:type="paragraph" w:customStyle="1" w:styleId="227">
    <w:name w:val="标准文件_术语条四"/>
    <w:basedOn w:val="168"/>
    <w:next w:val="57"/>
    <w:qFormat/>
    <w:uiPriority w:val="0"/>
  </w:style>
  <w:style w:type="paragraph" w:customStyle="1" w:styleId="228">
    <w:name w:val="标准文件_术语条五"/>
    <w:basedOn w:val="164"/>
    <w:next w:val="57"/>
    <w:qFormat/>
    <w:uiPriority w:val="0"/>
  </w:style>
  <w:style w:type="paragraph" w:customStyle="1" w:styleId="229">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0">
    <w:name w:val="发布"/>
    <w:basedOn w:val="29"/>
    <w:uiPriority w:val="0"/>
    <w:rPr>
      <w:rFonts w:ascii="黑体" w:eastAsia="黑体"/>
      <w:spacing w:val="85"/>
      <w:w w:val="100"/>
      <w:position w:val="3"/>
      <w:sz w:val="28"/>
      <w:szCs w:val="28"/>
    </w:rPr>
  </w:style>
  <w:style w:type="paragraph" w:customStyle="1" w:styleId="231">
    <w:name w:val="段"/>
    <w:link w:val="232"/>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2">
    <w:name w:val="段 Char"/>
    <w:basedOn w:val="29"/>
    <w:link w:val="231"/>
    <w:qFormat/>
    <w:uiPriority w:val="0"/>
    <w:rPr>
      <w:rFonts w:ascii="宋体" w:hAnsi="Times New Roman"/>
      <w:sz w:val="21"/>
    </w:rPr>
  </w:style>
  <w:style w:type="character" w:customStyle="1" w:styleId="233">
    <w:name w:val="标准文件_一级条标题 Char"/>
    <w:link w:val="106"/>
    <w:qFormat/>
    <w:locked/>
    <w:uiPriority w:val="0"/>
    <w:rPr>
      <w:rFonts w:ascii="黑体" w:hAnsi="Times New Roman" w:eastAsia="黑体"/>
      <w:sz w:val="21"/>
    </w:rPr>
  </w:style>
  <w:style w:type="paragraph" w:customStyle="1" w:styleId="234">
    <w:name w:val="一级条标题"/>
    <w:next w:val="231"/>
    <w:link w:val="241"/>
    <w:qFormat/>
    <w:uiPriority w:val="0"/>
    <w:pPr>
      <w:spacing w:beforeLines="50" w:afterLines="50"/>
      <w:outlineLvl w:val="2"/>
    </w:pPr>
    <w:rPr>
      <w:rFonts w:ascii="黑体" w:hAnsi="Times New Roman" w:eastAsia="黑体" w:cs="Times New Roman"/>
      <w:sz w:val="21"/>
      <w:szCs w:val="21"/>
      <w:lang w:val="en-US" w:eastAsia="zh-CN" w:bidi="ar-SA"/>
    </w:rPr>
  </w:style>
  <w:style w:type="paragraph" w:customStyle="1" w:styleId="235">
    <w:name w:val="章标题"/>
    <w:next w:val="231"/>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236">
    <w:name w:val="二级条标题"/>
    <w:basedOn w:val="234"/>
    <w:next w:val="231"/>
    <w:link w:val="242"/>
    <w:qFormat/>
    <w:uiPriority w:val="0"/>
    <w:pPr>
      <w:spacing w:before="50" w:after="50"/>
      <w:outlineLvl w:val="3"/>
    </w:pPr>
  </w:style>
  <w:style w:type="paragraph" w:customStyle="1" w:styleId="237">
    <w:name w:val="三级条标题"/>
    <w:basedOn w:val="236"/>
    <w:next w:val="231"/>
    <w:link w:val="243"/>
    <w:qFormat/>
    <w:uiPriority w:val="0"/>
    <w:pPr>
      <w:outlineLvl w:val="4"/>
    </w:pPr>
  </w:style>
  <w:style w:type="paragraph" w:customStyle="1" w:styleId="238">
    <w:name w:val="四级条标题"/>
    <w:basedOn w:val="237"/>
    <w:next w:val="231"/>
    <w:qFormat/>
    <w:uiPriority w:val="0"/>
    <w:pPr>
      <w:outlineLvl w:val="5"/>
    </w:pPr>
  </w:style>
  <w:style w:type="paragraph" w:customStyle="1" w:styleId="239">
    <w:name w:val="五级条标题"/>
    <w:basedOn w:val="238"/>
    <w:next w:val="231"/>
    <w:qFormat/>
    <w:uiPriority w:val="99"/>
    <w:pPr>
      <w:spacing w:before="156" w:after="156"/>
      <w:outlineLvl w:val="6"/>
    </w:pPr>
  </w:style>
  <w:style w:type="paragraph" w:customStyle="1" w:styleId="240">
    <w:name w:val="六级条标题"/>
    <w:basedOn w:val="1"/>
    <w:qFormat/>
    <w:uiPriority w:val="0"/>
    <w:pPr>
      <w:tabs>
        <w:tab w:val="left" w:pos="4351"/>
      </w:tabs>
      <w:adjustRightInd/>
      <w:spacing w:line="240" w:lineRule="auto"/>
      <w:jc w:val="left"/>
    </w:pPr>
    <w:rPr>
      <w:rFonts w:ascii="Times New Roman" w:hAnsi="Times New Roman"/>
      <w:szCs w:val="24"/>
    </w:rPr>
  </w:style>
  <w:style w:type="character" w:customStyle="1" w:styleId="241">
    <w:name w:val="一级条标题 Char1"/>
    <w:basedOn w:val="29"/>
    <w:link w:val="234"/>
    <w:qFormat/>
    <w:uiPriority w:val="0"/>
    <w:rPr>
      <w:rFonts w:ascii="黑体" w:hAnsi="Times New Roman" w:eastAsia="黑体"/>
      <w:sz w:val="21"/>
      <w:szCs w:val="21"/>
    </w:rPr>
  </w:style>
  <w:style w:type="character" w:customStyle="1" w:styleId="242">
    <w:name w:val="二级条标题 Char1"/>
    <w:basedOn w:val="241"/>
    <w:link w:val="236"/>
    <w:qFormat/>
    <w:uiPriority w:val="0"/>
    <w:rPr>
      <w:rFonts w:ascii="黑体" w:hAnsi="Times New Roman" w:eastAsia="黑体"/>
      <w:sz w:val="21"/>
      <w:szCs w:val="21"/>
    </w:rPr>
  </w:style>
  <w:style w:type="character" w:customStyle="1" w:styleId="243">
    <w:name w:val="三级条标题 Char1"/>
    <w:basedOn w:val="242"/>
    <w:link w:val="237"/>
    <w:qFormat/>
    <w:uiPriority w:val="99"/>
    <w:rPr>
      <w:rFonts w:ascii="黑体" w:hAnsi="Times New Roman" w:eastAsia="黑体"/>
      <w:sz w:val="21"/>
      <w:szCs w:val="21"/>
    </w:rPr>
  </w:style>
  <w:style w:type="paragraph" w:customStyle="1" w:styleId="244">
    <w:name w:val="A0标准条文"/>
    <w:basedOn w:val="1"/>
    <w:qFormat/>
    <w:uiPriority w:val="0"/>
    <w:pPr>
      <w:ind w:firstLine="200" w:firstLineChars="200"/>
    </w:pPr>
    <w:rPr>
      <w:rFonts w:ascii="Times New Roman" w:hAnsi="Times New Roman"/>
    </w:rPr>
  </w:style>
  <w:style w:type="paragraph" w:styleId="245">
    <w:name w:val="List Paragraph"/>
    <w:basedOn w:val="1"/>
    <w:link w:val="246"/>
    <w:qFormat/>
    <w:uiPriority w:val="34"/>
    <w:pPr>
      <w:ind w:firstLine="420" w:firstLineChars="200"/>
    </w:pPr>
    <w:rPr>
      <w:rFonts w:ascii="等线" w:hAnsi="等线" w:eastAsia="等线"/>
      <w:szCs w:val="22"/>
    </w:rPr>
  </w:style>
  <w:style w:type="character" w:customStyle="1" w:styleId="246">
    <w:name w:val="列表段落 字符"/>
    <w:link w:val="245"/>
    <w:qFormat/>
    <w:uiPriority w:val="34"/>
    <w:rPr>
      <w:rFonts w:ascii="等线" w:hAnsi="等线" w:eastAsia="等线"/>
      <w:kern w:val="2"/>
      <w:sz w:val="21"/>
      <w:szCs w:val="22"/>
    </w:rPr>
  </w:style>
  <w:style w:type="paragraph" w:customStyle="1" w:styleId="247">
    <w:name w:val="b63ee27f-4cf3-414c-9275-d88e3f90795e"/>
    <w:basedOn w:val="4"/>
    <w:link w:val="248"/>
    <w:qFormat/>
    <w:uiPriority w:val="0"/>
    <w:pPr>
      <w:numPr>
        <w:ilvl w:val="2"/>
        <w:numId w:val="32"/>
      </w:numPr>
      <w:spacing w:before="120" w:after="120"/>
    </w:pPr>
    <w:rPr>
      <w:rFonts w:ascii="黑体" w:hAnsi="Times New Roman" w:eastAsia="黑体"/>
    </w:rPr>
  </w:style>
  <w:style w:type="character" w:customStyle="1" w:styleId="248">
    <w:name w:val="b63ee27f-4cf3-414c-9275-d88e3f90795e 字符"/>
    <w:basedOn w:val="242"/>
    <w:link w:val="247"/>
    <w:qFormat/>
    <w:uiPriority w:val="0"/>
    <w:rPr>
      <w:rFonts w:ascii="黑体" w:hAnsi="Times New Roman" w:eastAsia="黑体"/>
      <w:b/>
      <w:bCs/>
      <w:kern w:val="2"/>
      <w:sz w:val="32"/>
      <w:szCs w:val="32"/>
    </w:rPr>
  </w:style>
  <w:style w:type="paragraph" w:customStyle="1" w:styleId="249">
    <w:name w:val="acbfdd8b-e11b-4d36-88ff-6049b138f862"/>
    <w:basedOn w:val="1"/>
    <w:link w:val="250"/>
    <w:qFormat/>
    <w:uiPriority w:val="0"/>
    <w:pPr>
      <w:spacing w:line="288" w:lineRule="auto"/>
      <w:jc w:val="left"/>
    </w:pPr>
    <w:rPr>
      <w:rFonts w:ascii="黑体" w:hAnsi="Times New Roman" w:eastAsia="黑体"/>
    </w:rPr>
  </w:style>
  <w:style w:type="character" w:customStyle="1" w:styleId="250">
    <w:name w:val="acbfdd8b-e11b-4d36-88ff-6049b138f862 字符"/>
    <w:basedOn w:val="242"/>
    <w:link w:val="249"/>
    <w:qFormat/>
    <w:uiPriority w:val="0"/>
    <w:rPr>
      <w:rFonts w:ascii="黑体" w:hAnsi="Times New Roman" w:eastAsia="黑体"/>
      <w:kern w:val="2"/>
      <w:sz w:val="21"/>
      <w:szCs w:val="21"/>
    </w:rPr>
  </w:style>
  <w:style w:type="paragraph" w:customStyle="1" w:styleId="251">
    <w:name w:val="566ba9ff-a5b0-4b6f-bbdf-c3ab41993fc2"/>
    <w:basedOn w:val="5"/>
    <w:next w:val="249"/>
    <w:link w:val="252"/>
    <w:qFormat/>
    <w:uiPriority w:val="0"/>
    <w:pPr>
      <w:spacing w:before="0" w:after="0" w:line="288" w:lineRule="auto"/>
      <w:jc w:val="left"/>
    </w:pPr>
  </w:style>
  <w:style w:type="character" w:customStyle="1" w:styleId="252">
    <w:name w:val="566ba9ff-a5b0-4b6f-bbdf-c3ab41993fc2 字符"/>
    <w:basedOn w:val="243"/>
    <w:link w:val="251"/>
    <w:qFormat/>
    <w:uiPriority w:val="0"/>
    <w:rPr>
      <w:rFonts w:ascii="Arial" w:hAnsi="Arial" w:eastAsia="黑体"/>
      <w:b/>
      <w:bCs/>
      <w:kern w:val="2"/>
      <w:sz w:val="28"/>
      <w:szCs w:val="28"/>
    </w:rPr>
  </w:style>
  <w:style w:type="paragraph" w:customStyle="1" w:styleId="253">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254">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255">
    <w:name w:val="列项◆（三级）"/>
    <w:basedOn w:val="1"/>
    <w:qFormat/>
    <w:uiPriority w:val="0"/>
    <w:pPr>
      <w:tabs>
        <w:tab w:val="left" w:pos="1678"/>
      </w:tabs>
      <w:adjustRightInd/>
      <w:spacing w:line="240" w:lineRule="auto"/>
      <w:ind w:left="1678" w:hanging="414"/>
    </w:pPr>
    <w:rPr>
      <w:rFonts w:ascii="宋体" w:hAnsi="Times New Roman"/>
    </w:rPr>
  </w:style>
  <w:style w:type="paragraph" w:customStyle="1" w:styleId="256">
    <w:name w:val="示例×："/>
    <w:basedOn w:val="235"/>
    <w:qFormat/>
    <w:uiPriority w:val="0"/>
    <w:pPr>
      <w:spacing w:beforeLines="0" w:afterLines="0"/>
      <w:ind w:firstLine="363"/>
      <w:outlineLvl w:val="9"/>
    </w:pPr>
    <w:rPr>
      <w:rFonts w:ascii="宋体" w:eastAsia="宋体"/>
      <w:sz w:val="18"/>
      <w:szCs w:val="18"/>
    </w:rPr>
  </w:style>
  <w:style w:type="paragraph" w:customStyle="1" w:styleId="257">
    <w:name w:val="正文图标题"/>
    <w:next w:val="231"/>
    <w:qFormat/>
    <w:uiPriority w:val="0"/>
    <w:pPr>
      <w:spacing w:beforeLines="50" w:afterLines="50"/>
      <w:jc w:val="center"/>
    </w:pPr>
    <w:rPr>
      <w:rFonts w:ascii="黑体" w:hAnsi="Times New Roman" w:eastAsia="黑体" w:cs="Times New Roman"/>
      <w:sz w:val="21"/>
      <w:lang w:val="en-US" w:eastAsia="zh-CN" w:bidi="ar-SA"/>
    </w:rPr>
  </w:style>
  <w:style w:type="paragraph" w:customStyle="1" w:styleId="258">
    <w:name w:val="终结线"/>
    <w:basedOn w:val="1"/>
    <w:qFormat/>
    <w:uiPriority w:val="0"/>
    <w:pPr>
      <w:framePr w:hSpace="181" w:vSpace="181" w:wrap="around" w:vAnchor="text" w:hAnchor="margin" w:xAlign="center" w:y="285"/>
      <w:adjustRightInd/>
      <w:spacing w:line="240" w:lineRule="auto"/>
    </w:pPr>
    <w:rPr>
      <w:rFonts w:ascii="Times New Roman" w:hAnsi="Times New Roman"/>
      <w:szCs w:val="24"/>
    </w:rPr>
  </w:style>
  <w:style w:type="character" w:customStyle="1" w:styleId="259">
    <w:name w:val="题注 字符"/>
    <w:link w:val="13"/>
    <w:qFormat/>
    <w:uiPriority w:val="0"/>
    <w:rPr>
      <w:rFonts w:ascii="Arial" w:hAnsi="Arial" w:eastAsia="黑体"/>
      <w:kern w:val="2"/>
    </w:rPr>
  </w:style>
  <w:style w:type="paragraph" w:customStyle="1" w:styleId="260">
    <w:name w:val="表格正文无缩进"/>
    <w:basedOn w:val="1"/>
    <w:qFormat/>
    <w:uiPriority w:val="0"/>
    <w:pPr>
      <w:adjustRightInd/>
      <w:spacing w:line="280" w:lineRule="atLeast"/>
    </w:pPr>
    <w:rPr>
      <w:rFonts w:ascii="宋体" w:hAnsi="Times New Roman"/>
      <w:kern w:val="0"/>
      <w:szCs w:val="24"/>
    </w:rPr>
  </w:style>
  <w:style w:type="character" w:customStyle="1" w:styleId="261">
    <w:name w:val="Unresolved Mention"/>
    <w:basedOn w:val="2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emf"/><Relationship Id="rId15" Type="http://schemas.openxmlformats.org/officeDocument/2006/relationships/oleObject" Target="embeddings/oleObject1.bin"/><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laimin/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0DAD91DE04C4FD9A1292F0802A35C0C"/>
        <w:style w:val=""/>
        <w:category>
          <w:name w:val="常规"/>
          <w:gallery w:val="placeholder"/>
        </w:category>
        <w:types>
          <w:type w:val="bbPlcHdr"/>
        </w:types>
        <w:behaviors>
          <w:behavior w:val="content"/>
        </w:behaviors>
        <w:description w:val=""/>
        <w:guid w:val="{1FEAF02D-4FA4-488F-952A-9FE1D2A49518}"/>
      </w:docPartPr>
      <w:docPartBody>
        <w:p>
          <w:pPr>
            <w:pStyle w:val="5"/>
            <w:rPr>
              <w:rFonts w:hint="eastAsia"/>
            </w:rPr>
          </w:pPr>
          <w:r>
            <w:rPr>
              <w:rStyle w:val="4"/>
              <w:rFonts w:hint="eastAsia"/>
            </w:rPr>
            <w:t>单击或点击此处输入文字。</w:t>
          </w:r>
        </w:p>
      </w:docPartBody>
    </w:docPart>
    <w:docPart>
      <w:docPartPr>
        <w:name w:val="2307D11CDF2F47DFA03DC3907225FD28"/>
        <w:style w:val=""/>
        <w:category>
          <w:name w:val="常规"/>
          <w:gallery w:val="placeholder"/>
        </w:category>
        <w:types>
          <w:type w:val="bbPlcHdr"/>
        </w:types>
        <w:behaviors>
          <w:behavior w:val="content"/>
        </w:behaviors>
        <w:description w:val=""/>
        <w:guid w:val="{E079CEDE-1A66-4F25-956C-C71741C97D58}"/>
      </w:docPartPr>
      <w:docPartBody>
        <w:p>
          <w:pPr>
            <w:pStyle w:val="6"/>
            <w:rPr>
              <w:rFonts w:hint="eastAsia"/>
            </w:rPr>
          </w:pPr>
          <w:r>
            <w:rPr>
              <w:rStyle w:val="4"/>
              <w:rFonts w:hint="eastAsia"/>
            </w:rPr>
            <w:t>选择一项。</w:t>
          </w:r>
        </w:p>
      </w:docPartBody>
    </w:docPart>
    <w:docPart>
      <w:docPartPr>
        <w:name w:val="DB035C7C5DDF446B8F9A3199E7502CC5"/>
        <w:style w:val=""/>
        <w:category>
          <w:name w:val="常规"/>
          <w:gallery w:val="placeholder"/>
        </w:category>
        <w:types>
          <w:type w:val="bbPlcHdr"/>
        </w:types>
        <w:behaviors>
          <w:behavior w:val="content"/>
        </w:behaviors>
        <w:description w:val=""/>
        <w:guid w:val="{750924AD-DA4D-46D3-88F1-3BB4882DD24D}"/>
      </w:docPartPr>
      <w:docPartBody>
        <w:p>
          <w:pPr>
            <w:pStyle w:val="7"/>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true"/>
  <w:bordersDoNotSurroundFooter w:val="tru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6F8"/>
    <w:rsid w:val="00292ABC"/>
    <w:rsid w:val="003C1E0E"/>
    <w:rsid w:val="008E54CE"/>
    <w:rsid w:val="009D21D1"/>
    <w:rsid w:val="00B126F8"/>
    <w:rsid w:val="00BC1FEE"/>
    <w:rsid w:val="00D17A9A"/>
    <w:rsid w:val="00ED1E01"/>
    <w:rsid w:val="00FE5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60DAD91DE04C4FD9A1292F0802A35C0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2307D11CDF2F47DFA03DC3907225FD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B035C7C5DDF446B8F9A3199E7502CC5"/>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20</Pages>
  <Words>7404</Words>
  <Characters>12663</Characters>
  <Lines>1266</Lines>
  <Paragraphs>1543</Paragraphs>
  <TotalTime>37</TotalTime>
  <ScaleCrop>false</ScaleCrop>
  <LinksUpToDate>false</LinksUpToDate>
  <CharactersWithSpaces>18524</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2026-08-12T05:01:00Z</dcterms:created>
  <dc:creator>言午</dc:creator>
  <dc:description>&lt;config cover="true" show_menu="true" version="1.0.0" doctype="SDKXY"&gt;_x000d_
&lt;/config&gt;</dc:description>
  <cp:lastModifiedBy>laimin</cp:lastModifiedBy>
  <cp:lastPrinted>2026-08-18T18:00:01Z</cp:lastPrinted>
  <dcterms:modified xsi:type="dcterms:W3CDTF">2026-08-18T18:00:04Z</dcterms:modified>
  <dc:title>行业标准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2052-11.8.2.10125</vt:lpwstr>
  </property>
</Properties>
</file>