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61" w:rsidRPr="006426B0" w:rsidRDefault="00FE2261" w:rsidP="00FE2261">
      <w:pPr>
        <w:jc w:val="left"/>
        <w:rPr>
          <w:rFonts w:asciiTheme="minorEastAsia" w:hAnsiTheme="minorEastAsia" w:hint="eastAsia"/>
          <w:sz w:val="28"/>
          <w:szCs w:val="28"/>
        </w:rPr>
      </w:pPr>
      <w:r w:rsidRPr="006426B0">
        <w:rPr>
          <w:rFonts w:asciiTheme="minorEastAsia" w:hAnsiTheme="minorEastAsia" w:hint="eastAsia"/>
          <w:sz w:val="28"/>
          <w:szCs w:val="28"/>
        </w:rPr>
        <w:t>附件4：</w:t>
      </w:r>
    </w:p>
    <w:p w:rsidR="00FE2261" w:rsidRDefault="00FE2261" w:rsidP="008B5608">
      <w:pPr>
        <w:jc w:val="center"/>
        <w:rPr>
          <w:rFonts w:hint="eastAsia"/>
          <w:b/>
          <w:sz w:val="36"/>
          <w:szCs w:val="36"/>
        </w:rPr>
      </w:pPr>
    </w:p>
    <w:p w:rsidR="008B5608" w:rsidRPr="00660666" w:rsidRDefault="008B5608" w:rsidP="008B5608">
      <w:pPr>
        <w:jc w:val="center"/>
        <w:rPr>
          <w:b/>
          <w:sz w:val="36"/>
          <w:szCs w:val="36"/>
        </w:rPr>
      </w:pPr>
      <w:r w:rsidRPr="00660666">
        <w:rPr>
          <w:rFonts w:hint="eastAsia"/>
          <w:b/>
          <w:sz w:val="36"/>
          <w:szCs w:val="36"/>
        </w:rPr>
        <w:t>致残分级判定基准</w:t>
      </w:r>
    </w:p>
    <w:p w:rsidR="008B5608" w:rsidRDefault="008B5608" w:rsidP="008B5608">
      <w:pPr>
        <w:jc w:val="center"/>
      </w:pPr>
    </w:p>
    <w:p w:rsidR="008B5608" w:rsidRDefault="008B5608" w:rsidP="008B5608"/>
    <w:p w:rsidR="008B5608" w:rsidRPr="00660666" w:rsidRDefault="008B5608" w:rsidP="00660666">
      <w:pPr>
        <w:ind w:firstLineChars="196" w:firstLine="630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一、智能减退分级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A、极度智能减退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1、IQ低于25；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2、语言功能缺失；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3、生活完全不能自理。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B、重度智能减退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1、IQ 25-39；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2、语言功能严重受损，不能进行有效的语言交流；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3、生活不能自理。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C、中度智能减退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1、IQ 40-54；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2、能掌握日常生活用语但词汇贫乏，对周围环境辨别能力差，只能以简单的方式与人交往；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3、生活能部分自理，能做简单劳动。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D、轻度智能减退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1、IQ 55-69；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2、无明显语言障碍，对周围环境有较好的辨别能力，能比较恰当的与人交往；生活能自理，能做一般非技术性工</w:t>
      </w:r>
      <w:r w:rsidRPr="00660666">
        <w:rPr>
          <w:rFonts w:asciiTheme="minorEastAsia" w:hAnsiTheme="minorEastAsia" w:hint="eastAsia"/>
          <w:sz w:val="32"/>
          <w:szCs w:val="32"/>
        </w:rPr>
        <w:lastRenderedPageBreak/>
        <w:t>作。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E、边缘智能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1、IQ 70-84；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2、抽象思维能力或思维的广度、深度、机敏性不良；</w:t>
      </w:r>
    </w:p>
    <w:p w:rsidR="00496BA3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3、不能完成高级复杂的脑力劳动。</w:t>
      </w:r>
    </w:p>
    <w:p w:rsidR="008B5608" w:rsidRPr="00660666" w:rsidRDefault="008B5608" w:rsidP="00660666">
      <w:pPr>
        <w:ind w:firstLineChars="196" w:firstLine="630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二、外伤性癫痫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要有运动外伤的确切病史，有医师或其他目击者叙述或证明有癫痫的临床表现，脑电图显示异常，CT或BMI检查确有病灶存在方可诊断。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</w:t>
      </w:r>
      <w:r w:rsidR="008B5608" w:rsidRPr="00660666">
        <w:rPr>
          <w:rFonts w:asciiTheme="minorEastAsia" w:hAnsiTheme="minorEastAsia" w:hint="eastAsia"/>
          <w:sz w:val="32"/>
          <w:szCs w:val="32"/>
        </w:rPr>
        <w:t>重度：频繁的癫痫大发作，每次发作时间特别长，一个月内发作两次以上。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</w:t>
      </w:r>
      <w:r w:rsidR="008B5608" w:rsidRPr="00660666">
        <w:rPr>
          <w:rFonts w:asciiTheme="minorEastAsia" w:hAnsiTheme="minorEastAsia" w:hint="eastAsia"/>
          <w:sz w:val="32"/>
          <w:szCs w:val="32"/>
        </w:rPr>
        <w:t>中度：频繁的癫痫大发作，发作时间可特别长，半年之内发作两次以上或频繁的癫痫小发作，发作次数每月可达三次以上。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轻度：癫痫小发作，长期服抗癫痫药能控制不发作或每月发作在二次以下者。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三、运动障碍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A、肢体瘫：以肌力作为分级标准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0级：肌肉完全瘫痪，毫无收缩。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1级：可看到或触及肌肉轻微收缩，但不能产生动作。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2级：肌肉在不受重力影响下，可进行运动，即肢体能在床面上移动，但不能抬高。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lastRenderedPageBreak/>
        <w:t>3级：在和地心引力相反的方向中尚能完成其动作，但不能对抗外界阻力。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4级：能对抗一定的阻力，但较正常人为低。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5级：正常肌力。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B、非肢体瘫的运动障碍：包括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肌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张力增高、共济失调、不自主运动或震颤等。根据其对生活自理的影响程度划分为轻、中、重三度。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1、重度：不能自行进食，大小便、洗漱、翻身和穿衣，需由他人护理。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2、中度：上述动作困难，但在他人帮助下可以完成。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3、轻度：完成上述运动虽有一些困难，但基本可以完成。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 w:rsidRPr="00660666">
        <w:rPr>
          <w:rFonts w:asciiTheme="minorEastAsia" w:hAnsiTheme="minorEastAsia" w:hint="eastAsia"/>
          <w:b/>
          <w:sz w:val="32"/>
          <w:szCs w:val="32"/>
        </w:rPr>
        <w:t>四、关节功能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1、关节无功能（功能完全丧失）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是指关节僵硬（或挛缩）固定于非功能位，或关节周围肌肉韧带缺失或麻痹松弛，致关节呈连枷状或严重不稳，无法完成其功能。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2、关节功能不全（功能部分丧失）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是指残留功能，不能完成原有专业劳动，并影响日常生活。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五、关节骨骺损伤（包括半月板损伤）的诊断</w:t>
      </w:r>
    </w:p>
    <w:p w:rsidR="00496BA3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除临床症状外，需有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影象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诊断证据。各大关节扭伤，必</w:t>
      </w:r>
      <w:r w:rsidRPr="00660666">
        <w:rPr>
          <w:rFonts w:asciiTheme="minorEastAsia" w:hAnsiTheme="minorEastAsia" w:hint="eastAsia"/>
          <w:sz w:val="32"/>
          <w:szCs w:val="32"/>
        </w:rPr>
        <w:lastRenderedPageBreak/>
        <w:t>须要有X片证据。</w:t>
      </w:r>
    </w:p>
    <w:p w:rsidR="008B5608" w:rsidRPr="00660666" w:rsidRDefault="008B5608" w:rsidP="00660666">
      <w:pPr>
        <w:ind w:firstLineChars="196" w:firstLine="630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六、骨关节病的诊断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除临床症状外，需有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影象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诊断证据。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七、关节脱位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原则上应有整复前后的X片检查依据，如现场已整复，则应有施术医师的书面诊断证明，术后应补拍X片，排除其他创伤。</w:t>
      </w:r>
    </w:p>
    <w:p w:rsidR="00496BA3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八、肌肉、肌腱、韧带断裂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除有临床症状外，应有客观检查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影象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诊断证据。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九、脊柱损伤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1、椎间盘突出、峡部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裂及滑椎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症，一般是指运动创伤发生后两周内所发生的伤情，不包括陈旧性病变。在确定诊断时，除临床症状外需有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影象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诊断证据。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2、诊断椎管狭窄时，除临床症状外，需有脊髓造影或MRI检查证据。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3、神经根性疼痛，除临床症状外，需有神经电生理改变。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4、脊柱骨折合并神经系统症状，骨折治疗后仍残留脊髓和神经功能障碍者，参照神经科评残等级处理。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十、脊椎峡部裂、滑椎、椎间盘突出功能障碍程度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A、明显功能障碍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1、脊椎生理曲线明显异常,脊椎活动明显受限。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lastRenderedPageBreak/>
        <w:t>2、肢体肌肉萎缩,肌力明显下降,出现垂足或下蹲困难或跛行者。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3、括约肌功能障碍,出现排尿或排便功能障碍。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滑椎二度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以上。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5、生理反射异常，并出现病理反射。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B、中度功能障碍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1、脊椎生理曲线异常，脊椎活动中度受限。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2、肢体肌肉稍萎缩，肌肉僵硬有压痛，肌力下降。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滑椎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Ⅱ度。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4、生理反射异常，有或无病理反射出现。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C、轻度功能障碍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1、脊柱生理曲线有改变，脊柱活动轻度受限。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2、肢体肌肉僵硬，有轻度压痛，肌力稍下降。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3、生理反射存在或异常，无病理反射现象。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十一、面部毁容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A、重度面部瘢痕畸形，并有以下六项中之四项者：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1、眉毛缺失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2、双睑外翻或缺失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3、外耳缺失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4、鼻缺失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5、上下唇外翻或小口畸形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6、颈颏粘连。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lastRenderedPageBreak/>
        <w:t>B 、中度具有下述六项中之三项者：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1、眉毛部分缺失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2、眼睑外翻或部分缺失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3、耳廓部分缺失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4、鼻翼部分缺失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5、唇外翻或小口畸形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6、颈部瘢痕畸形。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C、轻度含中度畸形六项中之两项者。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十二、面部异物色素沉着或脱失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1、轻度：超过颜面总面积的1/4，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2、重度：超过颜面总面积的1/2。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十三、肾损伤性高血压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肾损伤需有受伤病史及各种辅助检查证据（包括X片造影、B超等检查），高血压症状出现在肾损伤后，并应确认高血压的发生与肾损伤确有因果关系。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血压的两项指标（收缩压大于等于21.3Kpa,舒张压大于等于12.7Kpa）只具备一项即可成立。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十四、血睾酮正常值及生殖功能损害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血浆测定计量单位为14.4-41.5nmol/L(小于360ng/</w:t>
      </w:r>
      <w:proofErr w:type="spellStart"/>
      <w:r w:rsidRPr="00660666">
        <w:rPr>
          <w:rFonts w:asciiTheme="minorEastAsia" w:hAnsiTheme="minorEastAsia" w:hint="eastAsia"/>
          <w:sz w:val="32"/>
          <w:szCs w:val="32"/>
        </w:rPr>
        <w:t>dL</w:t>
      </w:r>
      <w:proofErr w:type="spellEnd"/>
      <w:r w:rsidRPr="00660666">
        <w:rPr>
          <w:rFonts w:asciiTheme="minorEastAsia" w:hAnsiTheme="minorEastAsia" w:hint="eastAsia"/>
          <w:sz w:val="32"/>
          <w:szCs w:val="32"/>
        </w:rPr>
        <w:t>)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</w:t>
      </w:r>
      <w:r w:rsidR="008B5608" w:rsidRPr="00660666">
        <w:rPr>
          <w:rFonts w:asciiTheme="minorEastAsia" w:hAnsiTheme="minorEastAsia" w:hint="eastAsia"/>
          <w:sz w:val="32"/>
          <w:szCs w:val="32"/>
        </w:rPr>
        <w:t>重度精液中精子缺如；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轻度精液中精子数小于500万/ml或异常精子大于30%或死精子或运动能力很弱的精子大于30%。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lastRenderedPageBreak/>
        <w:t>十五、肾功能不全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肾功能不全尿毒症期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血尿素氮大于21.4mmol/L(60mg/</w:t>
      </w:r>
      <w:proofErr w:type="spellStart"/>
      <w:r w:rsidRPr="00660666">
        <w:rPr>
          <w:rFonts w:asciiTheme="minorEastAsia" w:hAnsiTheme="minorEastAsia" w:hint="eastAsia"/>
          <w:sz w:val="32"/>
          <w:szCs w:val="32"/>
        </w:rPr>
        <w:t>dL</w:t>
      </w:r>
      <w:proofErr w:type="spellEnd"/>
      <w:r w:rsidRPr="00660666">
        <w:rPr>
          <w:rFonts w:asciiTheme="minorEastAsia" w:hAnsiTheme="minorEastAsia" w:hint="eastAsia"/>
          <w:sz w:val="32"/>
          <w:szCs w:val="32"/>
        </w:rPr>
        <w:t>),常伴有酸中毒，出现严重的尿毒症临床症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象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。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肾功能不全失代偿期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内生肌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酐廓清值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低于正常的50%,血肌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酐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水平大于177цmol/L（2mg/</w:t>
      </w:r>
      <w:proofErr w:type="spellStart"/>
      <w:r w:rsidRPr="00660666">
        <w:rPr>
          <w:rFonts w:asciiTheme="minorEastAsia" w:hAnsiTheme="minorEastAsia" w:hint="eastAsia"/>
          <w:sz w:val="32"/>
          <w:szCs w:val="32"/>
        </w:rPr>
        <w:t>dL</w:t>
      </w:r>
      <w:proofErr w:type="spellEnd"/>
      <w:r w:rsidRPr="00660666">
        <w:rPr>
          <w:rFonts w:asciiTheme="minorEastAsia" w:hAnsiTheme="minorEastAsia" w:hint="eastAsia"/>
          <w:sz w:val="32"/>
          <w:szCs w:val="32"/>
        </w:rPr>
        <w:t>），血尿素氮增高，其他各项肾功能损害而出现一些临床症状，包括疲乏，不安，胃肠道症状，瘙痒等。</w:t>
      </w:r>
    </w:p>
    <w:p w:rsidR="008B5608" w:rsidRPr="00660666" w:rsidRDefault="007D6957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肾功能不全代偿期</w:t>
      </w:r>
    </w:p>
    <w:p w:rsidR="008B5608" w:rsidRPr="00660666" w:rsidRDefault="008B5608" w:rsidP="008B5608">
      <w:pPr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内生肌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酐廓清值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低于正常的50%，血肌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酐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水平、血尿氮</w:t>
      </w:r>
    </w:p>
    <w:p w:rsidR="008B5608" w:rsidRPr="00660666" w:rsidRDefault="008B5608" w:rsidP="008B5608">
      <w:pPr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水平正常，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其他肾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功能出现减退。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十六、心功能不全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必须有确切的病史及客观检查诊断依据（有原始病历记载）。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1、一级心功能不全：能胜任一般日常劳动，但稍重体力劳动即有心悸、气急等症状，心电图或其他检查异常。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2、二级心功能不全：普通日常活动即有心悸、气急等症状，休息时消失，心电图或其他检查异常。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3、三级心功能不全：任何活动均可引起明显心悸、气急等症状，甚至卧床休息仍有症状，心电图或其他检查异常。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十七、急性腰扭伤，严重腰背肌筋膜炎，需具备以下体征及症状：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lastRenderedPageBreak/>
        <w:t>1、有明确的外伤史，腰背部有明显疼痛，或有向臀部、大腿部或颈后上肢串痛。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2、背部伸展或旋转活动明显受限，不能完成训练动作。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3、局部有明显压痛或有硬结存在。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影像检查无骨质及椎间盘突出病变存在。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十八、骨折部位分类，为了操作方便，将全身骨骼分为一般部位和重要部位：</w:t>
      </w:r>
    </w:p>
    <w:p w:rsidR="002850A6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</w:t>
      </w:r>
      <w:r w:rsidR="008B5608" w:rsidRPr="00660666">
        <w:rPr>
          <w:rFonts w:asciiTheme="minorEastAsia" w:hAnsiTheme="minorEastAsia" w:hint="eastAsia"/>
          <w:sz w:val="32"/>
          <w:szCs w:val="32"/>
        </w:rPr>
        <w:t>一般部位包括：指、掌、腕、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趾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及鼻骨、尾骨等短小扁平之骨骼。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其他部位及手足之舟状骨皆为重要部位骨骼。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</w:t>
      </w:r>
      <w:r w:rsidR="008B5608" w:rsidRPr="00660666">
        <w:rPr>
          <w:rFonts w:asciiTheme="minorEastAsia" w:hAnsiTheme="minorEastAsia" w:hint="eastAsia"/>
          <w:sz w:val="32"/>
          <w:szCs w:val="32"/>
        </w:rPr>
        <w:t>脊柱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骨折按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《标准》中相关条款评定。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</w:t>
      </w:r>
      <w:r w:rsidR="008B5608" w:rsidRPr="00660666">
        <w:rPr>
          <w:rFonts w:asciiTheme="minorEastAsia" w:hAnsiTheme="minorEastAsia" w:hint="eastAsia"/>
          <w:sz w:val="32"/>
          <w:szCs w:val="32"/>
        </w:rPr>
        <w:t>疲劳性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骨折按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其受伤骨骼同等分类。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十九、摔跤耳的诊断依据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1、必须提供正面及双侧位的5寸彩色照片。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2、具有以下体征：耳郭外缘变形；耳郭软骨增厚隆起；外耳道封闭。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二十、股骨头缺血性坏死的诊断依据：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必须</w:t>
      </w:r>
      <w:proofErr w:type="gramStart"/>
      <w:r w:rsidRPr="00660666">
        <w:rPr>
          <w:rFonts w:asciiTheme="minorEastAsia" w:hAnsiTheme="minorEastAsia" w:hint="eastAsia"/>
          <w:sz w:val="32"/>
          <w:szCs w:val="32"/>
        </w:rPr>
        <w:t>确认因</w:t>
      </w:r>
      <w:proofErr w:type="gramEnd"/>
      <w:r w:rsidRPr="00660666">
        <w:rPr>
          <w:rFonts w:asciiTheme="minorEastAsia" w:hAnsiTheme="minorEastAsia" w:hint="eastAsia"/>
          <w:sz w:val="32"/>
          <w:szCs w:val="32"/>
        </w:rPr>
        <w:t>运动训练所致，以X片为主要诊断依据并参考CT及MRI结果，观察是否有股骨头塌陷，同时还必须有临床症状，髋关节功能情况的完整病历资料。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二十一、听力损失的诊断与计算方法：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首先确认听力损失系运动损伤所致，要到正规医院耳科</w:t>
      </w:r>
      <w:r w:rsidRPr="00660666">
        <w:rPr>
          <w:rFonts w:asciiTheme="minorEastAsia" w:hAnsiTheme="minorEastAsia" w:hint="eastAsia"/>
          <w:sz w:val="32"/>
          <w:szCs w:val="32"/>
        </w:rPr>
        <w:lastRenderedPageBreak/>
        <w:t>用测听仪器检查，并出具听力检查结果。听力损失计算方法为：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单耳：取该耳语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频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500Hz、1000Hz及2000Hz纯音气导听阈均值，即</w:t>
      </w:r>
      <w:r w:rsidR="00496BA3" w:rsidRPr="00660666">
        <w:rPr>
          <w:rFonts w:asciiTheme="minorEastAsia" w:hAnsiTheme="minorEastAsia" w:hint="eastAsia"/>
          <w:sz w:val="32"/>
          <w:szCs w:val="32"/>
        </w:rPr>
        <w:t>(</w:t>
      </w:r>
      <w:r w:rsidR="008B5608" w:rsidRPr="00660666">
        <w:rPr>
          <w:rFonts w:asciiTheme="minorEastAsia" w:hAnsiTheme="minorEastAsia" w:hint="eastAsia"/>
          <w:sz w:val="32"/>
          <w:szCs w:val="32"/>
        </w:rPr>
        <w:t>HL500+HL1000+HL2000 dB</w:t>
      </w:r>
      <w:r w:rsidR="00496BA3" w:rsidRPr="00660666">
        <w:rPr>
          <w:rFonts w:asciiTheme="minorEastAsia" w:hAnsiTheme="minorEastAsia" w:hint="eastAsia"/>
          <w:sz w:val="32"/>
          <w:szCs w:val="32"/>
        </w:rPr>
        <w:t>)/</w:t>
      </w:r>
      <w:r w:rsidR="008B5608" w:rsidRPr="00660666">
        <w:rPr>
          <w:rFonts w:asciiTheme="minorEastAsia" w:hAnsiTheme="minorEastAsia"/>
          <w:sz w:val="32"/>
          <w:szCs w:val="32"/>
        </w:rPr>
        <w:t>3</w:t>
      </w:r>
      <w:r w:rsidRPr="00660666">
        <w:rPr>
          <w:rFonts w:asciiTheme="minorEastAsia" w:hAnsiTheme="minorEastAsia" w:hint="eastAsia"/>
          <w:sz w:val="32"/>
          <w:szCs w:val="32"/>
        </w:rPr>
        <w:t>，</w:t>
      </w:r>
      <w:r w:rsidR="008B5608" w:rsidRPr="00660666">
        <w:rPr>
          <w:rFonts w:asciiTheme="minorEastAsia" w:hAnsiTheme="minorEastAsia" w:hint="eastAsia"/>
          <w:sz w:val="32"/>
          <w:szCs w:val="32"/>
        </w:rPr>
        <w:t>若听阈超过100dBHL，仍按100dB计算。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如所得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均值不是整数，则小数点后之尾数采用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四舍五入法进为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整数。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双耳：听力较好的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一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耳的语频纯音气导听阈均值（PTA）×4加听力较差耳的均值，其和除以5，即</w:t>
      </w:r>
      <w:r w:rsidR="00496BA3" w:rsidRPr="00660666">
        <w:rPr>
          <w:rFonts w:asciiTheme="minorEastAsia" w:hAnsiTheme="minorEastAsia" w:hint="eastAsia"/>
          <w:sz w:val="32"/>
          <w:szCs w:val="32"/>
        </w:rPr>
        <w:t>(</w:t>
      </w:r>
      <w:r w:rsidR="008B5608" w:rsidRPr="00660666">
        <w:rPr>
          <w:rFonts w:asciiTheme="minorEastAsia" w:hAnsiTheme="minorEastAsia" w:hint="eastAsia"/>
          <w:sz w:val="32"/>
          <w:szCs w:val="32"/>
        </w:rPr>
        <w:t>PTA(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好耳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)×4+PTA(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差耳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) dB</w:t>
      </w:r>
      <w:r w:rsidR="00496BA3" w:rsidRPr="00660666">
        <w:rPr>
          <w:rFonts w:asciiTheme="minorEastAsia" w:hAnsiTheme="minorEastAsia"/>
          <w:sz w:val="32"/>
          <w:szCs w:val="32"/>
        </w:rPr>
        <w:t>)</w:t>
      </w:r>
      <w:r w:rsidR="00496BA3" w:rsidRPr="00660666">
        <w:rPr>
          <w:rFonts w:asciiTheme="minorEastAsia" w:hAnsiTheme="minorEastAsia" w:hint="eastAsia"/>
          <w:sz w:val="32"/>
          <w:szCs w:val="32"/>
        </w:rPr>
        <w:t>/</w:t>
      </w:r>
      <w:r w:rsidR="008B5608" w:rsidRPr="00660666">
        <w:rPr>
          <w:rFonts w:asciiTheme="minorEastAsia" w:hAnsiTheme="minorEastAsia"/>
          <w:sz w:val="32"/>
          <w:szCs w:val="32"/>
        </w:rPr>
        <w:t>5</w:t>
      </w:r>
      <w:r w:rsidRPr="00660666">
        <w:rPr>
          <w:rFonts w:asciiTheme="minorEastAsia" w:hAnsiTheme="minorEastAsia" w:hint="eastAsia"/>
          <w:sz w:val="32"/>
          <w:szCs w:val="32"/>
        </w:rPr>
        <w:t>。</w:t>
      </w:r>
      <w:r w:rsidR="008B5608" w:rsidRPr="00660666">
        <w:rPr>
          <w:rFonts w:asciiTheme="minorEastAsia" w:hAnsiTheme="minorEastAsia" w:hint="eastAsia"/>
          <w:sz w:val="32"/>
          <w:szCs w:val="32"/>
        </w:rPr>
        <w:t>在标定听阈值时小数点后之尾数采取</w:t>
      </w:r>
      <w:proofErr w:type="gramStart"/>
      <w:r w:rsidR="008B5608" w:rsidRPr="00660666">
        <w:rPr>
          <w:rFonts w:asciiTheme="minorEastAsia" w:hAnsiTheme="minorEastAsia" w:hint="eastAsia"/>
          <w:sz w:val="32"/>
          <w:szCs w:val="32"/>
        </w:rPr>
        <w:t>四舍五入法进为</w:t>
      </w:r>
      <w:proofErr w:type="gramEnd"/>
      <w:r w:rsidR="008B5608" w:rsidRPr="00660666">
        <w:rPr>
          <w:rFonts w:asciiTheme="minorEastAsia" w:hAnsiTheme="minorEastAsia" w:hint="eastAsia"/>
          <w:sz w:val="32"/>
          <w:szCs w:val="32"/>
        </w:rPr>
        <w:t>整数。</w:t>
      </w:r>
    </w:p>
    <w:p w:rsidR="008B5608" w:rsidRPr="00660666" w:rsidRDefault="008B5608" w:rsidP="00660666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660666">
        <w:rPr>
          <w:rFonts w:asciiTheme="minorEastAsia" w:hAnsiTheme="minorEastAsia" w:hint="eastAsia"/>
          <w:b/>
          <w:sz w:val="32"/>
          <w:szCs w:val="32"/>
        </w:rPr>
        <w:t>二十二、张口度判定及测量方法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以伤者本人的食指、中指及无名指并列垂直置入上下切牙切缘测量。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1、正常张口度：张口时，上述三指可垂直置入上下切牙切缘间（相当于4.5cm左右）。</w:t>
      </w:r>
    </w:p>
    <w:p w:rsidR="008B5608" w:rsidRPr="00660666" w:rsidRDefault="008B5608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2、张口困难Ⅰ度：大张口时，只能垂直置入食指和中指（相当于3CM左右）。</w:t>
      </w:r>
    </w:p>
    <w:p w:rsidR="008B5608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3、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张口困难Ⅱ度：大张口时，只能垂直置入食指（相当于1.7cm）。</w:t>
      </w:r>
    </w:p>
    <w:p w:rsidR="00EC7D60" w:rsidRPr="00660666" w:rsidRDefault="002850A6" w:rsidP="00660666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660666">
        <w:rPr>
          <w:rFonts w:asciiTheme="minorEastAsia" w:hAnsiTheme="minorEastAsia" w:hint="eastAsia"/>
          <w:sz w:val="32"/>
          <w:szCs w:val="32"/>
        </w:rPr>
        <w:t>4、</w:t>
      </w:r>
      <w:r w:rsidR="008B5608" w:rsidRPr="00660666">
        <w:rPr>
          <w:rFonts w:asciiTheme="minorEastAsia" w:hAnsiTheme="minorEastAsia" w:hint="eastAsia"/>
          <w:sz w:val="32"/>
          <w:szCs w:val="32"/>
        </w:rPr>
        <w:t>张口困难Ⅲ度：大张口时，上下切牙间距小于食指之横径。</w:t>
      </w:r>
    </w:p>
    <w:sectPr w:rsidR="00EC7D60" w:rsidRPr="00660666" w:rsidSect="00716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9C3" w:rsidRDefault="00B479C3" w:rsidP="002850A6">
      <w:r>
        <w:separator/>
      </w:r>
    </w:p>
  </w:endnote>
  <w:endnote w:type="continuationSeparator" w:id="0">
    <w:p w:rsidR="00B479C3" w:rsidRDefault="00B479C3" w:rsidP="00285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9C3" w:rsidRDefault="00B479C3" w:rsidP="002850A6">
      <w:r>
        <w:separator/>
      </w:r>
    </w:p>
  </w:footnote>
  <w:footnote w:type="continuationSeparator" w:id="0">
    <w:p w:rsidR="00B479C3" w:rsidRDefault="00B479C3" w:rsidP="002850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608"/>
    <w:rsid w:val="00047D61"/>
    <w:rsid w:val="00133844"/>
    <w:rsid w:val="002850A6"/>
    <w:rsid w:val="003760E2"/>
    <w:rsid w:val="004262A4"/>
    <w:rsid w:val="00496BA3"/>
    <w:rsid w:val="006426B0"/>
    <w:rsid w:val="00660666"/>
    <w:rsid w:val="00716F44"/>
    <w:rsid w:val="007D6957"/>
    <w:rsid w:val="008B5608"/>
    <w:rsid w:val="00B479C3"/>
    <w:rsid w:val="00FE2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5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50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5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50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M-sports</dc:creator>
  <cp:keywords/>
  <dc:description/>
  <cp:lastModifiedBy>Guoxiaoling</cp:lastModifiedBy>
  <cp:revision>6</cp:revision>
  <dcterms:created xsi:type="dcterms:W3CDTF">2015-01-21T06:23:00Z</dcterms:created>
  <dcterms:modified xsi:type="dcterms:W3CDTF">2017-12-15T07:48:00Z</dcterms:modified>
</cp:coreProperties>
</file>