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framePr w:wrap="notBeside" w:vAnchor="page" w:hAnchor="page" w:x="1372" w:y="568"/>
        <w:tabs>
          <w:tab w:val="clear" w:pos="4153"/>
          <w:tab w:val="clear" w:pos="8306"/>
        </w:tabs>
        <w:spacing w:line="240" w:lineRule="auto"/>
        <w:jc w:val="left"/>
        <w:rPr>
          <w:rFonts w:hint="eastAsia" w:ascii="Times New Roman" w:hAnsi="Times New Roman" w:eastAsia="黑体"/>
          <w:sz w:val="28"/>
          <w:szCs w:val="28"/>
          <w:lang w:val="en-US" w:eastAsia="zh-CN"/>
        </w:rPr>
      </w:pPr>
      <w:bookmarkStart w:id="61" w:name="_GoBack"/>
      <w:bookmarkEnd w:id="61"/>
    </w:p>
    <w:p>
      <w:pPr>
        <w:pStyle w:val="19"/>
        <w:framePr w:wrap="notBeside" w:vAnchor="page" w:hAnchor="page" w:x="1372" w:y="568"/>
        <w:tabs>
          <w:tab w:val="clear" w:pos="4153"/>
          <w:tab w:val="clear" w:pos="8306"/>
        </w:tabs>
        <w:spacing w:line="240" w:lineRule="auto"/>
        <w:jc w:val="left"/>
        <w:rPr>
          <w:rFonts w:hint="default" w:ascii="Times New Roman" w:hAnsi="Times New Roman" w:eastAsia="黑体"/>
          <w:sz w:val="21"/>
          <w:szCs w:val="21"/>
          <w:lang w:val="en-US" w:eastAsia="zh-CN"/>
        </w:rPr>
      </w:pPr>
    </w:p>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9"/>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128" w:hRule="atLeast"/>
        </w:trPr>
        <w:tc>
          <w:tcPr>
            <w:tcW w:w="4990" w:type="dxa"/>
          </w:tcPr>
          <w:p>
            <w:pPr>
              <w:pStyle w:val="52"/>
              <w:framePr w:w="0" w:hRule="auto" w:wrap="auto" w:vAnchor="margin" w:hAnchor="text" w:xAlign="left" w:yAlign="inline"/>
              <w:ind w:firstLine="420"/>
            </w:pPr>
            <w:bookmarkStart w:id="2" w:name="_Hlk26473981"/>
            <w:r>
              <w:fldChar w:fldCharType="begin">
                <w:ffData>
                  <w:name w:val="c1"/>
                  <w:enabled/>
                  <w:calcOnExit w:val="0"/>
                  <w:textInput>
                    <w:maxLength w:val="8"/>
                  </w:textInput>
                </w:ffData>
              </w:fldChar>
            </w:r>
            <w:bookmarkStart w:id="3" w:name="c1"/>
            <w:r>
              <w:instrText xml:space="preserve"> FORMTEXT </w:instrText>
            </w:r>
            <w:r>
              <w:fldChar w:fldCharType="separate"/>
            </w:r>
            <w:r>
              <w:t>TY</w:t>
            </w:r>
            <w:r>
              <w:fldChar w:fldCharType="end"/>
            </w:r>
            <w:bookmarkEnd w:id="3"/>
          </w:p>
        </w:tc>
      </w:tr>
    </w:tbl>
    <w:p>
      <w:pPr>
        <w:pStyle w:val="53"/>
        <w:framePr w:w="9639" w:h="624" w:hRule="exact" w:hSpace="181" w:vSpace="181"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hint="eastAsia" w:ascii="黑体" w:eastAsia="黑体"/>
          <w:b w:val="0"/>
          <w:bCs w:val="0"/>
          <w:w w:val="100"/>
          <w:sz w:val="48"/>
        </w:rPr>
        <w:t>体育</w:t>
      </w:r>
      <w:r>
        <w:rPr>
          <w:rFonts w:ascii="黑体" w:eastAsia="黑体"/>
          <w:b w:val="0"/>
          <w:bCs w:val="0"/>
          <w:w w:val="100"/>
          <w:sz w:val="48"/>
        </w:rPr>
        <w:fldChar w:fldCharType="end"/>
      </w:r>
      <w:bookmarkEnd w:id="4"/>
      <w:r>
        <w:rPr>
          <w:rFonts w:hint="eastAsia" w:ascii="黑体" w:hAnsi="黑体" w:eastAsia="黑体"/>
          <w:b w:val="0"/>
          <w:bCs w:val="0"/>
          <w:w w:val="100"/>
          <w:sz w:val="48"/>
          <w:szCs w:val="48"/>
        </w:rPr>
        <w:t>行业标准</w:t>
      </w:r>
    </w:p>
    <w:bookmarkEnd w:id="2"/>
    <w:p>
      <w:pPr>
        <w:pStyle w:val="198"/>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TY</w:t>
      </w:r>
      <w:r>
        <w:rPr>
          <w:lang w:val="fr-FR"/>
        </w:rPr>
        <w:t>/T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rPr>
          <w:lang w:val="fr-FR"/>
        </w:rPr>
        <w:t>XXXXX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9"/>
        <w:rPr>
          <w:rFonts w:hAnsi="黑体"/>
          <w:lang w:val="fr-FR"/>
        </w:rPr>
      </w:pPr>
    </w:p>
    <w:p>
      <w:pPr>
        <w:spacing w:line="240" w:lineRule="auto"/>
        <w:rPr>
          <w:rFonts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3"/>
        <w:framePr w:w="9639" w:h="6976" w:hRule="exact" w:hSpace="0" w:vSpace="0" w:hAnchor="page" w:y="6408"/>
        <w:jc w:val="center"/>
        <w:rPr>
          <w:rFonts w:ascii="黑体" w:hAnsi="黑体" w:eastAsia="黑体"/>
          <w:b w:val="0"/>
          <w:bCs w:val="0"/>
          <w:w w:val="100"/>
          <w:lang w:val="fr-FR"/>
        </w:rPr>
      </w:pPr>
    </w:p>
    <w:p>
      <w:pPr>
        <w:pStyle w:val="200"/>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绿色体育场馆运营评价通用规范</w:t>
      </w:r>
      <w:r>
        <w:fldChar w:fldCharType="end"/>
      </w:r>
      <w:bookmarkEnd w:id="8"/>
    </w:p>
    <w:p>
      <w:pPr>
        <w:framePr w:w="9639" w:h="6974" w:hRule="exact" w:wrap="around" w:vAnchor="page" w:hAnchor="page" w:x="1419" w:y="6408" w:anchorLock="1"/>
        <w:ind w:left="-1418"/>
      </w:pPr>
    </w:p>
    <w:p>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eastAsia="黑体"/>
          <w:szCs w:val="28"/>
        </w:rPr>
        <w:t>General specifications for green stadium operation evaluation</w:t>
      </w:r>
      <w:r>
        <w:rPr>
          <w:rFonts w:eastAsia="黑体"/>
          <w:szCs w:val="28"/>
        </w:rPr>
        <w:fldChar w:fldCharType="end"/>
      </w:r>
      <w:bookmarkEnd w:id="9"/>
    </w:p>
    <w:p>
      <w:pPr>
        <w:framePr w:w="9639" w:h="6974" w:hRule="exact" w:wrap="around" w:vAnchor="page" w:hAnchor="page" w:x="1419" w:y="6408" w:anchorLock="1"/>
        <w:spacing w:line="760" w:lineRule="exact"/>
        <w:ind w:left="-1418"/>
      </w:pPr>
    </w:p>
    <w:p>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0"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10"/>
    </w:p>
    <w:p>
      <w:pPr>
        <w:pStyle w:val="128"/>
        <w:framePr w:w="9639" w:h="6974" w:hRule="exact" w:wrap="around" w:vAnchor="page" w:hAnchor="page" w:x="1419" w:y="6408" w:anchorLock="1"/>
        <w:spacing w:before="440" w:after="160"/>
        <w:textAlignment w:val="bottom"/>
        <w:rPr>
          <w:sz w:val="24"/>
          <w:szCs w:val="28"/>
        </w:rPr>
      </w:pPr>
      <w:r>
        <w:rPr>
          <w:rFonts w:hint="eastAsia"/>
          <w:sz w:val="24"/>
          <w:szCs w:val="28"/>
        </w:rPr>
        <w:t>（征求意见稿）</w:t>
      </w:r>
    </w:p>
    <w:p>
      <w:pPr>
        <w:pStyle w:val="128"/>
        <w:framePr w:w="9639" w:h="6974" w:hRule="exact" w:wrap="around" w:vAnchor="page" w:hAnchor="page" w:x="1419" w:y="6408" w:anchorLock="1"/>
        <w:spacing w:before="180" w:line="240" w:lineRule="atLeast"/>
        <w:textAlignment w:val="bottom"/>
        <w:rPr>
          <w:sz w:val="21"/>
          <w:szCs w:val="28"/>
        </w:rPr>
      </w:pPr>
    </w:p>
    <w:p>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pPr>
        <w:pStyle w:val="196"/>
        <w:framePr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pPr>
        <w:pStyle w:val="197"/>
        <w:framePr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pPr>
        <w:pStyle w:val="154"/>
        <w:framePr w:h="584" w:hRule="exact" w:hSpace="181" w:vSpace="181" w:y="14800"/>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fldChar w:fldCharType="separate"/>
      </w:r>
      <w:r>
        <w:rPr>
          <w:rFonts w:hint="eastAsia" w:hAnsi="黑体"/>
          <w:w w:val="100"/>
          <w:sz w:val="28"/>
        </w:rPr>
        <w:t>国家体育总局</w:t>
      </w:r>
      <w:r>
        <w:rPr>
          <w:rFonts w:hAnsi="黑体"/>
          <w:w w:val="100"/>
          <w:sz w:val="28"/>
        </w:rPr>
        <w:fldChar w:fldCharType="end"/>
      </w:r>
      <w:bookmarkEnd w:id="18"/>
      <w:r>
        <w:rPr>
          <w:rFonts w:ascii="Times New Roman"/>
          <w:w w:val="100"/>
          <w:sz w:val="28"/>
          <w:szCs w:val="28"/>
        </w:rPr>
        <w:t>  </w:t>
      </w:r>
      <w:r>
        <w:rPr>
          <w:rStyle w:val="232"/>
          <w:rFonts w:hint="eastAsia" w:hAnsi="黑体"/>
          <w:position w:val="0"/>
        </w:rPr>
        <w:t>发</w:t>
      </w:r>
      <w:r>
        <w:rPr>
          <w:rStyle w:val="232"/>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021"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4"/>
        <w:spacing w:after="360"/>
      </w:pPr>
      <w:bookmarkStart w:id="19" w:name="BookMark1"/>
      <w:r>
        <w:rPr>
          <w:rFonts w:hint="eastAsia"/>
          <w:spacing w:val="320"/>
        </w:rPr>
        <w:t>目</w:t>
      </w:r>
      <w:r>
        <w:rPr>
          <w:rFonts w:hint="eastAsia"/>
        </w:rPr>
        <w:t>次</w:t>
      </w:r>
    </w:p>
    <w:p>
      <w:pPr>
        <w:pStyle w:val="20"/>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"_Toc110599832" </w:instrText>
      </w:r>
      <w:r>
        <w:fldChar w:fldCharType="separate"/>
      </w:r>
      <w:r>
        <w:rPr>
          <w:rStyle w:val="34"/>
        </w:rPr>
        <w:t>前言</w:t>
      </w:r>
      <w:r>
        <w:tab/>
      </w:r>
      <w:r>
        <w:fldChar w:fldCharType="begin"/>
      </w:r>
      <w:r>
        <w:instrText xml:space="preserve"> PAGEREF _Toc110599832 \h </w:instrText>
      </w:r>
      <w:r>
        <w:fldChar w:fldCharType="separate"/>
      </w:r>
      <w:r>
        <w:t>II</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"_Toc110599833" </w:instrText>
      </w:r>
      <w:r>
        <w:fldChar w:fldCharType="separate"/>
      </w:r>
      <w:r>
        <w:rPr>
          <w:rStyle w:val="34"/>
        </w:rPr>
        <w:t>1  范围</w:t>
      </w:r>
      <w:r>
        <w:tab/>
      </w:r>
      <w:r>
        <w:fldChar w:fldCharType="begin"/>
      </w:r>
      <w:r>
        <w:instrText xml:space="preserve"> PAGEREF _Toc110599833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"_Toc110599834" </w:instrText>
      </w:r>
      <w:r>
        <w:fldChar w:fldCharType="separate"/>
      </w:r>
      <w:r>
        <w:rPr>
          <w:rStyle w:val="34"/>
        </w:rPr>
        <w:t>2  规范性引用文件</w:t>
      </w:r>
      <w:r>
        <w:tab/>
      </w:r>
      <w:r>
        <w:fldChar w:fldCharType="begin"/>
      </w:r>
      <w:r>
        <w:instrText xml:space="preserve"> PAGEREF _Toc110599834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"_Toc110599835" </w:instrText>
      </w:r>
      <w:r>
        <w:fldChar w:fldCharType="separate"/>
      </w:r>
      <w:r>
        <w:rPr>
          <w:rStyle w:val="34"/>
        </w:rPr>
        <w:t>3  术语和定义</w:t>
      </w:r>
      <w:r>
        <w:tab/>
      </w:r>
      <w:r>
        <w:fldChar w:fldCharType="begin"/>
      </w:r>
      <w:r>
        <w:instrText xml:space="preserve"> PAGEREF _Toc110599835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"_Toc110599836" </w:instrText>
      </w:r>
      <w:r>
        <w:fldChar w:fldCharType="separate"/>
      </w:r>
      <w:r>
        <w:rPr>
          <w:rStyle w:val="34"/>
        </w:rPr>
        <w:t>4  总则</w:t>
      </w:r>
      <w:r>
        <w:tab/>
      </w:r>
      <w:r>
        <w:fldChar w:fldCharType="begin"/>
      </w:r>
      <w:r>
        <w:instrText xml:space="preserve"> PAGEREF _Toc110599836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"_Toc110599837" </w:instrText>
      </w:r>
      <w:r>
        <w:fldChar w:fldCharType="separate"/>
      </w:r>
      <w:r>
        <w:rPr>
          <w:rStyle w:val="34"/>
        </w:rPr>
        <w:t>5  基本要求</w:t>
      </w:r>
      <w:r>
        <w:tab/>
      </w:r>
      <w:r>
        <w:fldChar w:fldCharType="begin"/>
      </w:r>
      <w:r>
        <w:instrText xml:space="preserve"> PAGEREF _Toc110599837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"_Toc110599838" </w:instrText>
      </w:r>
      <w:r>
        <w:fldChar w:fldCharType="separate"/>
      </w:r>
      <w:r>
        <w:rPr>
          <w:rStyle w:val="34"/>
          <w14:scene3d>
            <w14:lightRig w14:rig="threePt" w14:dir="t">
              <w14:rot w14:lat="0" w14:lon="0" w14:rev="0"/>
            </w14:lightRig>
          </w14:scene3d>
        </w:rPr>
        <w:t xml:space="preserve">5.1 </w:t>
      </w:r>
      <w:r>
        <w:rPr>
          <w:rStyle w:val="34"/>
        </w:rPr>
        <w:t xml:space="preserve"> 一般要求</w:t>
      </w:r>
      <w:r>
        <w:tab/>
      </w:r>
      <w:r>
        <w:fldChar w:fldCharType="begin"/>
      </w:r>
      <w:r>
        <w:instrText xml:space="preserve"> PAGEREF _Toc110599838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"_Toc110599839" </w:instrText>
      </w:r>
      <w:r>
        <w:fldChar w:fldCharType="separate"/>
      </w:r>
      <w:r>
        <w:rPr>
          <w:rStyle w:val="34"/>
          <w14:scene3d>
            <w14:lightRig w14:rig="threePt" w14:dir="t">
              <w14:rot w14:lat="0" w14:lon="0" w14:rev="0"/>
            </w14:lightRig>
          </w14:scene3d>
        </w:rPr>
        <w:t xml:space="preserve">5.2 </w:t>
      </w:r>
      <w:r>
        <w:rPr>
          <w:rStyle w:val="34"/>
        </w:rPr>
        <w:t xml:space="preserve"> 评价与等级划分</w:t>
      </w:r>
      <w:r>
        <w:tab/>
      </w:r>
      <w:r>
        <w:fldChar w:fldCharType="begin"/>
      </w:r>
      <w:r>
        <w:instrText xml:space="preserve"> PAGEREF _Toc110599839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"_Toc110599840" </w:instrText>
      </w:r>
      <w:r>
        <w:fldChar w:fldCharType="separate"/>
      </w:r>
      <w:r>
        <w:rPr>
          <w:rStyle w:val="34"/>
        </w:rPr>
        <w:t>6  低碳运营(100分)</w:t>
      </w:r>
      <w:r>
        <w:tab/>
      </w:r>
      <w:r>
        <w:fldChar w:fldCharType="begin"/>
      </w:r>
      <w:r>
        <w:instrText xml:space="preserve"> PAGEREF _Toc110599840 \h </w:instrText>
      </w:r>
      <w:r>
        <w:fldChar w:fldCharType="separate"/>
      </w:r>
      <w:r>
        <w:t>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"_Toc110599841" </w:instrText>
      </w:r>
      <w:r>
        <w:fldChar w:fldCharType="separate"/>
      </w:r>
      <w:r>
        <w:rPr>
          <w:rStyle w:val="34"/>
          <w14:scene3d>
            <w14:lightRig w14:rig="threePt" w14:dir="t">
              <w14:rot w14:lat="0" w14:lon="0" w14:rev="0"/>
            </w14:lightRig>
          </w14:scene3d>
        </w:rPr>
        <w:t xml:space="preserve">6.1 </w:t>
      </w:r>
      <w:r>
        <w:rPr>
          <w:rStyle w:val="34"/>
        </w:rPr>
        <w:t xml:space="preserve"> 控制项</w:t>
      </w:r>
      <w:r>
        <w:tab/>
      </w:r>
      <w:r>
        <w:fldChar w:fldCharType="begin"/>
      </w:r>
      <w:r>
        <w:instrText xml:space="preserve"> PAGEREF _Toc110599841 \h </w:instrText>
      </w:r>
      <w:r>
        <w:fldChar w:fldCharType="separate"/>
      </w:r>
      <w:r>
        <w:t>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"_Toc110599842" </w:instrText>
      </w:r>
      <w:r>
        <w:fldChar w:fldCharType="separate"/>
      </w:r>
      <w:r>
        <w:rPr>
          <w:rStyle w:val="34"/>
          <w14:scene3d>
            <w14:lightRig w14:rig="threePt" w14:dir="t">
              <w14:rot w14:lat="0" w14:lon="0" w14:rev="0"/>
            </w14:lightRig>
          </w14:scene3d>
        </w:rPr>
        <w:t xml:space="preserve">6.2 </w:t>
      </w:r>
      <w:r>
        <w:rPr>
          <w:rStyle w:val="34"/>
        </w:rPr>
        <w:t xml:space="preserve"> 评分项</w:t>
      </w:r>
      <w:r>
        <w:tab/>
      </w:r>
      <w:r>
        <w:fldChar w:fldCharType="begin"/>
      </w:r>
      <w:r>
        <w:instrText xml:space="preserve"> PAGEREF _Toc110599842 \h </w:instrText>
      </w:r>
      <w:r>
        <w:fldChar w:fldCharType="separate"/>
      </w:r>
      <w:r>
        <w:t>3</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"_Toc110599843" </w:instrText>
      </w:r>
      <w:r>
        <w:fldChar w:fldCharType="separate"/>
      </w:r>
      <w:r>
        <w:rPr>
          <w:rStyle w:val="34"/>
        </w:rPr>
        <w:t>7  运行保障(100分)</w:t>
      </w:r>
      <w:r>
        <w:tab/>
      </w:r>
      <w:r>
        <w:fldChar w:fldCharType="begin"/>
      </w:r>
      <w:r>
        <w:instrText xml:space="preserve"> PAGEREF _Toc110599843 \h </w:instrText>
      </w:r>
      <w:r>
        <w:fldChar w:fldCharType="separate"/>
      </w:r>
      <w:r>
        <w:t>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"_Toc110599844" </w:instrText>
      </w:r>
      <w:r>
        <w:fldChar w:fldCharType="separate"/>
      </w:r>
      <w:r>
        <w:rPr>
          <w:rStyle w:val="34"/>
          <w14:scene3d>
            <w14:lightRig w14:rig="threePt" w14:dir="t">
              <w14:rot w14:lat="0" w14:lon="0" w14:rev="0"/>
            </w14:lightRig>
          </w14:scene3d>
        </w:rPr>
        <w:t xml:space="preserve">7.1 </w:t>
      </w:r>
      <w:r>
        <w:rPr>
          <w:rStyle w:val="34"/>
        </w:rPr>
        <w:t xml:space="preserve"> 控制项</w:t>
      </w:r>
      <w:r>
        <w:tab/>
      </w:r>
      <w:r>
        <w:fldChar w:fldCharType="begin"/>
      </w:r>
      <w:r>
        <w:instrText xml:space="preserve"> PAGEREF _Toc110599844 \h </w:instrText>
      </w:r>
      <w:r>
        <w:fldChar w:fldCharType="separate"/>
      </w:r>
      <w:r>
        <w:t>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"_Toc110599845" </w:instrText>
      </w:r>
      <w:r>
        <w:fldChar w:fldCharType="separate"/>
      </w:r>
      <w:r>
        <w:rPr>
          <w:rStyle w:val="34"/>
          <w14:scene3d>
            <w14:lightRig w14:rig="threePt" w14:dir="t">
              <w14:rot w14:lat="0" w14:lon="0" w14:rev="0"/>
            </w14:lightRig>
          </w14:scene3d>
        </w:rPr>
        <w:t xml:space="preserve">7.2 </w:t>
      </w:r>
      <w:r>
        <w:rPr>
          <w:rStyle w:val="34"/>
        </w:rPr>
        <w:t xml:space="preserve"> 评分项</w:t>
      </w:r>
      <w:r>
        <w:tab/>
      </w:r>
      <w:r>
        <w:fldChar w:fldCharType="begin"/>
      </w:r>
      <w:r>
        <w:instrText xml:space="preserve"> PAGEREF _Toc110599845 \h </w:instrText>
      </w:r>
      <w:r>
        <w:fldChar w:fldCharType="separate"/>
      </w:r>
      <w:r>
        <w:t>4</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"_Toc110599846" </w:instrText>
      </w:r>
      <w:r>
        <w:fldChar w:fldCharType="separate"/>
      </w:r>
      <w:r>
        <w:rPr>
          <w:rStyle w:val="34"/>
        </w:rPr>
        <w:t>8  效益优化(100分)</w:t>
      </w:r>
      <w:r>
        <w:tab/>
      </w:r>
      <w:r>
        <w:fldChar w:fldCharType="begin"/>
      </w:r>
      <w:r>
        <w:instrText xml:space="preserve"> PAGEREF _Toc110599846 \h </w:instrText>
      </w:r>
      <w:r>
        <w:fldChar w:fldCharType="separate"/>
      </w:r>
      <w:r>
        <w:t>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"_Toc110599847" </w:instrText>
      </w:r>
      <w:r>
        <w:fldChar w:fldCharType="separate"/>
      </w:r>
      <w:r>
        <w:rPr>
          <w:rStyle w:val="34"/>
          <w14:scene3d>
            <w14:lightRig w14:rig="threePt" w14:dir="t">
              <w14:rot w14:lat="0" w14:lon="0" w14:rev="0"/>
            </w14:lightRig>
          </w14:scene3d>
        </w:rPr>
        <w:t xml:space="preserve">8.1 </w:t>
      </w:r>
      <w:r>
        <w:rPr>
          <w:rStyle w:val="34"/>
        </w:rPr>
        <w:t xml:space="preserve"> 控制项</w:t>
      </w:r>
      <w:r>
        <w:tab/>
      </w:r>
      <w:r>
        <w:fldChar w:fldCharType="begin"/>
      </w:r>
      <w:r>
        <w:instrText xml:space="preserve"> PAGEREF _Toc110599847 \h </w:instrText>
      </w:r>
      <w:r>
        <w:fldChar w:fldCharType="separate"/>
      </w:r>
      <w:r>
        <w:t>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"_Toc110599848" </w:instrText>
      </w:r>
      <w:r>
        <w:fldChar w:fldCharType="separate"/>
      </w:r>
      <w:r>
        <w:rPr>
          <w:rStyle w:val="34"/>
          <w14:scene3d>
            <w14:lightRig w14:rig="threePt" w14:dir="t">
              <w14:rot w14:lat="0" w14:lon="0" w14:rev="0"/>
            </w14:lightRig>
          </w14:scene3d>
        </w:rPr>
        <w:t xml:space="preserve">8.2 </w:t>
      </w:r>
      <w:r>
        <w:rPr>
          <w:rStyle w:val="34"/>
        </w:rPr>
        <w:t xml:space="preserve"> 评分项</w:t>
      </w:r>
      <w:r>
        <w:tab/>
      </w:r>
      <w:r>
        <w:fldChar w:fldCharType="begin"/>
      </w:r>
      <w:r>
        <w:instrText xml:space="preserve"> PAGEREF _Toc110599848 \h </w:instrText>
      </w:r>
      <w:r>
        <w:fldChar w:fldCharType="separate"/>
      </w:r>
      <w:r>
        <w:t>5</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"_Toc110599849" </w:instrText>
      </w:r>
      <w:r>
        <w:fldChar w:fldCharType="separate"/>
      </w:r>
      <w:r>
        <w:rPr>
          <w:rStyle w:val="34"/>
        </w:rPr>
        <w:t>9  智慧创新(100分)</w:t>
      </w:r>
      <w:r>
        <w:tab/>
      </w:r>
      <w:r>
        <w:fldChar w:fldCharType="begin"/>
      </w:r>
      <w:r>
        <w:instrText xml:space="preserve"> PAGEREF _Toc110599849 \h </w:instrText>
      </w:r>
      <w:r>
        <w:fldChar w:fldCharType="separate"/>
      </w:r>
      <w:r>
        <w:t>5</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"_Toc110599850" </w:instrText>
      </w:r>
      <w:r>
        <w:fldChar w:fldCharType="separate"/>
      </w:r>
      <w:r>
        <w:rPr>
          <w:rStyle w:val="34"/>
          <w14:scene3d>
            <w14:lightRig w14:rig="threePt" w14:dir="t">
              <w14:rot w14:lat="0" w14:lon="0" w14:rev="0"/>
            </w14:lightRig>
          </w14:scene3d>
        </w:rPr>
        <w:t xml:space="preserve">9.1 </w:t>
      </w:r>
      <w:r>
        <w:rPr>
          <w:rStyle w:val="34"/>
        </w:rPr>
        <w:t xml:space="preserve"> 控制项</w:t>
      </w:r>
      <w:r>
        <w:tab/>
      </w:r>
      <w:r>
        <w:fldChar w:fldCharType="begin"/>
      </w:r>
      <w:r>
        <w:instrText xml:space="preserve"> PAGEREF _Toc110599850 \h </w:instrText>
      </w:r>
      <w:r>
        <w:fldChar w:fldCharType="separate"/>
      </w:r>
      <w:r>
        <w:t>5</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"_Toc110599851" </w:instrText>
      </w:r>
      <w:r>
        <w:fldChar w:fldCharType="separate"/>
      </w:r>
      <w:r>
        <w:rPr>
          <w:rStyle w:val="34"/>
          <w14:scene3d>
            <w14:lightRig w14:rig="threePt" w14:dir="t">
              <w14:rot w14:lat="0" w14:lon="0" w14:rev="0"/>
            </w14:lightRig>
          </w14:scene3d>
        </w:rPr>
        <w:t xml:space="preserve">9.2 </w:t>
      </w:r>
      <w:r>
        <w:rPr>
          <w:rStyle w:val="34"/>
        </w:rPr>
        <w:t xml:space="preserve"> 评分项</w:t>
      </w:r>
      <w:r>
        <w:tab/>
      </w:r>
      <w:r>
        <w:fldChar w:fldCharType="begin"/>
      </w:r>
      <w:r>
        <w:instrText xml:space="preserve"> PAGEREF _Toc110599851 \h </w:instrText>
      </w:r>
      <w:r>
        <w:fldChar w:fldCharType="separate"/>
      </w:r>
      <w:r>
        <w:t>5</w:t>
      </w:r>
      <w:r>
        <w:fldChar w:fldCharType="end"/>
      </w:r>
      <w:r>
        <w:fldChar w:fldCharType="end"/>
      </w:r>
    </w:p>
    <w:p>
      <w:pPr>
        <w:pStyle w:val="94"/>
        <w:spacing w:after="360"/>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linePitch="312" w:charSpace="0"/>
        </w:sectPr>
      </w:pPr>
      <w:r>
        <w:fldChar w:fldCharType="end"/>
      </w:r>
    </w:p>
    <w:bookmarkEnd w:id="19"/>
    <w:p>
      <w:pPr>
        <w:pStyle w:val="92"/>
        <w:spacing w:after="360"/>
      </w:pPr>
      <w:bookmarkStart w:id="20" w:name="_Toc110599832"/>
      <w:bookmarkStart w:id="21" w:name="BookMark2"/>
      <w:r>
        <w:rPr>
          <w:spacing w:val="320"/>
        </w:rPr>
        <w:t>前</w:t>
      </w:r>
      <w:r>
        <w:t>言</w:t>
      </w:r>
      <w:bookmarkEnd w:id="20"/>
    </w:p>
    <w:p>
      <w:pPr>
        <w:pStyle w:val="59"/>
        <w:ind w:firstLine="420"/>
      </w:pPr>
      <w:r>
        <w:rPr>
          <w:rFonts w:hint="eastAsia"/>
        </w:rPr>
        <w:t>本文件按照GB/T 1.1—2020《标准化工作导则 第1部分：标准化文件的结构和起草规则》的规定起草。</w:t>
      </w:r>
    </w:p>
    <w:p>
      <w:pPr>
        <w:pStyle w:val="59"/>
        <w:ind w:firstLine="420"/>
      </w:pPr>
      <w:r>
        <w:rPr>
          <w:rFonts w:hint="eastAsia"/>
        </w:rPr>
        <w:t>本文件由国家体育总局提出。</w:t>
      </w:r>
    </w:p>
    <w:p>
      <w:pPr>
        <w:pStyle w:val="59"/>
        <w:ind w:firstLine="420"/>
      </w:pPr>
      <w:r>
        <w:rPr>
          <w:rFonts w:hint="eastAsia"/>
        </w:rPr>
        <w:t>本文件由国家体育总局归口。</w:t>
      </w:r>
    </w:p>
    <w:p>
      <w:pPr>
        <w:pStyle w:val="59"/>
        <w:ind w:firstLine="420"/>
      </w:pPr>
      <w:r>
        <w:rPr>
          <w:rFonts w:hint="eastAsia"/>
        </w:rPr>
        <w:t>本文件起草单位：首都体育学院。</w:t>
      </w:r>
    </w:p>
    <w:p>
      <w:pPr>
        <w:pStyle w:val="59"/>
        <w:ind w:firstLine="420"/>
        <w:rPr>
          <w:lang w:eastAsia="zh-Hans"/>
        </w:rPr>
      </w:pPr>
      <w:r>
        <w:rPr>
          <w:rFonts w:hint="eastAsia"/>
          <w:lang w:eastAsia="zh-Hans"/>
        </w:rPr>
        <w:t>本文件参编单位：中国体育场馆协会、广州珠江实业集团有限公司、深圳湾体育中心、邱德拔体育馆、地坛体育中心、上海源深体育中心、北京瀚业体育咨询有限公司等。</w:t>
      </w:r>
    </w:p>
    <w:p>
      <w:pPr>
        <w:pStyle w:val="59"/>
        <w:ind w:firstLine="420"/>
      </w:pPr>
      <w:r>
        <w:rPr>
          <w:rFonts w:hint="eastAsia"/>
        </w:rPr>
        <w:t>本文件主要起草人：霍建新、王庆伟、周志雄、</w:t>
      </w:r>
      <w:r>
        <w:rPr>
          <w:rFonts w:hint="eastAsia"/>
          <w:lang w:eastAsia="zh-Hans"/>
        </w:rPr>
        <w:t>谭建湘、</w:t>
      </w:r>
      <w:r>
        <w:rPr>
          <w:rFonts w:hint="eastAsia"/>
        </w:rPr>
        <w:t>陈元欣、</w:t>
      </w:r>
      <w:r>
        <w:rPr>
          <w:rFonts w:hint="eastAsia"/>
          <w:lang w:eastAsia="zh-Hans"/>
        </w:rPr>
        <w:t>王兆红、王裕雄、</w:t>
      </w:r>
      <w:r>
        <w:rPr>
          <w:rFonts w:hint="eastAsia"/>
        </w:rPr>
        <w:t>陈晓民、孙四海、李芾、纪峰、郑钢、朱琳、刘茂辉、尚华星、王逸姮、王薇等。</w:t>
      </w:r>
    </w:p>
    <w:p>
      <w:pPr>
        <w:pStyle w:val="59"/>
        <w:ind w:firstLine="420"/>
      </w:pPr>
    </w:p>
    <w:p>
      <w:pPr>
        <w:pStyle w:val="59"/>
        <w:ind w:firstLine="420"/>
        <w:sectPr>
          <w:pgSz w:w="11906" w:h="16838"/>
          <w:pgMar w:top="2410" w:right="1134" w:bottom="1134" w:left="1134" w:header="1418" w:footer="1134" w:gutter="284"/>
          <w:pgNumType w:fmt="upperRoman"/>
          <w:cols w:space="425" w:num="1"/>
          <w:formProt w:val="0"/>
          <w:docGrid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59CE5255A5BD401E9731A28DE69553C6"/>
        </w:placeholder>
      </w:sdtPr>
      <w:sdtContent>
        <w:p>
          <w:pPr>
            <w:pStyle w:val="180"/>
            <w:spacing w:before="240" w:beforeLines="100" w:after="528" w:afterLines="220"/>
          </w:pPr>
          <w:bookmarkStart w:id="23" w:name="NEW_STAND_NAME"/>
          <w:r>
            <w:rPr>
              <w:rFonts w:hint="eastAsia"/>
            </w:rPr>
            <w:t>绿色体育场馆运营评价通用规范</w:t>
          </w:r>
        </w:p>
      </w:sdtContent>
    </w:sdt>
    <w:bookmarkEnd w:id="23"/>
    <w:p>
      <w:pPr>
        <w:pStyle w:val="107"/>
        <w:spacing w:before="240" w:after="240"/>
      </w:pPr>
      <w:bookmarkStart w:id="24" w:name="_Toc26648465"/>
      <w:bookmarkStart w:id="25" w:name="_Toc26986530"/>
      <w:bookmarkStart w:id="26" w:name="_Toc24884218"/>
      <w:bookmarkStart w:id="27" w:name="_Toc24884211"/>
      <w:bookmarkStart w:id="28" w:name="_Toc17233325"/>
      <w:bookmarkStart w:id="29" w:name="_Toc26986771"/>
      <w:bookmarkStart w:id="30" w:name="_Toc110599833"/>
      <w:bookmarkStart w:id="31" w:name="_Toc17233333"/>
      <w:bookmarkStart w:id="32" w:name="_Toc26718930"/>
      <w:r>
        <w:rPr>
          <w:rFonts w:hint="eastAsia"/>
        </w:rPr>
        <w:t>范围</w:t>
      </w:r>
      <w:bookmarkEnd w:id="24"/>
      <w:bookmarkEnd w:id="25"/>
      <w:bookmarkEnd w:id="26"/>
      <w:bookmarkEnd w:id="27"/>
      <w:bookmarkEnd w:id="28"/>
      <w:bookmarkEnd w:id="29"/>
      <w:bookmarkEnd w:id="30"/>
      <w:bookmarkEnd w:id="31"/>
      <w:bookmarkEnd w:id="32"/>
    </w:p>
    <w:p>
      <w:pPr>
        <w:pStyle w:val="59"/>
        <w:ind w:firstLine="420"/>
      </w:pPr>
      <w:bookmarkStart w:id="33" w:name="_Toc24884219"/>
      <w:bookmarkStart w:id="34" w:name="_Toc26648466"/>
      <w:bookmarkStart w:id="35" w:name="_Toc24884212"/>
      <w:bookmarkStart w:id="36" w:name="_Toc17233326"/>
      <w:bookmarkStart w:id="37" w:name="_Toc17233334"/>
      <w:r>
        <w:rPr>
          <w:rFonts w:hint="eastAsia"/>
        </w:rPr>
        <w:t>本文件规定了绿色体育场馆运营评价的术语和定义、总则、基本要求、低碳运营、运行保障、效益优化、智慧创新等内容，</w:t>
      </w:r>
      <w:r>
        <w:t>并</w:t>
      </w:r>
      <w:r>
        <w:rPr>
          <w:rFonts w:hint="eastAsia"/>
        </w:rPr>
        <w:t>为绿色体育场馆运营评价提供</w:t>
      </w:r>
      <w:r>
        <w:t>了</w:t>
      </w:r>
      <w:r>
        <w:rPr>
          <w:rFonts w:hint="eastAsia"/>
        </w:rPr>
        <w:t>指导。</w:t>
      </w:r>
    </w:p>
    <w:p>
      <w:pPr>
        <w:pStyle w:val="59"/>
        <w:ind w:firstLine="420"/>
      </w:pPr>
      <w:r>
        <w:rPr>
          <w:rFonts w:hint="eastAsia"/>
        </w:rPr>
        <w:t>本文件适用于供比赛、训练、全民健身及其他活动使用的运营当中的体育场、体育馆、游泳馆的运营评价。</w:t>
      </w:r>
    </w:p>
    <w:p>
      <w:pPr>
        <w:pStyle w:val="107"/>
        <w:spacing w:before="240" w:after="240"/>
      </w:pPr>
      <w:bookmarkStart w:id="38" w:name="_Toc26986531"/>
      <w:bookmarkStart w:id="39" w:name="_Toc26718931"/>
      <w:bookmarkStart w:id="40" w:name="_Toc26986772"/>
      <w:bookmarkStart w:id="41" w:name="_Toc110599834"/>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46C4E8A8E6934084A0DEDC80F7711D5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ind w:firstLine="420"/>
      </w:pPr>
      <w:r>
        <w:rPr>
          <w:rFonts w:hint="eastAsia"/>
        </w:rPr>
        <w:t>GB 50189 公共建筑节能设计标准</w:t>
      </w:r>
    </w:p>
    <w:p>
      <w:pPr>
        <w:pStyle w:val="59"/>
        <w:ind w:firstLine="420"/>
      </w:pPr>
      <w:r>
        <w:rPr>
          <w:rFonts w:hint="eastAsia"/>
        </w:rPr>
        <w:t>GB 50314 智能建筑设计标准</w:t>
      </w:r>
    </w:p>
    <w:p>
      <w:pPr>
        <w:pStyle w:val="59"/>
        <w:ind w:firstLine="420"/>
      </w:pPr>
      <w:r>
        <w:rPr>
          <w:rFonts w:hint="eastAsia"/>
        </w:rPr>
        <w:t>GB/T 50378 绿色建筑评价标准</w:t>
      </w:r>
    </w:p>
    <w:p>
      <w:pPr>
        <w:pStyle w:val="59"/>
        <w:ind w:firstLine="420"/>
      </w:pPr>
      <w:r>
        <w:rPr>
          <w:rFonts w:hint="eastAsia"/>
        </w:rPr>
        <w:t>GB 50411 建筑节能工程施工质量验收标准</w:t>
      </w:r>
    </w:p>
    <w:p>
      <w:pPr>
        <w:pStyle w:val="59"/>
        <w:ind w:firstLine="420"/>
      </w:pPr>
      <w:r>
        <w:rPr>
          <w:rFonts w:hint="eastAsia"/>
        </w:rPr>
        <w:t>GB/T 50640 建筑工程绿色施工评价标准</w:t>
      </w:r>
    </w:p>
    <w:p>
      <w:pPr>
        <w:pStyle w:val="59"/>
        <w:ind w:firstLine="420"/>
      </w:pPr>
      <w:r>
        <w:rPr>
          <w:rFonts w:hint="eastAsia"/>
        </w:rPr>
        <w:t>GB/T 50905 建筑工程绿色施工规程</w:t>
      </w:r>
    </w:p>
    <w:p>
      <w:pPr>
        <w:pStyle w:val="59"/>
        <w:ind w:firstLine="420"/>
      </w:pPr>
      <w:r>
        <w:rPr>
          <w:rFonts w:hint="eastAsia"/>
        </w:rPr>
        <w:t>GB/T 51141 既有建筑绿色改造评价标准</w:t>
      </w:r>
    </w:p>
    <w:p>
      <w:pPr>
        <w:pStyle w:val="59"/>
        <w:ind w:firstLine="420"/>
      </w:pPr>
      <w:r>
        <w:rPr>
          <w:rFonts w:hint="eastAsia"/>
        </w:rPr>
        <w:t>CJ/T 244 游泳池水质标准</w:t>
      </w:r>
    </w:p>
    <w:p>
      <w:pPr>
        <w:pStyle w:val="59"/>
        <w:ind w:firstLine="420"/>
      </w:pPr>
      <w:r>
        <w:rPr>
          <w:rFonts w:hint="eastAsia"/>
        </w:rPr>
        <w:t>JGJ/T 179 体育建筑智能化系统工程技术规程</w:t>
      </w:r>
    </w:p>
    <w:p>
      <w:pPr>
        <w:pStyle w:val="59"/>
        <w:ind w:firstLine="420"/>
      </w:pPr>
      <w:r>
        <w:rPr>
          <w:rFonts w:hint="eastAsia"/>
        </w:rPr>
        <w:t>JGJ/T 391 绿色建筑运行维护技术规范</w:t>
      </w:r>
    </w:p>
    <w:p>
      <w:pPr>
        <w:pStyle w:val="59"/>
        <w:ind w:firstLine="420"/>
      </w:pPr>
      <w:r>
        <w:rPr>
          <w:rFonts w:hint="eastAsia"/>
        </w:rPr>
        <w:t>JGJ/T 417 建筑智能化系统运行维护技术规范</w:t>
      </w:r>
    </w:p>
    <w:p>
      <w:pPr>
        <w:pStyle w:val="59"/>
        <w:ind w:firstLine="420"/>
      </w:pPr>
      <w:r>
        <w:rPr>
          <w:rFonts w:hint="eastAsia"/>
        </w:rPr>
        <w:t xml:space="preserve">JGJ/T XX 体育建筑智能化系统工程技术规程(征求意见稿) </w:t>
      </w:r>
    </w:p>
    <w:p>
      <w:pPr>
        <w:pStyle w:val="59"/>
        <w:ind w:firstLine="420"/>
      </w:pPr>
      <w:r>
        <w:rPr>
          <w:rFonts w:hint="eastAsia"/>
        </w:rPr>
        <w:t>TY</w:t>
      </w:r>
      <w:r>
        <w:t>/</w:t>
      </w:r>
      <w:r>
        <w:rPr>
          <w:rFonts w:hint="eastAsia"/>
        </w:rPr>
        <w:t>T 1002.1 体育照明使用要求及检验方法 第1部分：室外足球场和综合体育场</w:t>
      </w:r>
    </w:p>
    <w:p>
      <w:pPr>
        <w:pStyle w:val="59"/>
        <w:ind w:firstLine="420"/>
      </w:pPr>
      <w:r>
        <w:rPr>
          <w:rFonts w:hint="eastAsia"/>
        </w:rPr>
        <w:t>TY</w:t>
      </w:r>
      <w:r>
        <w:t>/</w:t>
      </w:r>
      <w:r>
        <w:rPr>
          <w:rFonts w:hint="eastAsia"/>
        </w:rPr>
        <w:t>T 1002.2 体育照明使用要求及检验方法 第2部分：综合体育馆</w:t>
      </w:r>
    </w:p>
    <w:p>
      <w:pPr>
        <w:pStyle w:val="59"/>
        <w:ind w:firstLine="420"/>
      </w:pPr>
      <w:r>
        <w:rPr>
          <w:rFonts w:hint="eastAsia"/>
        </w:rPr>
        <w:t>TY/T 3001 体育场所服务质量管理 通用要求</w:t>
      </w:r>
    </w:p>
    <w:p>
      <w:pPr>
        <w:pStyle w:val="59"/>
        <w:ind w:firstLine="420"/>
      </w:pPr>
      <w:r>
        <w:rPr>
          <w:rFonts w:hint="eastAsia"/>
        </w:rPr>
        <w:t>JGJ 31 体育建筑设计规范</w:t>
      </w:r>
    </w:p>
    <w:p>
      <w:pPr>
        <w:pStyle w:val="59"/>
        <w:ind w:firstLine="420"/>
      </w:pPr>
      <w:r>
        <w:rPr>
          <w:rFonts w:hint="eastAsia"/>
        </w:rPr>
        <w:t>JGJ/T 449 民用建筑绿色性能计算标准</w:t>
      </w:r>
    </w:p>
    <w:p>
      <w:pPr>
        <w:pStyle w:val="59"/>
        <w:ind w:firstLine="420"/>
      </w:pPr>
      <w:r>
        <w:rPr>
          <w:rFonts w:hint="eastAsia"/>
        </w:rPr>
        <w:t>DB11/T 1296 体育场馆能源消耗定额</w:t>
      </w:r>
    </w:p>
    <w:p>
      <w:pPr>
        <w:pStyle w:val="59"/>
        <w:ind w:firstLine="420"/>
      </w:pPr>
      <w:r>
        <w:rPr>
          <w:rFonts w:hint="eastAsia"/>
        </w:rPr>
        <w:t>DB11/T 1335 体育场馆合理用能指南</w:t>
      </w:r>
    </w:p>
    <w:p>
      <w:pPr>
        <w:pStyle w:val="107"/>
        <w:spacing w:before="240" w:after="240"/>
      </w:pPr>
      <w:bookmarkStart w:id="42" w:name="_Toc110599835"/>
      <w:r>
        <w:rPr>
          <w:rFonts w:hint="eastAsia"/>
          <w:szCs w:val="21"/>
        </w:rPr>
        <w:t>术语和定义</w:t>
      </w:r>
      <w:bookmarkEnd w:id="42"/>
    </w:p>
    <w:sdt>
      <w:sdtPr>
        <w:id w:val="-1909835108"/>
        <w:placeholder>
          <w:docPart w:val="4358862AF5F24D7C84F0A1E82D710F7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9"/>
            <w:ind w:firstLine="420"/>
          </w:pPr>
          <w:bookmarkStart w:id="43" w:name="_Toc26986532"/>
          <w:bookmarkEnd w:id="43"/>
          <w:r>
            <w:t>下列术语和定义适用于本文件。</w:t>
          </w:r>
        </w:p>
      </w:sdtContent>
    </w:sdt>
    <w:p>
      <w:pPr>
        <w:pStyle w:val="226"/>
        <w:ind w:left="420" w:hanging="420" w:hangingChars="200"/>
        <w:rPr>
          <w:rFonts w:ascii="黑体" w:hAnsi="黑体" w:eastAsia="黑体"/>
        </w:rPr>
      </w:pPr>
      <w:r>
        <w:rPr>
          <w:rFonts w:hint="eastAsia" w:ascii="黑体" w:hAnsi="黑体" w:eastAsia="黑体"/>
        </w:rPr>
        <w:t xml:space="preserve">体育场 </w:t>
      </w:r>
      <w:r>
        <w:rPr>
          <w:rFonts w:ascii="黑体" w:hAnsi="黑体" w:eastAsia="黑体"/>
        </w:rPr>
        <w:t xml:space="preserve"> s</w:t>
      </w:r>
      <w:r>
        <w:rPr>
          <w:rFonts w:hint="eastAsia" w:ascii="黑体" w:hAnsi="黑体" w:eastAsia="黑体"/>
        </w:rPr>
        <w:t>tadium</w:t>
      </w:r>
    </w:p>
    <w:p>
      <w:pPr>
        <w:pStyle w:val="59"/>
        <w:ind w:firstLine="420"/>
      </w:pPr>
      <w:r>
        <w:rPr>
          <w:rFonts w:hint="eastAsia"/>
        </w:rPr>
        <w:t>用于足球、田径等体育训练、比赛、健身和娱乐活动的室外体育场地。</w:t>
      </w:r>
    </w:p>
    <w:p>
      <w:pPr>
        <w:pStyle w:val="182"/>
      </w:pPr>
      <w:r>
        <w:rPr>
          <w:rFonts w:hint="eastAsia"/>
        </w:rPr>
        <w:t>主要由标准足球场、标准田径场、看台和辅助用房及设施组成。</w:t>
      </w:r>
    </w:p>
    <w:p>
      <w:pPr>
        <w:pStyle w:val="226"/>
        <w:ind w:left="420" w:hanging="420" w:hangingChars="200"/>
        <w:rPr>
          <w:rFonts w:ascii="黑体" w:hAnsi="黑体" w:eastAsia="黑体"/>
        </w:rPr>
      </w:pPr>
      <w:r>
        <w:rPr>
          <w:rFonts w:hint="eastAsia" w:ascii="黑体" w:hAnsi="黑体" w:eastAsia="黑体"/>
        </w:rPr>
        <w:t xml:space="preserve">体育馆 </w:t>
      </w:r>
      <w:r>
        <w:rPr>
          <w:rFonts w:ascii="黑体" w:hAnsi="黑体" w:eastAsia="黑体"/>
        </w:rPr>
        <w:t>g</w:t>
      </w:r>
      <w:r>
        <w:rPr>
          <w:rFonts w:hint="eastAsia" w:ascii="黑体" w:hAnsi="黑体" w:eastAsia="黑体"/>
        </w:rPr>
        <w:t>ymnasium</w:t>
      </w:r>
    </w:p>
    <w:p>
      <w:pPr>
        <w:pStyle w:val="59"/>
        <w:ind w:firstLine="420"/>
      </w:pPr>
      <w:r>
        <w:rPr>
          <w:rFonts w:hint="eastAsia"/>
        </w:rPr>
        <w:t>配备有专门设备而供能够进行球类、体操（技巧）、武术、拳击、击剑、举重、摔跤、柔道等单项或多项室内竞技比赛和训练的体育建筑。</w:t>
      </w:r>
    </w:p>
    <w:p>
      <w:pPr>
        <w:pStyle w:val="182"/>
      </w:pPr>
      <w:r>
        <w:rPr>
          <w:rFonts w:hint="eastAsia"/>
        </w:rPr>
        <w:t>主要由比赛和训练场地、看台和辅助用房及设施组成。</w:t>
      </w:r>
    </w:p>
    <w:p>
      <w:pPr>
        <w:pStyle w:val="226"/>
        <w:ind w:left="420" w:hanging="420" w:hangingChars="200"/>
        <w:rPr>
          <w:rFonts w:ascii="黑体" w:hAnsi="黑体" w:eastAsia="黑体"/>
        </w:rPr>
      </w:pPr>
      <w:r>
        <w:rPr>
          <w:rFonts w:hint="eastAsia" w:ascii="黑体" w:hAnsi="黑体" w:eastAsia="黑体"/>
        </w:rPr>
        <w:t xml:space="preserve">游泳馆 </w:t>
      </w:r>
      <w:r>
        <w:rPr>
          <w:rFonts w:ascii="黑体" w:hAnsi="黑体" w:eastAsia="黑体"/>
        </w:rPr>
        <w:t>n</w:t>
      </w:r>
      <w:r>
        <w:rPr>
          <w:rFonts w:hint="eastAsia" w:ascii="黑体" w:hAnsi="黑体" w:eastAsia="黑体"/>
        </w:rPr>
        <w:t>atatorium</w:t>
      </w:r>
    </w:p>
    <w:p>
      <w:pPr>
        <w:pStyle w:val="59"/>
        <w:ind w:firstLine="420"/>
      </w:pPr>
      <w:r>
        <w:rPr>
          <w:rFonts w:hint="eastAsia"/>
        </w:rPr>
        <w:t>进行游泳、跳水、水球和花样游泳等室内比赛和训练的建筑和设施。</w:t>
      </w:r>
    </w:p>
    <w:p>
      <w:pPr>
        <w:pStyle w:val="182"/>
      </w:pPr>
      <w:r>
        <w:rPr>
          <w:rFonts w:hint="eastAsia"/>
        </w:rPr>
        <w:t>主要由比赛池和训练池、看台、辅助用房及设施组成。</w:t>
      </w:r>
    </w:p>
    <w:p>
      <w:pPr>
        <w:pStyle w:val="226"/>
        <w:ind w:left="420" w:hanging="420" w:hangingChars="200"/>
        <w:rPr>
          <w:rFonts w:ascii="黑体" w:hAnsi="黑体" w:eastAsia="黑体"/>
        </w:rPr>
      </w:pPr>
      <w:r>
        <w:rPr>
          <w:rFonts w:hint="eastAsia" w:ascii="黑体" w:hAnsi="黑体" w:eastAsia="黑体"/>
        </w:rPr>
        <w:t xml:space="preserve">绿色体育场馆 </w:t>
      </w:r>
      <w:r>
        <w:rPr>
          <w:rFonts w:ascii="黑体" w:hAnsi="黑体" w:eastAsia="黑体"/>
        </w:rPr>
        <w:t>g</w:t>
      </w:r>
      <w:r>
        <w:rPr>
          <w:rFonts w:hint="eastAsia" w:ascii="黑体" w:hAnsi="黑体" w:eastAsia="黑体"/>
        </w:rPr>
        <w:t>reen stadium</w:t>
      </w:r>
    </w:p>
    <w:p>
      <w:pPr>
        <w:pStyle w:val="59"/>
        <w:ind w:firstLine="420"/>
      </w:pPr>
      <w:r>
        <w:rPr>
          <w:rFonts w:hint="eastAsia"/>
        </w:rPr>
        <w:t>利用高环保，高智能，高效益，低成本，低能耗，低环境负荷的可持续发展手段建设、运营、管理，满足公益要求、人体舒适与健康要求、现代化智能化要求的高品质体育建筑。</w:t>
      </w:r>
    </w:p>
    <w:p>
      <w:pPr>
        <w:pStyle w:val="226"/>
        <w:ind w:left="420" w:hanging="420" w:hangingChars="200"/>
        <w:rPr>
          <w:rFonts w:ascii="黑体" w:hAnsi="黑体" w:eastAsia="黑体"/>
        </w:rPr>
      </w:pPr>
      <w:r>
        <w:rPr>
          <w:rFonts w:hint="eastAsia" w:ascii="黑体" w:hAnsi="黑体" w:eastAsia="黑体"/>
        </w:rPr>
        <w:t xml:space="preserve">绿色性能 </w:t>
      </w:r>
      <w:r>
        <w:rPr>
          <w:rFonts w:ascii="黑体" w:hAnsi="黑体" w:eastAsia="黑体"/>
        </w:rPr>
        <w:t>g</w:t>
      </w:r>
      <w:r>
        <w:rPr>
          <w:rFonts w:hint="eastAsia" w:ascii="黑体" w:hAnsi="黑体" w:eastAsia="黑体"/>
        </w:rPr>
        <w:t>reen performance</w:t>
      </w:r>
    </w:p>
    <w:p>
      <w:pPr>
        <w:pStyle w:val="59"/>
        <w:ind w:firstLine="420"/>
      </w:pPr>
      <w:r>
        <w:rPr>
          <w:rFonts w:hint="eastAsia"/>
        </w:rPr>
        <w:t>绿色体育场馆中涉及节地、节能、节水、节材、减污降碳、资源循环利用、生态环境友好等方面的参数和指标。</w:t>
      </w:r>
    </w:p>
    <w:p>
      <w:pPr>
        <w:pStyle w:val="226"/>
        <w:ind w:left="420" w:hanging="420" w:hangingChars="200"/>
        <w:rPr>
          <w:rFonts w:ascii="黑体" w:hAnsi="黑体" w:eastAsia="黑体"/>
        </w:rPr>
      </w:pPr>
      <w:r>
        <w:rPr>
          <w:rFonts w:hint="eastAsia" w:ascii="黑体" w:hAnsi="黑体" w:eastAsia="黑体"/>
        </w:rPr>
        <w:t xml:space="preserve">绿色建材 </w:t>
      </w:r>
      <w:r>
        <w:rPr>
          <w:rFonts w:ascii="黑体" w:hAnsi="黑体" w:eastAsia="黑体"/>
        </w:rPr>
        <w:t>g</w:t>
      </w:r>
      <w:r>
        <w:rPr>
          <w:rFonts w:hint="eastAsia" w:ascii="黑体" w:hAnsi="黑体" w:eastAsia="黑体"/>
        </w:rPr>
        <w:t>reen building material</w:t>
      </w:r>
    </w:p>
    <w:p>
      <w:pPr>
        <w:pStyle w:val="59"/>
        <w:ind w:firstLine="420"/>
      </w:pPr>
      <w:r>
        <w:rPr>
          <w:rFonts w:hint="eastAsia"/>
        </w:rPr>
        <w:t>在全生命周期内可减少对资源能源的消耗、减轻对生态环境的污染和破坏，具有节能、减排、安全、健康、便利和可循环利用等特征的建筑材料。</w:t>
      </w:r>
    </w:p>
    <w:p>
      <w:pPr>
        <w:pStyle w:val="226"/>
        <w:ind w:left="420" w:hanging="420" w:hangingChars="200"/>
        <w:rPr>
          <w:rFonts w:ascii="黑体" w:hAnsi="黑体" w:eastAsia="黑体"/>
        </w:rPr>
      </w:pPr>
      <w:r>
        <w:rPr>
          <w:rFonts w:hint="eastAsia" w:ascii="黑体" w:hAnsi="黑体" w:eastAsia="黑体"/>
        </w:rPr>
        <w:t xml:space="preserve">效率最大化 </w:t>
      </w:r>
      <w:r>
        <w:rPr>
          <w:rFonts w:ascii="黑体" w:hAnsi="黑体" w:eastAsia="黑体"/>
        </w:rPr>
        <w:t>m</w:t>
      </w:r>
      <w:r>
        <w:rPr>
          <w:rFonts w:hint="eastAsia" w:ascii="黑体" w:hAnsi="黑体" w:eastAsia="黑体"/>
        </w:rPr>
        <w:t xml:space="preserve">aximum </w:t>
      </w:r>
      <w:r>
        <w:rPr>
          <w:rFonts w:ascii="黑体" w:hAnsi="黑体" w:eastAsia="黑体"/>
        </w:rPr>
        <w:t>e</w:t>
      </w:r>
      <w:r>
        <w:rPr>
          <w:rFonts w:hint="eastAsia" w:ascii="黑体" w:hAnsi="黑体" w:eastAsia="黑体"/>
        </w:rPr>
        <w:t>fficiency</w:t>
      </w:r>
    </w:p>
    <w:p>
      <w:pPr>
        <w:pStyle w:val="59"/>
        <w:ind w:firstLine="420"/>
      </w:pPr>
      <w:r>
        <w:rPr>
          <w:rFonts w:hint="eastAsia"/>
        </w:rPr>
        <w:t>绿色体育场馆在规划、设计、建设、运营全过程中，要实现资源、性能、人员、效益配置最优的目 标。</w:t>
      </w:r>
    </w:p>
    <w:p>
      <w:pPr>
        <w:pStyle w:val="107"/>
        <w:spacing w:before="240" w:after="240"/>
      </w:pPr>
      <w:bookmarkStart w:id="44" w:name="_Toc110599836"/>
      <w:r>
        <w:rPr>
          <w:rFonts w:hint="eastAsia"/>
        </w:rPr>
        <w:t>总则</w:t>
      </w:r>
      <w:bookmarkEnd w:id="44"/>
    </w:p>
    <w:p>
      <w:pPr>
        <w:pStyle w:val="165"/>
      </w:pPr>
      <w:r>
        <w:rPr>
          <w:rFonts w:hint="eastAsia"/>
        </w:rPr>
        <w:t>为深入贯彻落实绿色发展理念，打造绿色便捷的全民健身新载体，持续推进绿色体育场馆高质量发展，全面规范和指导绿色体育场馆建设与运营，为政府提供相关补贴政策支持依据，特制定本标准。</w:t>
      </w:r>
    </w:p>
    <w:p>
      <w:pPr>
        <w:pStyle w:val="165"/>
      </w:pPr>
      <w:r>
        <w:rPr>
          <w:rFonts w:hint="eastAsia"/>
        </w:rPr>
        <w:t>绿色体育场馆评价要求贯穿于体育场馆全生命周期。</w:t>
      </w:r>
    </w:p>
    <w:p>
      <w:pPr>
        <w:pStyle w:val="165"/>
      </w:pPr>
      <w:r>
        <w:rPr>
          <w:rFonts w:hint="eastAsia"/>
        </w:rPr>
        <w:t>绿色体育场馆的规划、设计、建设、运营应符合当地城市发展规划及经济技术发展水平等实际条件。</w:t>
      </w:r>
    </w:p>
    <w:p>
      <w:pPr>
        <w:pStyle w:val="165"/>
      </w:pPr>
      <w:r>
        <w:rPr>
          <w:rFonts w:hint="eastAsia"/>
        </w:rPr>
        <w:t>绿色体育场馆运营评价除应符合本标准外，尚应符合国家现行有关标准的规定。</w:t>
      </w:r>
    </w:p>
    <w:p>
      <w:pPr>
        <w:pStyle w:val="107"/>
        <w:spacing w:before="240" w:after="240"/>
      </w:pPr>
      <w:bookmarkStart w:id="45" w:name="_Toc110599837"/>
      <w:r>
        <w:rPr>
          <w:rFonts w:hint="eastAsia"/>
        </w:rPr>
        <w:t>基本要求</w:t>
      </w:r>
      <w:bookmarkEnd w:id="45"/>
    </w:p>
    <w:p>
      <w:pPr>
        <w:pStyle w:val="108"/>
        <w:spacing w:before="120" w:after="120"/>
      </w:pPr>
      <w:bookmarkStart w:id="46" w:name="_Toc110599838"/>
      <w:r>
        <w:rPr>
          <w:rFonts w:hint="eastAsia"/>
        </w:rPr>
        <w:t>一般要求</w:t>
      </w:r>
      <w:bookmarkEnd w:id="46"/>
      <w:r>
        <w:rPr>
          <w:rFonts w:hint="eastAsia"/>
        </w:rPr>
        <w:t xml:space="preserve"> </w:t>
      </w:r>
    </w:p>
    <w:p>
      <w:pPr>
        <w:pStyle w:val="168"/>
      </w:pPr>
      <w:r>
        <w:rPr>
          <w:rFonts w:hint="eastAsia"/>
        </w:rPr>
        <w:t>绿色体育场馆评价应以单栋体育建筑或体育建筑群为评价对象。评价对象应落实并深化法定规划及相关专项规划提出的绿色发展要求；涉及系统性、整体性的指标，应基于建筑所属工程项目的总体进行评价。</w:t>
      </w:r>
    </w:p>
    <w:p>
      <w:pPr>
        <w:pStyle w:val="168"/>
      </w:pPr>
      <w:r>
        <w:rPr>
          <w:rFonts w:hint="eastAsia"/>
        </w:rPr>
        <w:t>申请评价方应对参评体育场馆选用适宜技术和设备进行全生命周期运营和生态经济分析，参评时提交测评报告和相关文件。申请评价方应对所提交资料的真实性和完整性负责。</w:t>
      </w:r>
    </w:p>
    <w:p>
      <w:pPr>
        <w:pStyle w:val="168"/>
      </w:pPr>
      <w:r>
        <w:rPr>
          <w:rFonts w:hint="eastAsia"/>
        </w:rPr>
        <w:t>评价机构应对申请评价方提交的分析、测试报告和相关文件进行审查，出具评价报告，评定相应等级。</w:t>
      </w:r>
    </w:p>
    <w:p>
      <w:pPr>
        <w:pStyle w:val="108"/>
        <w:spacing w:before="120" w:after="120"/>
      </w:pPr>
      <w:bookmarkStart w:id="47" w:name="_Toc110599839"/>
      <w:r>
        <w:rPr>
          <w:rFonts w:hint="eastAsia"/>
        </w:rPr>
        <w:t>评价与等级划分</w:t>
      </w:r>
      <w:bookmarkEnd w:id="47"/>
    </w:p>
    <w:p>
      <w:pPr>
        <w:pStyle w:val="168"/>
      </w:pPr>
      <w:r>
        <w:rPr>
          <w:rFonts w:hint="eastAsia"/>
        </w:rPr>
        <w:t>绿色体育场馆运营评价指标体系由低碳运营、运行保障、效益优化、智慧创新4类指标组成。每类评价指标均包括控制项和评分项。</w:t>
      </w:r>
    </w:p>
    <w:p>
      <w:pPr>
        <w:pStyle w:val="168"/>
      </w:pPr>
      <w:r>
        <w:rPr>
          <w:rFonts w:hint="eastAsia"/>
        </w:rPr>
        <w:t>控制项的评定结果应为满足或不满足；评分项的评定结果应为分值。</w:t>
      </w:r>
    </w:p>
    <w:p>
      <w:pPr>
        <w:pStyle w:val="168"/>
      </w:pPr>
      <w:r>
        <w:rPr>
          <w:rFonts w:hint="eastAsia"/>
        </w:rPr>
        <w:t>绿色体育场馆运营评价的分值设定应符合表1的规定。</w:t>
      </w:r>
    </w:p>
    <w:p>
      <w:pPr>
        <w:pStyle w:val="115"/>
        <w:spacing w:before="120" w:after="120"/>
      </w:pPr>
      <w:r>
        <w:rPr>
          <w:rFonts w:hint="eastAsia"/>
        </w:rPr>
        <w:t>绿色体育场馆运营评价项目分值及权重</w:t>
      </w:r>
    </w:p>
    <w:tbl>
      <w:tblPr>
        <w:tblStyle w:val="28"/>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1"/>
        <w:gridCol w:w="1166"/>
        <w:gridCol w:w="1171"/>
        <w:gridCol w:w="1166"/>
        <w:gridCol w:w="1179"/>
        <w:gridCol w:w="11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0" w:hRule="atLeast"/>
          <w:jc w:val="center"/>
        </w:trPr>
        <w:tc>
          <w:tcPr>
            <w:tcW w:w="1171" w:type="dxa"/>
            <w:vMerge w:val="restart"/>
            <w:tcBorders>
              <w:top w:val="single" w:color="000000" w:sz="8" w:space="0"/>
              <w:left w:val="single" w:color="000000" w:sz="8" w:space="0"/>
              <w:bottom w:val="nil"/>
            </w:tcBorders>
            <w:shd w:val="clear" w:color="auto" w:fill="auto"/>
            <w:vAlign w:val="center"/>
          </w:tcPr>
          <w:p>
            <w:pPr>
              <w:widowControl/>
              <w:kinsoku w:val="0"/>
              <w:autoSpaceDE w:val="0"/>
              <w:autoSpaceDN w:val="0"/>
              <w:snapToGrid w:val="0"/>
              <w:spacing w:line="240" w:lineRule="auto"/>
              <w:jc w:val="center"/>
              <w:textAlignment w:val="baseline"/>
              <w:rPr>
                <w:rFonts w:ascii="宋体" w:hAnsi="宋体" w:cs="宋体"/>
                <w:snapToGrid w:val="0"/>
                <w:kern w:val="0"/>
              </w:rPr>
            </w:pPr>
            <w:r>
              <w:rPr>
                <w:rFonts w:hint="eastAsia" w:ascii="宋体" w:hAnsi="宋体" w:cs="宋体"/>
                <w:snapToGrid w:val="0"/>
                <w:spacing w:val="-1"/>
                <w:kern w:val="0"/>
              </w:rPr>
              <w:t>评价</w:t>
            </w:r>
            <w:r>
              <w:rPr>
                <w:rFonts w:hint="eastAsia" w:ascii="宋体" w:hAnsi="宋体" w:cs="宋体"/>
                <w:snapToGrid w:val="0"/>
                <w:kern w:val="0"/>
              </w:rPr>
              <w:t>指标</w:t>
            </w:r>
          </w:p>
        </w:tc>
        <w:tc>
          <w:tcPr>
            <w:tcW w:w="1166" w:type="dxa"/>
            <w:vMerge w:val="restart"/>
            <w:tcBorders>
              <w:top w:val="single" w:color="000000" w:sz="8" w:space="0"/>
              <w:bottom w:val="nil"/>
            </w:tcBorders>
            <w:shd w:val="clear" w:color="auto" w:fill="auto"/>
            <w:vAlign w:val="center"/>
          </w:tcPr>
          <w:p>
            <w:pPr>
              <w:widowControl/>
              <w:kinsoku w:val="0"/>
              <w:autoSpaceDE w:val="0"/>
              <w:autoSpaceDN w:val="0"/>
              <w:snapToGrid w:val="0"/>
              <w:spacing w:line="240" w:lineRule="auto"/>
              <w:jc w:val="center"/>
              <w:textAlignment w:val="baseline"/>
              <w:rPr>
                <w:rFonts w:ascii="宋体" w:hAnsi="宋体" w:cs="宋体"/>
                <w:snapToGrid w:val="0"/>
                <w:kern w:val="0"/>
              </w:rPr>
            </w:pPr>
            <w:r>
              <w:rPr>
                <w:rFonts w:hint="eastAsia" w:ascii="宋体" w:hAnsi="宋体" w:cs="宋体"/>
                <w:snapToGrid w:val="0"/>
                <w:spacing w:val="-1"/>
                <w:kern w:val="0"/>
              </w:rPr>
              <w:t>控制项</w:t>
            </w:r>
          </w:p>
        </w:tc>
        <w:tc>
          <w:tcPr>
            <w:tcW w:w="4650" w:type="dxa"/>
            <w:gridSpan w:val="4"/>
            <w:tcBorders>
              <w:top w:val="single" w:color="000000" w:sz="8" w:space="0"/>
              <w:right w:val="single" w:color="000000" w:sz="8" w:space="0"/>
            </w:tcBorders>
            <w:shd w:val="clear" w:color="auto" w:fill="auto"/>
          </w:tcPr>
          <w:p>
            <w:pPr>
              <w:widowControl/>
              <w:kinsoku w:val="0"/>
              <w:autoSpaceDE w:val="0"/>
              <w:autoSpaceDN w:val="0"/>
              <w:snapToGrid w:val="0"/>
              <w:spacing w:line="240" w:lineRule="auto"/>
              <w:jc w:val="center"/>
              <w:textAlignment w:val="baseline"/>
              <w:rPr>
                <w:rFonts w:ascii="宋体" w:hAnsi="宋体" w:cs="宋体"/>
                <w:snapToGrid w:val="0"/>
                <w:kern w:val="0"/>
              </w:rPr>
            </w:pPr>
            <w:r>
              <w:rPr>
                <w:rFonts w:hint="eastAsia" w:ascii="宋体" w:hAnsi="宋体" w:cs="宋体"/>
                <w:snapToGrid w:val="0"/>
                <w:spacing w:val="-1"/>
                <w:kern w:val="0"/>
              </w:rPr>
              <w:t>评分项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jc w:val="center"/>
        </w:trPr>
        <w:tc>
          <w:tcPr>
            <w:tcW w:w="1171" w:type="dxa"/>
            <w:vMerge w:val="continue"/>
            <w:tcBorders>
              <w:top w:val="nil"/>
              <w:left w:val="single" w:color="000000" w:sz="8" w:space="0"/>
            </w:tcBorders>
            <w:shd w:val="clear" w:color="auto" w:fill="auto"/>
          </w:tcPr>
          <w:p>
            <w:pPr>
              <w:widowControl/>
              <w:kinsoku w:val="0"/>
              <w:autoSpaceDE w:val="0"/>
              <w:autoSpaceDN w:val="0"/>
              <w:snapToGrid w:val="0"/>
              <w:spacing w:line="240" w:lineRule="auto"/>
              <w:textAlignment w:val="baseline"/>
              <w:rPr>
                <w:rFonts w:ascii="宋体" w:hAnsi="宋体" w:cs="宋体"/>
                <w:snapToGrid w:val="0"/>
                <w:kern w:val="0"/>
              </w:rPr>
            </w:pPr>
          </w:p>
        </w:tc>
        <w:tc>
          <w:tcPr>
            <w:tcW w:w="1166" w:type="dxa"/>
            <w:vMerge w:val="continue"/>
            <w:tcBorders>
              <w:top w:val="nil"/>
            </w:tcBorders>
            <w:shd w:val="clear" w:color="auto" w:fill="auto"/>
            <w:vAlign w:val="center"/>
          </w:tcPr>
          <w:p>
            <w:pPr>
              <w:widowControl/>
              <w:kinsoku w:val="0"/>
              <w:autoSpaceDE w:val="0"/>
              <w:autoSpaceDN w:val="0"/>
              <w:snapToGrid w:val="0"/>
              <w:spacing w:line="240" w:lineRule="auto"/>
              <w:textAlignment w:val="baseline"/>
              <w:rPr>
                <w:rFonts w:ascii="宋体" w:hAnsi="宋体" w:cs="宋体"/>
                <w:snapToGrid w:val="0"/>
                <w:kern w:val="0"/>
              </w:rPr>
            </w:pPr>
          </w:p>
        </w:tc>
        <w:tc>
          <w:tcPr>
            <w:tcW w:w="1171" w:type="dxa"/>
            <w:shd w:val="clear" w:color="auto" w:fill="auto"/>
          </w:tcPr>
          <w:p>
            <w:pPr>
              <w:widowControl/>
              <w:kinsoku w:val="0"/>
              <w:autoSpaceDE w:val="0"/>
              <w:autoSpaceDN w:val="0"/>
              <w:snapToGrid w:val="0"/>
              <w:spacing w:line="221" w:lineRule="auto"/>
              <w:jc w:val="center"/>
              <w:textAlignment w:val="baseline"/>
              <w:rPr>
                <w:rFonts w:ascii="宋体" w:hAnsi="宋体" w:cs="宋体"/>
                <w:snapToGrid w:val="0"/>
                <w:kern w:val="0"/>
              </w:rPr>
            </w:pPr>
            <w:r>
              <w:rPr>
                <w:rFonts w:hint="eastAsia" w:ascii="宋体" w:hAnsi="宋体" w:cs="宋体"/>
                <w:snapToGrid w:val="0"/>
                <w:spacing w:val="-1"/>
                <w:kern w:val="0"/>
              </w:rPr>
              <w:t>低碳</w:t>
            </w:r>
            <w:r>
              <w:rPr>
                <w:rFonts w:hint="eastAsia" w:ascii="宋体" w:hAnsi="宋体" w:cs="宋体"/>
                <w:snapToGrid w:val="0"/>
                <w:kern w:val="0"/>
              </w:rPr>
              <w:t>运营</w:t>
            </w:r>
          </w:p>
        </w:tc>
        <w:tc>
          <w:tcPr>
            <w:tcW w:w="1166" w:type="dxa"/>
            <w:shd w:val="clear" w:color="auto" w:fill="auto"/>
          </w:tcPr>
          <w:p>
            <w:pPr>
              <w:widowControl/>
              <w:kinsoku w:val="0"/>
              <w:autoSpaceDE w:val="0"/>
              <w:autoSpaceDN w:val="0"/>
              <w:snapToGrid w:val="0"/>
              <w:spacing w:line="221" w:lineRule="auto"/>
              <w:jc w:val="center"/>
              <w:textAlignment w:val="baseline"/>
              <w:rPr>
                <w:rFonts w:ascii="宋体" w:hAnsi="宋体" w:cs="宋体"/>
                <w:snapToGrid w:val="0"/>
                <w:kern w:val="0"/>
              </w:rPr>
            </w:pPr>
            <w:r>
              <w:rPr>
                <w:rFonts w:hint="eastAsia" w:ascii="宋体" w:hAnsi="宋体" w:cs="宋体"/>
                <w:snapToGrid w:val="0"/>
                <w:spacing w:val="-1"/>
                <w:kern w:val="0"/>
              </w:rPr>
              <w:t>运行保</w:t>
            </w:r>
            <w:r>
              <w:rPr>
                <w:rFonts w:hint="eastAsia" w:ascii="宋体" w:hAnsi="宋体" w:cs="宋体"/>
                <w:snapToGrid w:val="0"/>
                <w:kern w:val="0"/>
              </w:rPr>
              <w:t>障</w:t>
            </w:r>
          </w:p>
        </w:tc>
        <w:tc>
          <w:tcPr>
            <w:tcW w:w="1179" w:type="dxa"/>
            <w:shd w:val="clear" w:color="auto" w:fill="auto"/>
          </w:tcPr>
          <w:p>
            <w:pPr>
              <w:widowControl/>
              <w:kinsoku w:val="0"/>
              <w:autoSpaceDE w:val="0"/>
              <w:autoSpaceDN w:val="0"/>
              <w:snapToGrid w:val="0"/>
              <w:spacing w:line="221" w:lineRule="auto"/>
              <w:jc w:val="center"/>
              <w:textAlignment w:val="baseline"/>
              <w:rPr>
                <w:rFonts w:ascii="宋体" w:hAnsi="宋体" w:cs="宋体"/>
                <w:snapToGrid w:val="0"/>
                <w:kern w:val="0"/>
              </w:rPr>
            </w:pPr>
            <w:r>
              <w:rPr>
                <w:rFonts w:hint="eastAsia" w:ascii="宋体" w:hAnsi="宋体" w:cs="宋体"/>
                <w:snapToGrid w:val="0"/>
                <w:spacing w:val="-2"/>
                <w:kern w:val="0"/>
              </w:rPr>
              <w:t>效益优</w:t>
            </w:r>
            <w:r>
              <w:rPr>
                <w:rFonts w:hint="eastAsia" w:ascii="宋体" w:hAnsi="宋体" w:cs="宋体"/>
                <w:snapToGrid w:val="0"/>
                <w:spacing w:val="-1"/>
                <w:kern w:val="0"/>
              </w:rPr>
              <w:t>化</w:t>
            </w:r>
          </w:p>
        </w:tc>
        <w:tc>
          <w:tcPr>
            <w:tcW w:w="1134" w:type="dxa"/>
            <w:tcBorders>
              <w:right w:val="single" w:color="000000" w:sz="8" w:space="0"/>
            </w:tcBorders>
            <w:shd w:val="clear" w:color="auto" w:fill="auto"/>
          </w:tcPr>
          <w:p>
            <w:pPr>
              <w:widowControl/>
              <w:kinsoku w:val="0"/>
              <w:autoSpaceDE w:val="0"/>
              <w:autoSpaceDN w:val="0"/>
              <w:snapToGrid w:val="0"/>
              <w:spacing w:line="221" w:lineRule="auto"/>
              <w:jc w:val="center"/>
              <w:textAlignment w:val="baseline"/>
              <w:rPr>
                <w:rFonts w:ascii="宋体" w:hAnsi="宋体" w:cs="宋体"/>
                <w:snapToGrid w:val="0"/>
                <w:kern w:val="0"/>
              </w:rPr>
            </w:pPr>
            <w:r>
              <w:rPr>
                <w:rFonts w:hint="eastAsia" w:ascii="宋体" w:hAnsi="宋体" w:cs="宋体"/>
                <w:snapToGrid w:val="0"/>
                <w:spacing w:val="-2"/>
                <w:kern w:val="0"/>
              </w:rPr>
              <w:t>智</w:t>
            </w:r>
            <w:r>
              <w:rPr>
                <w:rFonts w:hint="eastAsia" w:ascii="宋体" w:hAnsi="宋体" w:cs="宋体"/>
                <w:snapToGrid w:val="0"/>
                <w:spacing w:val="-1"/>
                <w:kern w:val="0"/>
              </w:rPr>
              <w:t>慧创新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0" w:hRule="atLeast"/>
          <w:jc w:val="center"/>
        </w:trPr>
        <w:tc>
          <w:tcPr>
            <w:tcW w:w="1171" w:type="dxa"/>
            <w:tcBorders>
              <w:left w:val="single" w:color="000000" w:sz="8" w:space="0"/>
            </w:tcBorders>
            <w:shd w:val="clear" w:color="auto" w:fill="auto"/>
          </w:tcPr>
          <w:p>
            <w:pPr>
              <w:widowControl/>
              <w:kinsoku w:val="0"/>
              <w:autoSpaceDE w:val="0"/>
              <w:autoSpaceDN w:val="0"/>
              <w:snapToGrid w:val="0"/>
              <w:spacing w:line="240" w:lineRule="auto"/>
              <w:jc w:val="center"/>
              <w:textAlignment w:val="baseline"/>
              <w:rPr>
                <w:rFonts w:ascii="宋体" w:hAnsi="宋体" w:cs="宋体"/>
                <w:snapToGrid w:val="0"/>
                <w:kern w:val="0"/>
              </w:rPr>
            </w:pPr>
            <w:r>
              <w:rPr>
                <w:rFonts w:hint="eastAsia" w:ascii="宋体" w:hAnsi="宋体" w:cs="宋体"/>
                <w:snapToGrid w:val="0"/>
                <w:kern w:val="0"/>
              </w:rPr>
              <w:t>Q</w:t>
            </w:r>
          </w:p>
        </w:tc>
        <w:tc>
          <w:tcPr>
            <w:tcW w:w="1166" w:type="dxa"/>
            <w:shd w:val="clear" w:color="auto" w:fill="auto"/>
            <w:vAlign w:val="center"/>
          </w:tcPr>
          <w:p>
            <w:pPr>
              <w:widowControl/>
              <w:kinsoku w:val="0"/>
              <w:autoSpaceDE w:val="0"/>
              <w:autoSpaceDN w:val="0"/>
              <w:snapToGrid w:val="0"/>
              <w:spacing w:line="240" w:lineRule="auto"/>
              <w:jc w:val="center"/>
              <w:textAlignment w:val="baseline"/>
              <w:rPr>
                <w:rFonts w:ascii="宋体" w:hAnsi="宋体" w:cs="宋体"/>
                <w:snapToGrid w:val="0"/>
                <w:kern w:val="0"/>
              </w:rPr>
            </w:pPr>
          </w:p>
        </w:tc>
        <w:tc>
          <w:tcPr>
            <w:tcW w:w="1171" w:type="dxa"/>
            <w:shd w:val="clear" w:color="auto" w:fill="auto"/>
          </w:tcPr>
          <w:p>
            <w:pPr>
              <w:widowControl/>
              <w:kinsoku w:val="0"/>
              <w:autoSpaceDE w:val="0"/>
              <w:autoSpaceDN w:val="0"/>
              <w:snapToGrid w:val="0"/>
              <w:spacing w:line="240" w:lineRule="auto"/>
              <w:jc w:val="center"/>
              <w:textAlignment w:val="baseline"/>
              <w:rPr>
                <w:rFonts w:ascii="宋体" w:hAnsi="宋体" w:cs="宋体"/>
                <w:snapToGrid w:val="0"/>
                <w:kern w:val="0"/>
              </w:rPr>
            </w:pPr>
            <w:r>
              <w:rPr>
                <w:rFonts w:hint="eastAsia" w:ascii="宋体" w:hAnsi="宋体" w:cs="宋体"/>
                <w:snapToGrid w:val="0"/>
                <w:spacing w:val="-1"/>
                <w:kern w:val="0"/>
              </w:rPr>
              <w:t>Q</w:t>
            </w:r>
            <w:r>
              <w:rPr>
                <w:rFonts w:hint="eastAsia" w:ascii="宋体" w:hAnsi="宋体" w:cs="宋体"/>
                <w:snapToGrid w:val="0"/>
                <w:spacing w:val="-2"/>
                <w:kern w:val="0"/>
              </w:rPr>
              <w:t>1</w:t>
            </w:r>
          </w:p>
        </w:tc>
        <w:tc>
          <w:tcPr>
            <w:tcW w:w="1166" w:type="dxa"/>
            <w:shd w:val="clear" w:color="auto" w:fill="auto"/>
          </w:tcPr>
          <w:p>
            <w:pPr>
              <w:widowControl/>
              <w:kinsoku w:val="0"/>
              <w:autoSpaceDE w:val="0"/>
              <w:autoSpaceDN w:val="0"/>
              <w:snapToGrid w:val="0"/>
              <w:spacing w:line="240" w:lineRule="auto"/>
              <w:jc w:val="center"/>
              <w:textAlignment w:val="baseline"/>
              <w:rPr>
                <w:rFonts w:ascii="宋体" w:hAnsi="宋体" w:cs="宋体"/>
                <w:snapToGrid w:val="0"/>
                <w:kern w:val="0"/>
              </w:rPr>
            </w:pPr>
            <w:r>
              <w:rPr>
                <w:rFonts w:hint="eastAsia" w:ascii="宋体" w:hAnsi="宋体" w:cs="宋体"/>
                <w:snapToGrid w:val="0"/>
                <w:spacing w:val="-1"/>
                <w:kern w:val="0"/>
              </w:rPr>
              <w:t>Q</w:t>
            </w:r>
            <w:r>
              <w:rPr>
                <w:rFonts w:hint="eastAsia" w:ascii="宋体" w:hAnsi="宋体" w:cs="宋体"/>
                <w:snapToGrid w:val="0"/>
                <w:spacing w:val="-2"/>
                <w:kern w:val="0"/>
              </w:rPr>
              <w:t>2</w:t>
            </w:r>
          </w:p>
        </w:tc>
        <w:tc>
          <w:tcPr>
            <w:tcW w:w="1179" w:type="dxa"/>
            <w:shd w:val="clear" w:color="auto" w:fill="auto"/>
          </w:tcPr>
          <w:p>
            <w:pPr>
              <w:widowControl/>
              <w:kinsoku w:val="0"/>
              <w:autoSpaceDE w:val="0"/>
              <w:autoSpaceDN w:val="0"/>
              <w:snapToGrid w:val="0"/>
              <w:spacing w:line="240" w:lineRule="auto"/>
              <w:jc w:val="center"/>
              <w:textAlignment w:val="baseline"/>
              <w:rPr>
                <w:rFonts w:ascii="宋体" w:hAnsi="宋体" w:cs="宋体"/>
                <w:snapToGrid w:val="0"/>
                <w:kern w:val="0"/>
              </w:rPr>
            </w:pPr>
            <w:r>
              <w:rPr>
                <w:rFonts w:hint="eastAsia" w:ascii="宋体" w:hAnsi="宋体" w:cs="宋体"/>
                <w:snapToGrid w:val="0"/>
                <w:spacing w:val="-1"/>
                <w:kern w:val="0"/>
              </w:rPr>
              <w:t>Q</w:t>
            </w:r>
            <w:r>
              <w:rPr>
                <w:rFonts w:hint="eastAsia" w:ascii="宋体" w:hAnsi="宋体" w:cs="宋体"/>
                <w:snapToGrid w:val="0"/>
                <w:spacing w:val="-2"/>
                <w:kern w:val="0"/>
              </w:rPr>
              <w:t>3</w:t>
            </w:r>
          </w:p>
        </w:tc>
        <w:tc>
          <w:tcPr>
            <w:tcW w:w="1134" w:type="dxa"/>
            <w:tcBorders>
              <w:right w:val="single" w:color="000000" w:sz="8" w:space="0"/>
            </w:tcBorders>
            <w:shd w:val="clear" w:color="auto" w:fill="auto"/>
          </w:tcPr>
          <w:p>
            <w:pPr>
              <w:widowControl/>
              <w:kinsoku w:val="0"/>
              <w:autoSpaceDE w:val="0"/>
              <w:autoSpaceDN w:val="0"/>
              <w:snapToGrid w:val="0"/>
              <w:spacing w:line="240" w:lineRule="auto"/>
              <w:jc w:val="center"/>
              <w:textAlignment w:val="baseline"/>
              <w:rPr>
                <w:rFonts w:ascii="宋体" w:hAnsi="宋体" w:cs="宋体"/>
                <w:snapToGrid w:val="0"/>
                <w:kern w:val="0"/>
              </w:rPr>
            </w:pPr>
            <w:r>
              <w:rPr>
                <w:rFonts w:hint="eastAsia" w:ascii="宋体" w:hAnsi="宋体" w:cs="宋体"/>
                <w:snapToGrid w:val="0"/>
                <w:spacing w:val="-1"/>
                <w:kern w:val="0"/>
              </w:rPr>
              <w:t>Q</w:t>
            </w:r>
            <w:r>
              <w:rPr>
                <w:rFonts w:hint="eastAsia" w:ascii="宋体" w:hAnsi="宋体" w:cs="宋体"/>
                <w:snapToGrid w:val="0"/>
                <w:spacing w:val="-2"/>
                <w:kern w:val="0"/>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5" w:hRule="atLeast"/>
          <w:jc w:val="center"/>
        </w:trPr>
        <w:tc>
          <w:tcPr>
            <w:tcW w:w="1171" w:type="dxa"/>
            <w:tcBorders>
              <w:left w:val="single" w:color="000000" w:sz="8" w:space="0"/>
            </w:tcBorders>
            <w:shd w:val="clear" w:color="auto" w:fill="auto"/>
          </w:tcPr>
          <w:p>
            <w:pPr>
              <w:widowControl/>
              <w:kinsoku w:val="0"/>
              <w:autoSpaceDE w:val="0"/>
              <w:autoSpaceDN w:val="0"/>
              <w:snapToGrid w:val="0"/>
              <w:spacing w:line="240" w:lineRule="auto"/>
              <w:jc w:val="center"/>
              <w:textAlignment w:val="baseline"/>
              <w:rPr>
                <w:rFonts w:ascii="宋体" w:hAnsi="宋体" w:cs="宋体"/>
                <w:snapToGrid w:val="0"/>
                <w:kern w:val="0"/>
              </w:rPr>
            </w:pPr>
            <w:r>
              <w:rPr>
                <w:rFonts w:hint="eastAsia" w:ascii="宋体" w:hAnsi="宋体" w:cs="宋体"/>
                <w:snapToGrid w:val="0"/>
                <w:spacing w:val="-1"/>
                <w:kern w:val="0"/>
              </w:rPr>
              <w:t>评价</w:t>
            </w:r>
            <w:r>
              <w:rPr>
                <w:rFonts w:hint="eastAsia" w:ascii="宋体" w:hAnsi="宋体" w:cs="宋体"/>
                <w:snapToGrid w:val="0"/>
                <w:kern w:val="0"/>
              </w:rPr>
              <w:t>分值</w:t>
            </w:r>
          </w:p>
        </w:tc>
        <w:tc>
          <w:tcPr>
            <w:tcW w:w="1166" w:type="dxa"/>
            <w:shd w:val="clear" w:color="auto" w:fill="auto"/>
            <w:vAlign w:val="center"/>
          </w:tcPr>
          <w:p>
            <w:pPr>
              <w:widowControl/>
              <w:kinsoku w:val="0"/>
              <w:autoSpaceDE w:val="0"/>
              <w:autoSpaceDN w:val="0"/>
              <w:snapToGrid w:val="0"/>
              <w:spacing w:line="240" w:lineRule="auto"/>
              <w:jc w:val="center"/>
              <w:textAlignment w:val="baseline"/>
              <w:rPr>
                <w:rFonts w:ascii="宋体" w:hAnsi="宋体" w:cs="宋体"/>
                <w:snapToGrid w:val="0"/>
                <w:kern w:val="0"/>
              </w:rPr>
            </w:pPr>
          </w:p>
        </w:tc>
        <w:tc>
          <w:tcPr>
            <w:tcW w:w="1171" w:type="dxa"/>
            <w:shd w:val="clear" w:color="auto" w:fill="auto"/>
          </w:tcPr>
          <w:p>
            <w:pPr>
              <w:widowControl/>
              <w:kinsoku w:val="0"/>
              <w:autoSpaceDE w:val="0"/>
              <w:autoSpaceDN w:val="0"/>
              <w:snapToGrid w:val="0"/>
              <w:spacing w:line="240" w:lineRule="auto"/>
              <w:jc w:val="center"/>
              <w:textAlignment w:val="baseline"/>
              <w:rPr>
                <w:rFonts w:ascii="宋体" w:hAnsi="宋体" w:cs="宋体"/>
                <w:snapToGrid w:val="0"/>
                <w:kern w:val="0"/>
              </w:rPr>
            </w:pPr>
            <w:r>
              <w:rPr>
                <w:rFonts w:hint="eastAsia" w:ascii="宋体" w:hAnsi="宋体" w:cs="宋体"/>
                <w:snapToGrid w:val="0"/>
                <w:spacing w:val="-5"/>
                <w:kern w:val="0"/>
              </w:rPr>
              <w:t>100</w:t>
            </w:r>
          </w:p>
        </w:tc>
        <w:tc>
          <w:tcPr>
            <w:tcW w:w="1166" w:type="dxa"/>
            <w:shd w:val="clear" w:color="auto" w:fill="auto"/>
          </w:tcPr>
          <w:p>
            <w:pPr>
              <w:widowControl/>
              <w:kinsoku w:val="0"/>
              <w:autoSpaceDE w:val="0"/>
              <w:autoSpaceDN w:val="0"/>
              <w:snapToGrid w:val="0"/>
              <w:spacing w:line="240" w:lineRule="auto"/>
              <w:jc w:val="center"/>
              <w:textAlignment w:val="baseline"/>
              <w:rPr>
                <w:rFonts w:ascii="宋体" w:hAnsi="宋体" w:cs="宋体"/>
                <w:snapToGrid w:val="0"/>
                <w:kern w:val="0"/>
              </w:rPr>
            </w:pPr>
            <w:r>
              <w:rPr>
                <w:rFonts w:hint="eastAsia" w:ascii="宋体" w:hAnsi="宋体" w:cs="宋体"/>
                <w:snapToGrid w:val="0"/>
                <w:spacing w:val="-5"/>
                <w:kern w:val="0"/>
              </w:rPr>
              <w:t>100</w:t>
            </w:r>
          </w:p>
        </w:tc>
        <w:tc>
          <w:tcPr>
            <w:tcW w:w="1179" w:type="dxa"/>
            <w:shd w:val="clear" w:color="auto" w:fill="auto"/>
          </w:tcPr>
          <w:p>
            <w:pPr>
              <w:widowControl/>
              <w:kinsoku w:val="0"/>
              <w:autoSpaceDE w:val="0"/>
              <w:autoSpaceDN w:val="0"/>
              <w:snapToGrid w:val="0"/>
              <w:spacing w:line="240" w:lineRule="auto"/>
              <w:jc w:val="center"/>
              <w:textAlignment w:val="baseline"/>
              <w:rPr>
                <w:rFonts w:ascii="宋体" w:hAnsi="宋体" w:cs="宋体"/>
                <w:snapToGrid w:val="0"/>
                <w:kern w:val="0"/>
              </w:rPr>
            </w:pPr>
            <w:r>
              <w:rPr>
                <w:rFonts w:hint="eastAsia" w:ascii="宋体" w:hAnsi="宋体" w:cs="宋体"/>
                <w:snapToGrid w:val="0"/>
                <w:spacing w:val="-5"/>
                <w:kern w:val="0"/>
              </w:rPr>
              <w:t>100</w:t>
            </w:r>
          </w:p>
        </w:tc>
        <w:tc>
          <w:tcPr>
            <w:tcW w:w="1134" w:type="dxa"/>
            <w:tcBorders>
              <w:right w:val="single" w:color="000000" w:sz="8" w:space="0"/>
            </w:tcBorders>
            <w:shd w:val="clear" w:color="auto" w:fill="auto"/>
          </w:tcPr>
          <w:p>
            <w:pPr>
              <w:widowControl/>
              <w:kinsoku w:val="0"/>
              <w:autoSpaceDE w:val="0"/>
              <w:autoSpaceDN w:val="0"/>
              <w:snapToGrid w:val="0"/>
              <w:spacing w:line="240" w:lineRule="auto"/>
              <w:jc w:val="center"/>
              <w:textAlignment w:val="baseline"/>
              <w:rPr>
                <w:rFonts w:ascii="宋体" w:hAnsi="宋体" w:cs="宋体"/>
                <w:snapToGrid w:val="0"/>
                <w:kern w:val="0"/>
              </w:rPr>
            </w:pPr>
            <w:r>
              <w:rPr>
                <w:rFonts w:hint="eastAsia" w:ascii="宋体" w:hAnsi="宋体" w:cs="宋体"/>
                <w:snapToGrid w:val="0"/>
                <w:spacing w:val="-5"/>
                <w:kern w:val="0"/>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1" w:hRule="atLeast"/>
          <w:jc w:val="center"/>
        </w:trPr>
        <w:tc>
          <w:tcPr>
            <w:tcW w:w="1171" w:type="dxa"/>
            <w:tcBorders>
              <w:left w:val="single" w:color="000000" w:sz="8" w:space="0"/>
              <w:bottom w:val="single" w:color="000000" w:sz="8" w:space="0"/>
            </w:tcBorders>
            <w:shd w:val="clear" w:color="auto" w:fill="auto"/>
          </w:tcPr>
          <w:p>
            <w:pPr>
              <w:widowControl/>
              <w:kinsoku w:val="0"/>
              <w:autoSpaceDE w:val="0"/>
              <w:autoSpaceDN w:val="0"/>
              <w:snapToGrid w:val="0"/>
              <w:spacing w:line="240" w:lineRule="auto"/>
              <w:jc w:val="center"/>
              <w:textAlignment w:val="baseline"/>
              <w:rPr>
                <w:rFonts w:ascii="宋体" w:hAnsi="宋体" w:cs="宋体"/>
                <w:snapToGrid w:val="0"/>
                <w:kern w:val="0"/>
              </w:rPr>
            </w:pPr>
            <w:r>
              <w:rPr>
                <w:rFonts w:hint="eastAsia" w:ascii="宋体" w:hAnsi="宋体" w:cs="宋体"/>
                <w:snapToGrid w:val="0"/>
                <w:spacing w:val="-1"/>
                <w:kern w:val="0"/>
              </w:rPr>
              <w:t>权重</w:t>
            </w:r>
            <w:r>
              <w:rPr>
                <w:rFonts w:hint="eastAsia" w:ascii="宋体" w:hAnsi="宋体" w:cs="宋体"/>
                <w:snapToGrid w:val="0"/>
                <w:kern w:val="0"/>
              </w:rPr>
              <w:t>占比</w:t>
            </w:r>
          </w:p>
        </w:tc>
        <w:tc>
          <w:tcPr>
            <w:tcW w:w="1166" w:type="dxa"/>
            <w:tcBorders>
              <w:bottom w:val="single" w:color="000000" w:sz="8" w:space="0"/>
            </w:tcBorders>
            <w:shd w:val="clear" w:color="auto" w:fill="auto"/>
            <w:vAlign w:val="center"/>
          </w:tcPr>
          <w:p>
            <w:pPr>
              <w:widowControl/>
              <w:kinsoku w:val="0"/>
              <w:autoSpaceDE w:val="0"/>
              <w:autoSpaceDN w:val="0"/>
              <w:snapToGrid w:val="0"/>
              <w:spacing w:line="240" w:lineRule="auto"/>
              <w:jc w:val="center"/>
              <w:textAlignment w:val="baseline"/>
              <w:rPr>
                <w:rFonts w:ascii="宋体" w:hAnsi="宋体" w:cs="宋体"/>
                <w:snapToGrid w:val="0"/>
                <w:kern w:val="0"/>
              </w:rPr>
            </w:pPr>
          </w:p>
        </w:tc>
        <w:tc>
          <w:tcPr>
            <w:tcW w:w="1171" w:type="dxa"/>
            <w:tcBorders>
              <w:bottom w:val="single" w:color="000000" w:sz="8" w:space="0"/>
            </w:tcBorders>
            <w:shd w:val="clear" w:color="auto" w:fill="auto"/>
          </w:tcPr>
          <w:p>
            <w:pPr>
              <w:widowControl/>
              <w:kinsoku w:val="0"/>
              <w:autoSpaceDE w:val="0"/>
              <w:autoSpaceDN w:val="0"/>
              <w:snapToGrid w:val="0"/>
              <w:spacing w:line="240" w:lineRule="auto"/>
              <w:jc w:val="center"/>
              <w:textAlignment w:val="baseline"/>
              <w:rPr>
                <w:rFonts w:ascii="宋体" w:hAnsi="宋体" w:cs="宋体"/>
                <w:snapToGrid w:val="0"/>
                <w:kern w:val="0"/>
              </w:rPr>
            </w:pPr>
            <w:r>
              <w:rPr>
                <w:rFonts w:ascii="宋体" w:hAnsi="宋体" w:cs="宋体"/>
                <w:snapToGrid w:val="0"/>
                <w:spacing w:val="-4"/>
                <w:kern w:val="0"/>
              </w:rPr>
              <w:t>30</w:t>
            </w:r>
            <w:r>
              <w:rPr>
                <w:rFonts w:hint="eastAsia" w:ascii="宋体" w:hAnsi="宋体" w:cs="宋体"/>
                <w:snapToGrid w:val="0"/>
                <w:spacing w:val="-2"/>
                <w:kern w:val="0"/>
              </w:rPr>
              <w:t>%</w:t>
            </w:r>
          </w:p>
        </w:tc>
        <w:tc>
          <w:tcPr>
            <w:tcW w:w="1166" w:type="dxa"/>
            <w:tcBorders>
              <w:bottom w:val="single" w:color="000000" w:sz="8" w:space="0"/>
            </w:tcBorders>
            <w:shd w:val="clear" w:color="auto" w:fill="auto"/>
          </w:tcPr>
          <w:p>
            <w:pPr>
              <w:widowControl/>
              <w:kinsoku w:val="0"/>
              <w:autoSpaceDE w:val="0"/>
              <w:autoSpaceDN w:val="0"/>
              <w:snapToGrid w:val="0"/>
              <w:spacing w:line="240" w:lineRule="auto"/>
              <w:jc w:val="center"/>
              <w:textAlignment w:val="baseline"/>
              <w:rPr>
                <w:rFonts w:ascii="宋体" w:hAnsi="宋体" w:cs="宋体"/>
                <w:snapToGrid w:val="0"/>
                <w:kern w:val="0"/>
              </w:rPr>
            </w:pPr>
            <w:r>
              <w:rPr>
                <w:rFonts w:hint="eastAsia" w:ascii="宋体" w:hAnsi="宋体" w:cs="宋体"/>
                <w:snapToGrid w:val="0"/>
                <w:spacing w:val="-2"/>
                <w:kern w:val="0"/>
              </w:rPr>
              <w:t>2</w:t>
            </w:r>
            <w:r>
              <w:rPr>
                <w:rFonts w:ascii="宋体" w:hAnsi="宋体" w:cs="宋体"/>
                <w:snapToGrid w:val="0"/>
                <w:spacing w:val="-2"/>
                <w:kern w:val="0"/>
              </w:rPr>
              <w:t>0</w:t>
            </w:r>
            <w:r>
              <w:rPr>
                <w:rFonts w:hint="eastAsia" w:ascii="宋体" w:hAnsi="宋体" w:cs="宋体"/>
                <w:snapToGrid w:val="0"/>
                <w:spacing w:val="-2"/>
                <w:kern w:val="0"/>
              </w:rPr>
              <w:t>%</w:t>
            </w:r>
          </w:p>
        </w:tc>
        <w:tc>
          <w:tcPr>
            <w:tcW w:w="1179" w:type="dxa"/>
            <w:tcBorders>
              <w:bottom w:val="single" w:color="000000" w:sz="8" w:space="0"/>
            </w:tcBorders>
            <w:shd w:val="clear" w:color="auto" w:fill="auto"/>
          </w:tcPr>
          <w:p>
            <w:pPr>
              <w:widowControl/>
              <w:kinsoku w:val="0"/>
              <w:autoSpaceDE w:val="0"/>
              <w:autoSpaceDN w:val="0"/>
              <w:snapToGrid w:val="0"/>
              <w:spacing w:line="240" w:lineRule="auto"/>
              <w:jc w:val="center"/>
              <w:textAlignment w:val="baseline"/>
              <w:rPr>
                <w:rFonts w:ascii="宋体" w:hAnsi="宋体" w:cs="宋体"/>
                <w:snapToGrid w:val="0"/>
                <w:kern w:val="0"/>
              </w:rPr>
            </w:pPr>
            <w:r>
              <w:rPr>
                <w:rFonts w:hint="eastAsia" w:ascii="宋体" w:hAnsi="宋体" w:cs="宋体"/>
                <w:snapToGrid w:val="0"/>
                <w:spacing w:val="-2"/>
                <w:kern w:val="0"/>
              </w:rPr>
              <w:t>2</w:t>
            </w:r>
            <w:r>
              <w:rPr>
                <w:rFonts w:ascii="宋体" w:hAnsi="宋体" w:cs="宋体"/>
                <w:snapToGrid w:val="0"/>
                <w:spacing w:val="-2"/>
                <w:kern w:val="0"/>
              </w:rPr>
              <w:t>0</w:t>
            </w:r>
            <w:r>
              <w:rPr>
                <w:rFonts w:hint="eastAsia" w:ascii="宋体" w:hAnsi="宋体" w:cs="宋体"/>
                <w:snapToGrid w:val="0"/>
                <w:spacing w:val="-2"/>
                <w:kern w:val="0"/>
              </w:rPr>
              <w:t>%</w:t>
            </w:r>
          </w:p>
        </w:tc>
        <w:tc>
          <w:tcPr>
            <w:tcW w:w="1134" w:type="dxa"/>
            <w:tcBorders>
              <w:bottom w:val="single" w:color="000000" w:sz="8" w:space="0"/>
              <w:right w:val="single" w:color="000000" w:sz="8" w:space="0"/>
            </w:tcBorders>
            <w:shd w:val="clear" w:color="auto" w:fill="auto"/>
          </w:tcPr>
          <w:p>
            <w:pPr>
              <w:widowControl/>
              <w:kinsoku w:val="0"/>
              <w:autoSpaceDE w:val="0"/>
              <w:autoSpaceDN w:val="0"/>
              <w:snapToGrid w:val="0"/>
              <w:spacing w:line="240" w:lineRule="auto"/>
              <w:jc w:val="center"/>
              <w:textAlignment w:val="baseline"/>
              <w:rPr>
                <w:rFonts w:ascii="宋体" w:hAnsi="宋体" w:cs="宋体"/>
                <w:snapToGrid w:val="0"/>
                <w:kern w:val="0"/>
              </w:rPr>
            </w:pPr>
            <w:r>
              <w:rPr>
                <w:rFonts w:ascii="宋体" w:hAnsi="宋体" w:cs="宋体"/>
                <w:snapToGrid w:val="0"/>
                <w:spacing w:val="-4"/>
                <w:kern w:val="0"/>
              </w:rPr>
              <w:t>30</w:t>
            </w:r>
            <w:r>
              <w:rPr>
                <w:rFonts w:hint="eastAsia" w:ascii="宋体" w:hAnsi="宋体" w:cs="宋体"/>
                <w:snapToGrid w:val="0"/>
                <w:spacing w:val="-2"/>
                <w:kern w:val="0"/>
              </w:rPr>
              <w:t>%</w:t>
            </w:r>
          </w:p>
        </w:tc>
      </w:tr>
    </w:tbl>
    <w:p>
      <w:pPr>
        <w:pStyle w:val="168"/>
      </w:pPr>
      <w:r>
        <w:rPr>
          <w:rFonts w:hint="eastAsia"/>
        </w:rPr>
        <w:t>绿色体育场馆评价总得分Q应按式5.2.4进行计算。</w:t>
      </w:r>
    </w:p>
    <w:p>
      <w:pPr>
        <w:pStyle w:val="116"/>
      </w:pPr>
      <w:r>
        <w:tab/>
      </w:r>
      <m:oMath>
        <m:r>
          <m:rPr>
            <m:sty m:val="p"/>
          </m:rPr>
          <w:rPr>
            <w:rFonts w:ascii="Cambria Math" w:hAnsi="Cambria Math"/>
          </w:rPr>
          <m:t>Q=</m:t>
        </m:r>
        <m:d>
          <m:dPr>
            <m:ctrlPr>
              <w:rPr>
                <w:rFonts w:ascii="Cambria Math" w:hAnsi="Cambria Math"/>
              </w:rPr>
            </m:ctrlPr>
          </m:dPr>
          <m:e>
            <m:r>
              <m:rPr/>
              <w:rPr>
                <w:rFonts w:ascii="Cambria Math" w:hAnsi="Cambria Math"/>
              </w:rPr>
              <m:t>Q1×30%</m:t>
            </m:r>
            <m:ctrlPr>
              <w:rPr>
                <w:rFonts w:ascii="Cambria Math" w:hAnsi="Cambria Math"/>
              </w:rPr>
            </m:ctrlPr>
          </m:e>
        </m:d>
        <m:r>
          <m:rPr/>
          <w:rPr>
            <w:rFonts w:ascii="Cambria Math" w:hAnsi="Cambria Math"/>
          </w:rPr>
          <m:t>+</m:t>
        </m:r>
        <m:d>
          <m:dPr>
            <m:ctrlPr>
              <w:rPr>
                <w:rFonts w:ascii="Cambria Math" w:hAnsi="Cambria Math"/>
                <w:i/>
              </w:rPr>
            </m:ctrlPr>
          </m:dPr>
          <m:e>
            <m:r>
              <m:rPr/>
              <w:rPr>
                <w:rFonts w:ascii="Cambria Math" w:hAnsi="Cambria Math"/>
              </w:rPr>
              <m:t>Q2×20%</m:t>
            </m:r>
            <m:ctrlPr>
              <w:rPr>
                <w:rFonts w:ascii="Cambria Math" w:hAnsi="Cambria Math"/>
                <w:i/>
              </w:rPr>
            </m:ctrlPr>
          </m:e>
        </m:d>
        <m:r>
          <m:rPr/>
          <w:rPr>
            <w:rFonts w:ascii="Cambria Math" w:hAnsi="Cambria Math"/>
          </w:rPr>
          <m:t>+(Q3×20%)+(Q4×30%)</m:t>
        </m:r>
      </m:oMath>
      <w:r>
        <w:rPr>
          <w:rFonts w:ascii="微软雅黑" w:hAnsi="微软雅黑" w:eastAsia="微软雅黑"/>
        </w:rPr>
        <w:tab/>
      </w:r>
      <w:r>
        <w:t>(</w:t>
      </w:r>
      <w:r>
        <w:fldChar w:fldCharType="begin"/>
      </w:r>
      <w:r>
        <w:instrText xml:space="preserve"> AUTONUM </w:instrText>
      </w:r>
      <w:r>
        <w:fldChar w:fldCharType="end"/>
      </w:r>
      <w:r>
        <w:t>)</w:t>
      </w:r>
    </w:p>
    <w:p>
      <w:pPr>
        <w:pStyle w:val="58"/>
        <w:ind w:firstLine="420"/>
      </w:pPr>
      <w:r>
        <w:rPr>
          <w:rFonts w:hint="eastAsia"/>
        </w:rPr>
        <w:t>式中：</w:t>
      </w:r>
    </w:p>
    <w:p>
      <w:pPr>
        <w:pStyle w:val="59"/>
        <w:ind w:firstLine="420"/>
      </w:pPr>
      <w:r>
        <w:rPr>
          <w:rFonts w:hint="eastAsia"/>
        </w:rPr>
        <w:t>Q1——低碳运营评分项；</w:t>
      </w:r>
    </w:p>
    <w:p>
      <w:pPr>
        <w:pStyle w:val="59"/>
        <w:ind w:firstLine="420"/>
      </w:pPr>
      <w:r>
        <w:t>Q2——运行保障评分项；</w:t>
      </w:r>
    </w:p>
    <w:p>
      <w:pPr>
        <w:pStyle w:val="59"/>
        <w:ind w:firstLine="420"/>
      </w:pPr>
      <w:r>
        <w:t>Q3——效益优化评分项；</w:t>
      </w:r>
    </w:p>
    <w:p>
      <w:pPr>
        <w:pStyle w:val="59"/>
        <w:ind w:firstLine="420"/>
      </w:pPr>
      <w:r>
        <w:t>Q4——智慧创新评分项。</w:t>
      </w:r>
    </w:p>
    <w:p>
      <w:pPr>
        <w:pStyle w:val="168"/>
      </w:pPr>
      <w:r>
        <w:rPr>
          <w:rFonts w:hint="eastAsia"/>
        </w:rPr>
        <w:t>绿色体育场馆应划分为基本级、一星级、二星级、三星级4个等级。</w:t>
      </w:r>
    </w:p>
    <w:p>
      <w:pPr>
        <w:pStyle w:val="168"/>
      </w:pPr>
      <w:r>
        <w:rPr>
          <w:rFonts w:hint="eastAsia"/>
        </w:rPr>
        <w:t>每类评价指标的控制项和评分项按类别分开评定，当满足全部控制项要求时，绿色体育场馆等级应为基本级。当评价总分达到70分、80分、90分时，绿色体育场馆等级分别为一星级、二星级、三星级。</w:t>
      </w:r>
    </w:p>
    <w:p>
      <w:pPr>
        <w:pStyle w:val="107"/>
        <w:spacing w:before="240" w:after="240"/>
      </w:pPr>
      <w:bookmarkStart w:id="48" w:name="_Toc110599840"/>
      <w:r>
        <w:rPr>
          <w:rFonts w:hint="eastAsia"/>
        </w:rPr>
        <w:t>低碳运营(100分)</w:t>
      </w:r>
      <w:bookmarkEnd w:id="48"/>
    </w:p>
    <w:p>
      <w:pPr>
        <w:pStyle w:val="108"/>
        <w:spacing w:before="120" w:after="120"/>
      </w:pPr>
      <w:bookmarkStart w:id="49" w:name="_Toc110599841"/>
      <w:r>
        <w:rPr>
          <w:rFonts w:hint="eastAsia"/>
        </w:rPr>
        <w:t>控制项</w:t>
      </w:r>
      <w:bookmarkEnd w:id="49"/>
    </w:p>
    <w:p>
      <w:pPr>
        <w:pStyle w:val="168"/>
      </w:pPr>
      <w:r>
        <w:rPr>
          <w:rFonts w:hint="eastAsia"/>
        </w:rPr>
        <w:t>场馆建筑设计应符合地方现行相关建筑节能设计标准及碳排放管理规定。</w:t>
      </w:r>
    </w:p>
    <w:p>
      <w:pPr>
        <w:pStyle w:val="168"/>
      </w:pPr>
      <w:r>
        <w:rPr>
          <w:rFonts w:hint="eastAsia"/>
        </w:rPr>
        <w:t>应结合场馆所在地实际情况及政策要求，制定适宜的资源综合利用方案或管理办法。</w:t>
      </w:r>
    </w:p>
    <w:p>
      <w:pPr>
        <w:pStyle w:val="168"/>
      </w:pPr>
      <w:r>
        <w:rPr>
          <w:rFonts w:hint="eastAsia"/>
        </w:rPr>
        <w:t>应构建场馆清洁、低碳、安全、高效的能源体系。</w:t>
      </w:r>
    </w:p>
    <w:p>
      <w:pPr>
        <w:pStyle w:val="168"/>
      </w:pPr>
      <w:r>
        <w:rPr>
          <w:rFonts w:hint="eastAsia"/>
        </w:rPr>
        <w:t>应采取措施降低场馆电力、供暖、空调等各方面能源负荷。</w:t>
      </w:r>
    </w:p>
    <w:p>
      <w:pPr>
        <w:pStyle w:val="108"/>
        <w:spacing w:before="120" w:after="120"/>
      </w:pPr>
      <w:bookmarkStart w:id="50" w:name="_Toc110599842"/>
      <w:r>
        <w:rPr>
          <w:rFonts w:hint="eastAsia"/>
        </w:rPr>
        <w:t>评分项</w:t>
      </w:r>
      <w:bookmarkEnd w:id="50"/>
    </w:p>
    <w:p>
      <w:pPr>
        <w:pStyle w:val="68"/>
        <w:spacing w:before="120" w:after="120"/>
      </w:pPr>
      <w:r>
        <w:rPr>
          <w:rFonts w:hint="eastAsia"/>
        </w:rPr>
        <w:t>低碳节能(25分)</w:t>
      </w:r>
    </w:p>
    <w:p>
      <w:pPr>
        <w:pStyle w:val="167"/>
      </w:pPr>
      <w:r>
        <w:rPr>
          <w:rFonts w:hint="eastAsia"/>
        </w:rPr>
        <w:t>应制定完善的节能方案及实施细则。评价总分值为5分。</w:t>
      </w:r>
    </w:p>
    <w:p>
      <w:pPr>
        <w:pStyle w:val="167"/>
      </w:pPr>
      <w:r>
        <w:rPr>
          <w:rFonts w:hint="eastAsia"/>
        </w:rPr>
        <w:t>应使用符合相关标准及技术规范的节能材料和设备。评价总分值为5分。</w:t>
      </w:r>
    </w:p>
    <w:p>
      <w:pPr>
        <w:pStyle w:val="167"/>
      </w:pPr>
      <w:r>
        <w:rPr>
          <w:rFonts w:hint="eastAsia"/>
        </w:rPr>
        <w:t>应有效实施必要的节能控制措施。评价总分值为10分。</w:t>
      </w:r>
    </w:p>
    <w:p>
      <w:pPr>
        <w:pStyle w:val="167"/>
      </w:pPr>
      <w:r>
        <w:rPr>
          <w:rFonts w:hint="eastAsia"/>
        </w:rPr>
        <w:t>应符合国家及地方能源消耗定额标准或能源考核合格。评价总分值为5分。</w:t>
      </w:r>
    </w:p>
    <w:p>
      <w:pPr>
        <w:pStyle w:val="68"/>
        <w:spacing w:before="120" w:after="120"/>
      </w:pPr>
      <w:r>
        <w:rPr>
          <w:rFonts w:hint="eastAsia"/>
        </w:rPr>
        <w:t>资源循环(25分)</w:t>
      </w:r>
    </w:p>
    <w:p>
      <w:pPr>
        <w:pStyle w:val="167"/>
      </w:pPr>
      <w:r>
        <w:rPr>
          <w:rFonts w:hint="eastAsia"/>
        </w:rPr>
        <w:t>应具有废弃物分类回收利用功能设置或体系。评价总分值为5分。</w:t>
      </w:r>
    </w:p>
    <w:p>
      <w:pPr>
        <w:pStyle w:val="167"/>
      </w:pPr>
      <w:r>
        <w:rPr>
          <w:rFonts w:hint="eastAsia"/>
        </w:rPr>
        <w:t>应具有雨水回收等水资源循环利用系统。评价总分值为5分。</w:t>
      </w:r>
    </w:p>
    <w:p>
      <w:pPr>
        <w:pStyle w:val="167"/>
      </w:pPr>
      <w:r>
        <w:rPr>
          <w:rFonts w:hint="eastAsia"/>
        </w:rPr>
        <w:t>应具有自然通风系统。评价总分值为5分。</w:t>
      </w:r>
    </w:p>
    <w:p>
      <w:pPr>
        <w:pStyle w:val="167"/>
      </w:pPr>
      <w:r>
        <w:rPr>
          <w:rFonts w:hint="eastAsia"/>
        </w:rPr>
        <w:t>应具有符合举办赛事活动特殊要求的自然采光系统。评价总分值为5分。</w:t>
      </w:r>
    </w:p>
    <w:p>
      <w:pPr>
        <w:pStyle w:val="167"/>
      </w:pPr>
      <w:r>
        <w:rPr>
          <w:rFonts w:hint="eastAsia"/>
        </w:rPr>
        <w:t>应具有可再生能源及清洁能源（风能、太阳能等）供应系统。评价总分值为5分。</w:t>
      </w:r>
    </w:p>
    <w:p>
      <w:pPr>
        <w:pStyle w:val="68"/>
        <w:spacing w:before="120" w:after="120"/>
      </w:pPr>
      <w:r>
        <w:rPr>
          <w:rFonts w:hint="eastAsia"/>
        </w:rPr>
        <w:t>能源管控(25分)</w:t>
      </w:r>
    </w:p>
    <w:p>
      <w:pPr>
        <w:pStyle w:val="167"/>
      </w:pPr>
      <w:r>
        <w:rPr>
          <w:rFonts w:hint="eastAsia"/>
        </w:rPr>
        <w:t>应具有能源管控方案及能源管控系统。评价总分值为5分。</w:t>
      </w:r>
    </w:p>
    <w:p>
      <w:pPr>
        <w:pStyle w:val="167"/>
      </w:pPr>
      <w:r>
        <w:rPr>
          <w:rFonts w:hint="eastAsia"/>
        </w:rPr>
        <w:t>应具有能耗及质量监测系统。评价总分值为10分。</w:t>
      </w:r>
    </w:p>
    <w:p>
      <w:pPr>
        <w:pStyle w:val="167"/>
      </w:pPr>
      <w:r>
        <w:rPr>
          <w:rFonts w:hint="eastAsia"/>
        </w:rPr>
        <w:t>应具有用能源控制机制，包括能源管理制度与操作规范、节能管理制度与操作规范、用能系统和设备运维机制、节能目标管理、节能降本改造、节能考核评价制度等。评价总分值为10分。</w:t>
      </w:r>
    </w:p>
    <w:p>
      <w:pPr>
        <w:pStyle w:val="68"/>
        <w:spacing w:before="120" w:after="120"/>
      </w:pPr>
      <w:r>
        <w:rPr>
          <w:rFonts w:hint="eastAsia"/>
        </w:rPr>
        <w:t>环境保护(25分)</w:t>
      </w:r>
    </w:p>
    <w:p>
      <w:pPr>
        <w:pStyle w:val="167"/>
      </w:pPr>
      <w:r>
        <w:rPr>
          <w:rFonts w:hint="eastAsia"/>
        </w:rPr>
        <w:t>应具有环境质量监测与评估系统。评价总分值为5分。</w:t>
      </w:r>
    </w:p>
    <w:p>
      <w:pPr>
        <w:pStyle w:val="167"/>
      </w:pPr>
      <w:r>
        <w:rPr>
          <w:rFonts w:hint="eastAsia"/>
        </w:rPr>
        <w:t>在场馆相关设施设备的制作、安装及后期保养过程中，应使用绿色材料代替高污染性材料，推进健身设施绿色低碳转型。评价总分值为5分。</w:t>
      </w:r>
    </w:p>
    <w:p>
      <w:pPr>
        <w:pStyle w:val="167"/>
      </w:pPr>
      <w:r>
        <w:rPr>
          <w:rFonts w:hint="eastAsia"/>
        </w:rPr>
        <w:t>应采用有效手段，降低馆内空气污染，在符合国家现行室内空气质量相关标准的基础上， 保证馆内空气清新无异味、无污染洁净并定时消杀，满足室内运动健身人员的空气质量需求。评价总分值为5分。</w:t>
      </w:r>
    </w:p>
    <w:p>
      <w:pPr>
        <w:pStyle w:val="167"/>
      </w:pPr>
      <w:r>
        <w:rPr>
          <w:rFonts w:hint="eastAsia"/>
        </w:rPr>
        <w:t>应采取有效措施绿化环境，减少各类污染。评价总分值为5分。</w:t>
      </w:r>
    </w:p>
    <w:p>
      <w:pPr>
        <w:pStyle w:val="167"/>
      </w:pPr>
      <w:r>
        <w:rPr>
          <w:rFonts w:hint="eastAsia"/>
        </w:rPr>
        <w:t>场馆建筑内外均应设置醒目的环保标识。评价总分值为5分。</w:t>
      </w:r>
    </w:p>
    <w:p>
      <w:pPr>
        <w:pStyle w:val="107"/>
        <w:spacing w:before="240" w:after="240"/>
      </w:pPr>
      <w:bookmarkStart w:id="51" w:name="_Toc110599843"/>
      <w:r>
        <w:rPr>
          <w:rFonts w:hint="eastAsia"/>
        </w:rPr>
        <w:t>运行保障(100分)</w:t>
      </w:r>
      <w:bookmarkEnd w:id="51"/>
    </w:p>
    <w:p>
      <w:pPr>
        <w:pStyle w:val="108"/>
        <w:spacing w:before="120" w:after="120"/>
      </w:pPr>
      <w:bookmarkStart w:id="52" w:name="_Toc110599844"/>
      <w:r>
        <w:rPr>
          <w:rFonts w:hint="eastAsia"/>
        </w:rPr>
        <w:t>控制项</w:t>
      </w:r>
      <w:bookmarkEnd w:id="52"/>
    </w:p>
    <w:p>
      <w:pPr>
        <w:pStyle w:val="168"/>
      </w:pPr>
      <w:r>
        <w:rPr>
          <w:rFonts w:hint="eastAsia"/>
        </w:rPr>
        <w:t>场馆运行保障各项内容应符合国家及地方现行标准及相关规定。</w:t>
      </w:r>
    </w:p>
    <w:p>
      <w:pPr>
        <w:pStyle w:val="168"/>
      </w:pPr>
      <w:r>
        <w:rPr>
          <w:rFonts w:hint="eastAsia"/>
        </w:rPr>
        <w:t>应结合场馆所在地实际情况及政策要求，制定适宜的场馆运行保障方案或管理办法。</w:t>
      </w:r>
    </w:p>
    <w:p>
      <w:pPr>
        <w:pStyle w:val="168"/>
      </w:pPr>
      <w:r>
        <w:rPr>
          <w:rFonts w:hint="eastAsia"/>
        </w:rPr>
        <w:t>应构建完善的场馆运行保障体系。</w:t>
      </w:r>
    </w:p>
    <w:p>
      <w:pPr>
        <w:pStyle w:val="108"/>
        <w:spacing w:before="120" w:after="120"/>
      </w:pPr>
      <w:bookmarkStart w:id="53" w:name="_Toc110599845"/>
      <w:r>
        <w:rPr>
          <w:rFonts w:hint="eastAsia"/>
        </w:rPr>
        <w:t>评分项</w:t>
      </w:r>
      <w:bookmarkEnd w:id="53"/>
    </w:p>
    <w:p>
      <w:pPr>
        <w:pStyle w:val="68"/>
        <w:spacing w:before="120" w:after="120"/>
      </w:pPr>
      <w:r>
        <w:rPr>
          <w:rFonts w:hint="eastAsia"/>
        </w:rPr>
        <w:t>运营管理(25分)</w:t>
      </w:r>
    </w:p>
    <w:p>
      <w:pPr>
        <w:pStyle w:val="167"/>
      </w:pPr>
      <w:r>
        <w:rPr>
          <w:rFonts w:hint="eastAsia"/>
        </w:rPr>
        <w:t>应具备高效运营所需的各项有形和无形资源。评价总分值为5分。</w:t>
      </w:r>
    </w:p>
    <w:p>
      <w:pPr>
        <w:pStyle w:val="167"/>
      </w:pPr>
      <w:r>
        <w:rPr>
          <w:rFonts w:hint="eastAsia"/>
        </w:rPr>
        <w:t>应有效实施战略管理，包括准确的战略定位、高效的决策机制、适当的实施方案、有效的机构设置、清晰的管理架构等。评价总分值为10分。</w:t>
      </w:r>
    </w:p>
    <w:p>
      <w:pPr>
        <w:pStyle w:val="167"/>
      </w:pPr>
      <w:r>
        <w:rPr>
          <w:rFonts w:hint="eastAsia"/>
        </w:rPr>
        <w:t>应开展行之有效的市场营销活动或充分提高场馆坪效服务顾客。评价总分值为10分。</w:t>
      </w:r>
    </w:p>
    <w:p>
      <w:pPr>
        <w:pStyle w:val="68"/>
        <w:spacing w:before="120" w:after="120"/>
      </w:pPr>
      <w:r>
        <w:rPr>
          <w:rFonts w:hint="eastAsia"/>
        </w:rPr>
        <w:t>人员管理(25分)</w:t>
      </w:r>
    </w:p>
    <w:p>
      <w:pPr>
        <w:pStyle w:val="167"/>
      </w:pPr>
      <w:r>
        <w:rPr>
          <w:rFonts w:hint="eastAsia"/>
        </w:rPr>
        <w:t>应健全人员招聘及解聘管理机制，实现人员数量合理，岗位分配恰当，确保人员利用效率最大化。评价总分值为5分。</w:t>
      </w:r>
    </w:p>
    <w:p>
      <w:pPr>
        <w:pStyle w:val="167"/>
      </w:pPr>
      <w:r>
        <w:rPr>
          <w:rFonts w:hint="eastAsia"/>
        </w:rPr>
        <w:t>场馆各岗位人员应具备专业技能，场馆应定期对各岗位人员实施适配有效的培训开发。评价总分值为5分。</w:t>
      </w:r>
    </w:p>
    <w:p>
      <w:pPr>
        <w:pStyle w:val="167"/>
      </w:pPr>
      <w:r>
        <w:rPr>
          <w:rFonts w:hint="eastAsia"/>
        </w:rPr>
        <w:t>应具备完善的绩效考评机制，各项服务的顾客满意度较高。评价总分值为5分。</w:t>
      </w:r>
    </w:p>
    <w:p>
      <w:pPr>
        <w:pStyle w:val="167"/>
      </w:pPr>
      <w:r>
        <w:rPr>
          <w:rFonts w:hint="eastAsia"/>
        </w:rPr>
        <w:t>应具备完善的薪酬管理机制，使场馆各岗位人员普遍接受并能调动员工的工作积极性。评价总分值为5分。</w:t>
      </w:r>
    </w:p>
    <w:p>
      <w:pPr>
        <w:pStyle w:val="167"/>
      </w:pPr>
      <w:r>
        <w:rPr>
          <w:rFonts w:hint="eastAsia"/>
        </w:rPr>
        <w:t>场馆运营团队建设良好，各岗位人员凝心聚力高效工作。评价总分值为5分。</w:t>
      </w:r>
    </w:p>
    <w:p>
      <w:pPr>
        <w:pStyle w:val="68"/>
        <w:spacing w:before="120" w:after="120"/>
      </w:pPr>
      <w:r>
        <w:rPr>
          <w:rFonts w:hint="eastAsia"/>
        </w:rPr>
        <w:t>运行维护(25分)</w:t>
      </w:r>
    </w:p>
    <w:p>
      <w:pPr>
        <w:pStyle w:val="167"/>
      </w:pPr>
      <w:r>
        <w:rPr>
          <w:rFonts w:hint="eastAsia"/>
        </w:rPr>
        <w:t>场馆赛时运行及日常运行应遵循绿色工艺、功能多样、节约能源、减污降碳、资源循环、运行保障等原则。评价总分值为5分。</w:t>
      </w:r>
    </w:p>
    <w:p>
      <w:pPr>
        <w:pStyle w:val="167"/>
      </w:pPr>
      <w:r>
        <w:rPr>
          <w:rFonts w:hint="eastAsia"/>
        </w:rPr>
        <w:t>场馆设施设备应定期巡检维护并升级改造，保证设施设备正常运转。评价总分值为5分。</w:t>
      </w:r>
    </w:p>
    <w:p>
      <w:pPr>
        <w:pStyle w:val="167"/>
      </w:pPr>
      <w:r>
        <w:rPr>
          <w:rFonts w:hint="eastAsia"/>
        </w:rPr>
        <w:t>应采取多项措施保障场馆资源得到有效利用，场馆应合理布局、强化资源集约利用和科技支撑、提高场馆附属功能用房利用率、降低单位能耗、减少运营成本。评价总分值为5分。</w:t>
      </w:r>
    </w:p>
    <w:p>
      <w:pPr>
        <w:pStyle w:val="167"/>
      </w:pPr>
      <w:r>
        <w:rPr>
          <w:rFonts w:hint="eastAsia"/>
        </w:rPr>
        <w:t>应推行绿色服务，开发场馆特色服务项目。评价总分值为5分。</w:t>
      </w:r>
    </w:p>
    <w:p>
      <w:pPr>
        <w:pStyle w:val="167"/>
      </w:pPr>
      <w:r>
        <w:rPr>
          <w:rFonts w:hint="eastAsia"/>
        </w:rPr>
        <w:t>应构建完善绿色高效的运维管理体系，包括管理制度、组织设计、评价机制、监督机制、标准管理等。评价总分值为5分。</w:t>
      </w:r>
    </w:p>
    <w:p>
      <w:pPr>
        <w:pStyle w:val="68"/>
        <w:spacing w:before="120" w:after="120"/>
      </w:pPr>
      <w:r>
        <w:rPr>
          <w:rFonts w:hint="eastAsia"/>
        </w:rPr>
        <w:t>安全管理(25分)</w:t>
      </w:r>
    </w:p>
    <w:p>
      <w:pPr>
        <w:pStyle w:val="167"/>
      </w:pPr>
      <w:r>
        <w:rPr>
          <w:rFonts w:hint="eastAsia"/>
        </w:rPr>
        <w:t>应构建完善的安全管理体系，包括水电安全、燃气安全、供热安全、公共卫生安全等领域。评价总分值为5分。</w:t>
      </w:r>
    </w:p>
    <w:p>
      <w:pPr>
        <w:pStyle w:val="167"/>
      </w:pPr>
      <w:r>
        <w:rPr>
          <w:rFonts w:hint="eastAsia"/>
        </w:rPr>
        <w:t>应制定切实有效的安全管理制度及方案。评价总分值为10分。</w:t>
      </w:r>
    </w:p>
    <w:p>
      <w:pPr>
        <w:pStyle w:val="167"/>
      </w:pPr>
      <w:r>
        <w:rPr>
          <w:rFonts w:hint="eastAsia"/>
        </w:rPr>
        <w:t>应有效实施相关安全管理保障措施，符合相关部门要求，包括基础安全设施建设、安保服务、安全检查、安全培训、安全演练、紧急疏散系统、卫生防疫系统、消防管理系统、应急避难措施、应急救护措施、安全事故预防措施、安全事故补救措施等。评价总分值为10分。</w:t>
      </w:r>
    </w:p>
    <w:p>
      <w:pPr>
        <w:pStyle w:val="107"/>
        <w:spacing w:before="240" w:after="240"/>
      </w:pPr>
      <w:bookmarkStart w:id="54" w:name="_Toc110599846"/>
      <w:r>
        <w:rPr>
          <w:rFonts w:hint="eastAsia"/>
        </w:rPr>
        <w:t>效益优化(100分)</w:t>
      </w:r>
      <w:bookmarkEnd w:id="54"/>
    </w:p>
    <w:p>
      <w:pPr>
        <w:pStyle w:val="108"/>
        <w:spacing w:before="120" w:after="120"/>
      </w:pPr>
      <w:bookmarkStart w:id="55" w:name="_Toc110599847"/>
      <w:r>
        <w:rPr>
          <w:rFonts w:hint="eastAsia"/>
        </w:rPr>
        <w:t>控制项</w:t>
      </w:r>
      <w:bookmarkEnd w:id="55"/>
    </w:p>
    <w:p>
      <w:pPr>
        <w:pStyle w:val="168"/>
      </w:pPr>
      <w:r>
        <w:rPr>
          <w:rFonts w:hint="eastAsia"/>
        </w:rPr>
        <w:t>场馆运营效益管理应符合国家及地方现行标准及相关规定，从实际出发，合理利用当地区域发展优势及可持续发展相关政策，充分考虑场馆使用者利益分配均衡等问题，高质量完成场馆运营管理工作。</w:t>
      </w:r>
    </w:p>
    <w:p>
      <w:pPr>
        <w:pStyle w:val="168"/>
      </w:pPr>
      <w:r>
        <w:rPr>
          <w:rFonts w:hint="eastAsia"/>
        </w:rPr>
        <w:t>应构建场馆运营效益管理体系，为有效实施运营评价工作提供保障。</w:t>
      </w:r>
    </w:p>
    <w:p>
      <w:pPr>
        <w:pStyle w:val="168"/>
      </w:pPr>
      <w:r>
        <w:rPr>
          <w:rFonts w:hint="eastAsia"/>
        </w:rPr>
        <w:t>应构建场馆运营效益评价机制，科学客观地实施效益评价工作。</w:t>
      </w:r>
    </w:p>
    <w:p>
      <w:pPr>
        <w:pStyle w:val="108"/>
        <w:spacing w:before="120" w:after="120"/>
      </w:pPr>
      <w:bookmarkStart w:id="56" w:name="_Toc110599848"/>
      <w:r>
        <w:rPr>
          <w:rFonts w:hint="eastAsia"/>
        </w:rPr>
        <w:t>评分项</w:t>
      </w:r>
      <w:bookmarkEnd w:id="56"/>
    </w:p>
    <w:p>
      <w:pPr>
        <w:pStyle w:val="68"/>
        <w:spacing w:before="120" w:after="120"/>
      </w:pPr>
      <w:r>
        <w:rPr>
          <w:rFonts w:hint="eastAsia"/>
        </w:rPr>
        <w:t>社会效益(40分)</w:t>
      </w:r>
    </w:p>
    <w:p>
      <w:pPr>
        <w:pStyle w:val="167"/>
      </w:pPr>
      <w:r>
        <w:rPr>
          <w:rFonts w:hint="eastAsia"/>
        </w:rPr>
        <w:t>场馆设施及服务方面，应进行人性化开发设计，重视用户使用感受，安装无障碍设施，可作为应急避难场所，提供医疗救助服务（疫情期间作为隔离点、方舱医院承担相应工作），进行多元化服务项目开发，满足消费者多样化需求，适当组织各类赛事活动和公益活动。评价总分值为10分。</w:t>
      </w:r>
    </w:p>
    <w:p>
      <w:pPr>
        <w:pStyle w:val="167"/>
      </w:pPr>
      <w:r>
        <w:rPr>
          <w:rFonts w:hint="eastAsia"/>
        </w:rPr>
        <w:t>场馆应依据当地实际情况灵活调整场馆的开放利用机制，依据国家及地方政策要求，实行相应的免费、低收费开放，针对特殊人群提供相应的优惠服务。评价总分值为10分。</w:t>
      </w:r>
    </w:p>
    <w:p>
      <w:pPr>
        <w:pStyle w:val="167"/>
      </w:pPr>
      <w:r>
        <w:rPr>
          <w:rFonts w:hint="eastAsia"/>
        </w:rPr>
        <w:t>场馆应树立绿色品牌形象，挖掘文化资源，传播健康理念，构建绿色教育宣传与实践机制。评价总分值为10分。</w:t>
      </w:r>
    </w:p>
    <w:p>
      <w:pPr>
        <w:pStyle w:val="167"/>
      </w:pPr>
      <w:r>
        <w:rPr>
          <w:rFonts w:hint="eastAsia"/>
        </w:rPr>
        <w:t>场馆运营的实际效果应广泛服务全民健身事业，满足顾客需求。评价总分值为10分。</w:t>
      </w:r>
    </w:p>
    <w:p>
      <w:pPr>
        <w:pStyle w:val="68"/>
        <w:spacing w:before="120" w:after="120"/>
      </w:pPr>
      <w:r>
        <w:rPr>
          <w:rFonts w:hint="eastAsia"/>
        </w:rPr>
        <w:t>经济效益(30分)</w:t>
      </w:r>
    </w:p>
    <w:p>
      <w:pPr>
        <w:pStyle w:val="167"/>
      </w:pPr>
      <w:r>
        <w:rPr>
          <w:rFonts w:hint="eastAsia"/>
        </w:rPr>
        <w:t>应树立绿色经济管理理念，实现经济效益与社会效益和生态效益的协调发展。评价总分值为10分。</w:t>
      </w:r>
    </w:p>
    <w:p>
      <w:pPr>
        <w:pStyle w:val="167"/>
      </w:pPr>
      <w:r>
        <w:rPr>
          <w:rFonts w:hint="eastAsia"/>
        </w:rPr>
        <w:t>场馆运营经济效益较好，注重提升运营效率及运营效益。评价总分值为10分。</w:t>
      </w:r>
    </w:p>
    <w:p>
      <w:pPr>
        <w:pStyle w:val="167"/>
      </w:pPr>
      <w:r>
        <w:rPr>
          <w:rFonts w:hint="eastAsia"/>
        </w:rPr>
        <w:t>应优化场馆配套商业资源配置，开展无形资产开发，实现场馆运营与其他相关产业的融合发展。评价总分值为10分。</w:t>
      </w:r>
    </w:p>
    <w:p>
      <w:pPr>
        <w:pStyle w:val="68"/>
        <w:spacing w:before="120" w:after="120"/>
      </w:pPr>
      <w:r>
        <w:rPr>
          <w:rFonts w:hint="eastAsia"/>
        </w:rPr>
        <w:t>生态效益(30分)</w:t>
      </w:r>
    </w:p>
    <w:p>
      <w:pPr>
        <w:pStyle w:val="167"/>
      </w:pPr>
      <w:r>
        <w:rPr>
          <w:rFonts w:hint="eastAsia"/>
        </w:rPr>
        <w:t>应采取有效措施节约使用资源，提高能源利用率。评价总分值为10分。</w:t>
      </w:r>
    </w:p>
    <w:p>
      <w:pPr>
        <w:pStyle w:val="167"/>
      </w:pPr>
      <w:r>
        <w:rPr>
          <w:rFonts w:hint="eastAsia"/>
        </w:rPr>
        <w:t>应采取有效措施保护环境，使各项环境指标符合国家及地方现行标准及相关规定。评价总分值为10分。</w:t>
      </w:r>
    </w:p>
    <w:p>
      <w:pPr>
        <w:pStyle w:val="167"/>
      </w:pPr>
      <w:r>
        <w:rPr>
          <w:rFonts w:hint="eastAsia"/>
        </w:rPr>
        <w:t>应采取有效措施减少各类污染，使各项污染物控制指标符合国家及地方现行标准及相关规定。评价总分值为10分。</w:t>
      </w:r>
    </w:p>
    <w:p>
      <w:pPr>
        <w:pStyle w:val="107"/>
        <w:spacing w:before="240" w:after="240"/>
      </w:pPr>
      <w:bookmarkStart w:id="57" w:name="_Toc110599849"/>
      <w:r>
        <w:rPr>
          <w:rFonts w:hint="eastAsia"/>
        </w:rPr>
        <w:t>智慧创新(100分)</w:t>
      </w:r>
      <w:bookmarkEnd w:id="57"/>
    </w:p>
    <w:p>
      <w:pPr>
        <w:pStyle w:val="108"/>
        <w:spacing w:before="120" w:after="120"/>
      </w:pPr>
      <w:bookmarkStart w:id="58" w:name="_Toc110599850"/>
      <w:r>
        <w:rPr>
          <w:rFonts w:hint="eastAsia"/>
        </w:rPr>
        <w:t>控制项</w:t>
      </w:r>
      <w:bookmarkEnd w:id="58"/>
    </w:p>
    <w:p>
      <w:pPr>
        <w:pStyle w:val="168"/>
      </w:pPr>
      <w:r>
        <w:rPr>
          <w:rFonts w:hint="eastAsia"/>
        </w:rPr>
        <w:t>充分利用智慧化手段，打造智慧化运行场馆，提高场馆运营效率和效益。</w:t>
      </w:r>
    </w:p>
    <w:p>
      <w:pPr>
        <w:pStyle w:val="168"/>
      </w:pPr>
      <w:r>
        <w:rPr>
          <w:rFonts w:hint="eastAsia"/>
        </w:rPr>
        <w:t>应构建创新管理机制，保障场馆智慧创新活动的顺利开展。</w:t>
      </w:r>
    </w:p>
    <w:p>
      <w:pPr>
        <w:pStyle w:val="168"/>
      </w:pPr>
      <w:r>
        <w:rPr>
          <w:rFonts w:hint="eastAsia"/>
        </w:rPr>
        <w:t>应构建技术创新体系，加快运用新一代信息技术改进场馆管理和赛事服务。</w:t>
      </w:r>
    </w:p>
    <w:p>
      <w:pPr>
        <w:pStyle w:val="108"/>
        <w:spacing w:before="120" w:after="120"/>
      </w:pPr>
      <w:bookmarkStart w:id="59" w:name="_Toc110599851"/>
      <w:r>
        <w:rPr>
          <w:rFonts w:hint="eastAsia"/>
        </w:rPr>
        <w:t>评分项</w:t>
      </w:r>
      <w:bookmarkEnd w:id="59"/>
    </w:p>
    <w:p>
      <w:pPr>
        <w:pStyle w:val="68"/>
        <w:spacing w:before="120" w:after="120"/>
      </w:pPr>
      <w:r>
        <w:rPr>
          <w:rFonts w:hint="eastAsia"/>
        </w:rPr>
        <w:t>科技应用(50分)</w:t>
      </w:r>
    </w:p>
    <w:p>
      <w:pPr>
        <w:pStyle w:val="167"/>
      </w:pPr>
      <w:r>
        <w:rPr>
          <w:rFonts w:hint="eastAsia"/>
        </w:rPr>
        <w:t>应具备体育场馆信息化管理服务系统或智能化服务系统。评价总分值为10分。</w:t>
      </w:r>
    </w:p>
    <w:p>
      <w:pPr>
        <w:pStyle w:val="167"/>
      </w:pPr>
      <w:r>
        <w:rPr>
          <w:rFonts w:hint="eastAsia"/>
        </w:rPr>
        <w:t>应具备智能健身设备互联系统，实现运动数据的采集、统计、分析、评价等功能。评价总分值为10分。</w:t>
      </w:r>
    </w:p>
    <w:p>
      <w:pPr>
        <w:pStyle w:val="167"/>
      </w:pPr>
      <w:r>
        <w:rPr>
          <w:rFonts w:hint="eastAsia"/>
        </w:rPr>
        <w:t>应具备能源管理系统，实现对场馆能源的监控和分析。评价总分值为10分。</w:t>
      </w:r>
    </w:p>
    <w:p>
      <w:pPr>
        <w:pStyle w:val="167"/>
      </w:pPr>
      <w:r>
        <w:rPr>
          <w:rFonts w:hint="eastAsia"/>
        </w:rPr>
        <w:t>应具备热成像体温筛查系统。评价总分值为10分。</w:t>
      </w:r>
    </w:p>
    <w:p>
      <w:pPr>
        <w:pStyle w:val="167"/>
      </w:pPr>
      <w:r>
        <w:rPr>
          <w:rFonts w:hint="eastAsia"/>
        </w:rPr>
        <w:t>应具备其他方面信息管理系统。评价总分值为10分。</w:t>
      </w:r>
    </w:p>
    <w:p>
      <w:pPr>
        <w:pStyle w:val="68"/>
        <w:spacing w:before="120" w:after="120"/>
      </w:pPr>
      <w:r>
        <w:rPr>
          <w:rFonts w:hint="eastAsia"/>
        </w:rPr>
        <w:t>创新管理(50分)</w:t>
      </w:r>
    </w:p>
    <w:p>
      <w:pPr>
        <w:pStyle w:val="167"/>
      </w:pPr>
      <w:r>
        <w:rPr>
          <w:rFonts w:hint="eastAsia"/>
        </w:rPr>
        <w:t>应进行绿色低碳科技开发创新，开展相关技术攻关，对新技术适当予以应用，并对科技应用效果进行科学评价。评价总分值为10分。</w:t>
      </w:r>
    </w:p>
    <w:p>
      <w:pPr>
        <w:pStyle w:val="167"/>
      </w:pPr>
      <w:r>
        <w:rPr>
          <w:rFonts w:hint="eastAsia"/>
        </w:rPr>
        <w:t>应有意识地建立绿色低碳技术评估体系。评价总分值为10分。</w:t>
      </w:r>
    </w:p>
    <w:p>
      <w:pPr>
        <w:pStyle w:val="167"/>
      </w:pPr>
      <w:r>
        <w:rPr>
          <w:rFonts w:hint="eastAsia"/>
        </w:rPr>
        <w:t>应构建科技创新服务平台，制定创新激励机制，为创新管理提供重要保障。评价总分值为10分。</w:t>
      </w:r>
    </w:p>
    <w:p>
      <w:pPr>
        <w:pStyle w:val="167"/>
      </w:pPr>
      <w:r>
        <w:rPr>
          <w:rFonts w:hint="eastAsia"/>
        </w:rPr>
        <w:t>应利用智慧创新手段进行场馆绿色化改造及适应气候变化能力建设，提高防灾、减灾、抗灾、救灾等能力。评价总分值为10分。</w:t>
      </w:r>
    </w:p>
    <w:p>
      <w:pPr>
        <w:pStyle w:val="167"/>
      </w:pPr>
      <w:r>
        <w:rPr>
          <w:rFonts w:hint="eastAsia"/>
        </w:rPr>
        <w:t>应遵循可持续发展理念，在场馆运营全过程中保持和持续改进运营效率和效益。评价总分值为10分。</w:t>
      </w:r>
    </w:p>
    <w:p>
      <w:pPr>
        <w:pStyle w:val="167"/>
        <w:numPr>
          <w:ilvl w:val="0"/>
          <w:numId w:val="0"/>
        </w:numPr>
      </w:pPr>
    </w:p>
    <w:p>
      <w:pPr>
        <w:pStyle w:val="167"/>
        <w:numPr>
          <w:ilvl w:val="0"/>
          <w:numId w:val="0"/>
        </w:numPr>
      </w:pPr>
    </w:p>
    <w:bookmarkEnd w:id="22"/>
    <w:p>
      <w:pPr>
        <w:pStyle w:val="167"/>
        <w:numPr>
          <w:ilvl w:val="0"/>
          <w:numId w:val="0"/>
        </w:numPr>
        <w:jc w:val="center"/>
      </w:pPr>
      <w:bookmarkStart w:id="60" w:name="BookMark8"/>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5">
                      <a:extLst>
                        <a:ext uri="{28A0092B-C50C-407E-A947-70E740481C1C}">
                          <a14:useLocalDpi xmlns:a14="http://schemas.microsoft.com/office/drawing/2010/main" val="false"/>
                        </a:ext>
                      </a:extLst>
                    </a:blip>
                    <a:stretch>
                      <a:fillRect/>
                    </a:stretch>
                  </pic:blipFill>
                  <pic:spPr>
                    <a:xfrm>
                      <a:off x="0" y="0"/>
                      <a:ext cx="1485900" cy="317500"/>
                    </a:xfrm>
                    <a:prstGeom prst="rect">
                      <a:avLst/>
                    </a:prstGeom>
                  </pic:spPr>
                </pic:pic>
              </a:graphicData>
            </a:graphic>
          </wp:inline>
        </w:drawing>
      </w:r>
      <w:bookmarkEnd w:id="60"/>
    </w:p>
    <w:sectPr>
      <w:pgSz w:w="11906" w:h="16838"/>
      <w:pgMar w:top="2410"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Cambria Math">
    <w:altName w:val="DejaVu Math TeX Gyre"/>
    <w:panose1 w:val="02040503050406030204"/>
    <w:charset w:val="00"/>
    <w:family w:val="roman"/>
    <w:pitch w:val="default"/>
    <w:sig w:usb0="00000000" w:usb1="00000000" w:usb2="02000000" w:usb3="00000000" w:csb0="2000019F"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TY/T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fldChar w:fldCharType="begin"/>
    </w:r>
    <w:r>
      <w:instrText xml:space="preserve"> STYLEREF  标准文件_文件编号  \* MERGEFORMAT </w:instrText>
    </w:r>
    <w:r>
      <w:fldChar w:fldCharType="separate"/>
    </w:r>
    <w:r>
      <w:t>TY/T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true"/>
  <w:bordersDoNotSurroundFooter w:val="true"/>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xMjC0NDY2NDQ1MjVU0lEKTi0uzszPAykwqgUA6/BlBCwAAAA="/>
    <w:docVar w:name="commondata" w:val="eyJoZGlkIjoiMWY0YmQxOWEwM2E0ZmVkY2E2N2YyZTM0YzYyMzliMTkifQ=="/>
  </w:docVars>
  <w:rsids>
    <w:rsidRoot w:val="0091426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0C"/>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4891"/>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0F70C7"/>
    <w:rsid w:val="00104926"/>
    <w:rsid w:val="00113B1E"/>
    <w:rsid w:val="0011711C"/>
    <w:rsid w:val="00124E4F"/>
    <w:rsid w:val="001260B7"/>
    <w:rsid w:val="001265CB"/>
    <w:rsid w:val="001321C6"/>
    <w:rsid w:val="001325C4"/>
    <w:rsid w:val="00133010"/>
    <w:rsid w:val="001338EE"/>
    <w:rsid w:val="00133A50"/>
    <w:rsid w:val="00133AAE"/>
    <w:rsid w:val="00135323"/>
    <w:rsid w:val="001356C4"/>
    <w:rsid w:val="00141114"/>
    <w:rsid w:val="00142969"/>
    <w:rsid w:val="001457E7"/>
    <w:rsid w:val="00145D9D"/>
    <w:rsid w:val="00146388"/>
    <w:rsid w:val="00147047"/>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0ACD"/>
    <w:rsid w:val="00183340"/>
    <w:rsid w:val="001852C9"/>
    <w:rsid w:val="00190087"/>
    <w:rsid w:val="001913C4"/>
    <w:rsid w:val="0019348F"/>
    <w:rsid w:val="00193A07"/>
    <w:rsid w:val="00194C95"/>
    <w:rsid w:val="00195C34"/>
    <w:rsid w:val="001A1A53"/>
    <w:rsid w:val="001A234A"/>
    <w:rsid w:val="001B06E8"/>
    <w:rsid w:val="001B193E"/>
    <w:rsid w:val="001B4030"/>
    <w:rsid w:val="001B71D0"/>
    <w:rsid w:val="001B71EE"/>
    <w:rsid w:val="001C04A8"/>
    <w:rsid w:val="001C26BD"/>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0C3"/>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0765B"/>
    <w:rsid w:val="00210B15"/>
    <w:rsid w:val="002142EA"/>
    <w:rsid w:val="00216076"/>
    <w:rsid w:val="002204BB"/>
    <w:rsid w:val="00221B79"/>
    <w:rsid w:val="00221C6B"/>
    <w:rsid w:val="00224596"/>
    <w:rsid w:val="002253A1"/>
    <w:rsid w:val="00225CF8"/>
    <w:rsid w:val="00226B29"/>
    <w:rsid w:val="0022794E"/>
    <w:rsid w:val="00233D64"/>
    <w:rsid w:val="00234784"/>
    <w:rsid w:val="0023482A"/>
    <w:rsid w:val="002359CB"/>
    <w:rsid w:val="00241FB2"/>
    <w:rsid w:val="00242BDA"/>
    <w:rsid w:val="00243540"/>
    <w:rsid w:val="0024497B"/>
    <w:rsid w:val="0024515B"/>
    <w:rsid w:val="00246021"/>
    <w:rsid w:val="00246570"/>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97F3A"/>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1AED"/>
    <w:rsid w:val="002E4D5A"/>
    <w:rsid w:val="002E6326"/>
    <w:rsid w:val="002F30E0"/>
    <w:rsid w:val="002F35E4"/>
    <w:rsid w:val="002F3730"/>
    <w:rsid w:val="002F38E1"/>
    <w:rsid w:val="002F7AF6"/>
    <w:rsid w:val="00300E63"/>
    <w:rsid w:val="00302F5F"/>
    <w:rsid w:val="0030441D"/>
    <w:rsid w:val="00306063"/>
    <w:rsid w:val="00312D42"/>
    <w:rsid w:val="00313B85"/>
    <w:rsid w:val="00317988"/>
    <w:rsid w:val="003221B4"/>
    <w:rsid w:val="00322E62"/>
    <w:rsid w:val="00324EDD"/>
    <w:rsid w:val="003314B1"/>
    <w:rsid w:val="003331E4"/>
    <w:rsid w:val="00336C64"/>
    <w:rsid w:val="00337162"/>
    <w:rsid w:val="0034194F"/>
    <w:rsid w:val="00342DB8"/>
    <w:rsid w:val="00344605"/>
    <w:rsid w:val="003474AA"/>
    <w:rsid w:val="00350D1D"/>
    <w:rsid w:val="00351901"/>
    <w:rsid w:val="00352C83"/>
    <w:rsid w:val="003615D2"/>
    <w:rsid w:val="00363A1F"/>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1E12"/>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5A43"/>
    <w:rsid w:val="003D0519"/>
    <w:rsid w:val="003D0FF6"/>
    <w:rsid w:val="003D262C"/>
    <w:rsid w:val="003D5095"/>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32DAA"/>
    <w:rsid w:val="0043314C"/>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C1FBC"/>
    <w:rsid w:val="004C2554"/>
    <w:rsid w:val="004C3F1D"/>
    <w:rsid w:val="004C458D"/>
    <w:rsid w:val="004C7556"/>
    <w:rsid w:val="004C7E9D"/>
    <w:rsid w:val="004C7F67"/>
    <w:rsid w:val="004D076D"/>
    <w:rsid w:val="004D0EF1"/>
    <w:rsid w:val="004D189E"/>
    <w:rsid w:val="004D2253"/>
    <w:rsid w:val="004D4406"/>
    <w:rsid w:val="004D4AAC"/>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606"/>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38A3"/>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1539"/>
    <w:rsid w:val="005C29B8"/>
    <w:rsid w:val="005C5F21"/>
    <w:rsid w:val="005C7156"/>
    <w:rsid w:val="005C743A"/>
    <w:rsid w:val="005C751A"/>
    <w:rsid w:val="005D0C75"/>
    <w:rsid w:val="005D1E63"/>
    <w:rsid w:val="005D4171"/>
    <w:rsid w:val="005D6A95"/>
    <w:rsid w:val="005D6B2C"/>
    <w:rsid w:val="005D6D9C"/>
    <w:rsid w:val="005E2335"/>
    <w:rsid w:val="005E34CA"/>
    <w:rsid w:val="005E3C18"/>
    <w:rsid w:val="005E44E1"/>
    <w:rsid w:val="005E4C22"/>
    <w:rsid w:val="005E6318"/>
    <w:rsid w:val="005E6812"/>
    <w:rsid w:val="005E7798"/>
    <w:rsid w:val="005E7829"/>
    <w:rsid w:val="005E7881"/>
    <w:rsid w:val="005E78E0"/>
    <w:rsid w:val="005F0D9C"/>
    <w:rsid w:val="005F284E"/>
    <w:rsid w:val="005F7E12"/>
    <w:rsid w:val="006015CE"/>
    <w:rsid w:val="00604784"/>
    <w:rsid w:val="00606419"/>
    <w:rsid w:val="00607D29"/>
    <w:rsid w:val="00612952"/>
    <w:rsid w:val="00614CC1"/>
    <w:rsid w:val="00615A9D"/>
    <w:rsid w:val="00617387"/>
    <w:rsid w:val="006252D8"/>
    <w:rsid w:val="006259BC"/>
    <w:rsid w:val="0062636B"/>
    <w:rsid w:val="00626B51"/>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5653A"/>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4E50"/>
    <w:rsid w:val="006850CD"/>
    <w:rsid w:val="00685AAB"/>
    <w:rsid w:val="00695A31"/>
    <w:rsid w:val="006A07AA"/>
    <w:rsid w:val="006A25E5"/>
    <w:rsid w:val="006A2B46"/>
    <w:rsid w:val="006A336D"/>
    <w:rsid w:val="006A37B9"/>
    <w:rsid w:val="006A4CF7"/>
    <w:rsid w:val="006A5745"/>
    <w:rsid w:val="006B0651"/>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20AD"/>
    <w:rsid w:val="006D3E96"/>
    <w:rsid w:val="006D4515"/>
    <w:rsid w:val="006D4BB1"/>
    <w:rsid w:val="006D6593"/>
    <w:rsid w:val="006D686E"/>
    <w:rsid w:val="006E30D8"/>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5949"/>
    <w:rsid w:val="00727FA2"/>
    <w:rsid w:val="007322D9"/>
    <w:rsid w:val="00732BC0"/>
    <w:rsid w:val="00732F4E"/>
    <w:rsid w:val="0073720F"/>
    <w:rsid w:val="00737796"/>
    <w:rsid w:val="0074165C"/>
    <w:rsid w:val="0074233E"/>
    <w:rsid w:val="00742C35"/>
    <w:rsid w:val="007432CA"/>
    <w:rsid w:val="007439EB"/>
    <w:rsid w:val="00743CB4"/>
    <w:rsid w:val="00743F0A"/>
    <w:rsid w:val="007444E8"/>
    <w:rsid w:val="00744B02"/>
    <w:rsid w:val="0074548E"/>
    <w:rsid w:val="00745773"/>
    <w:rsid w:val="00746800"/>
    <w:rsid w:val="00747CF0"/>
    <w:rsid w:val="007501A8"/>
    <w:rsid w:val="00750EE1"/>
    <w:rsid w:val="00752B4D"/>
    <w:rsid w:val="007532DC"/>
    <w:rsid w:val="00755402"/>
    <w:rsid w:val="00756B26"/>
    <w:rsid w:val="00756EDF"/>
    <w:rsid w:val="00765C43"/>
    <w:rsid w:val="00765EFB"/>
    <w:rsid w:val="007671CA"/>
    <w:rsid w:val="0076744F"/>
    <w:rsid w:val="00767C61"/>
    <w:rsid w:val="0077008A"/>
    <w:rsid w:val="00772510"/>
    <w:rsid w:val="00773C1F"/>
    <w:rsid w:val="00774DA4"/>
    <w:rsid w:val="00776599"/>
    <w:rsid w:val="00780A2D"/>
    <w:rsid w:val="0078114B"/>
    <w:rsid w:val="00781DD2"/>
    <w:rsid w:val="00783ECF"/>
    <w:rsid w:val="0078413A"/>
    <w:rsid w:val="007959E8"/>
    <w:rsid w:val="00795E9C"/>
    <w:rsid w:val="007A0521"/>
    <w:rsid w:val="007A2E12"/>
    <w:rsid w:val="007A3475"/>
    <w:rsid w:val="007A41C8"/>
    <w:rsid w:val="007A54CE"/>
    <w:rsid w:val="007A5DAA"/>
    <w:rsid w:val="007A6FD9"/>
    <w:rsid w:val="007A7FFA"/>
    <w:rsid w:val="007B04EB"/>
    <w:rsid w:val="007B0D4F"/>
    <w:rsid w:val="007B2CD6"/>
    <w:rsid w:val="007B5A3D"/>
    <w:rsid w:val="007B5B95"/>
    <w:rsid w:val="007B68EA"/>
    <w:rsid w:val="007B7453"/>
    <w:rsid w:val="007C154F"/>
    <w:rsid w:val="007C2D89"/>
    <w:rsid w:val="007C4593"/>
    <w:rsid w:val="007C5309"/>
    <w:rsid w:val="007C6069"/>
    <w:rsid w:val="007D06C4"/>
    <w:rsid w:val="007D1352"/>
    <w:rsid w:val="007D2508"/>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2FDD"/>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C6681"/>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62E6"/>
    <w:rsid w:val="00911BE5"/>
    <w:rsid w:val="00913CA9"/>
    <w:rsid w:val="00914264"/>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3CF"/>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866"/>
    <w:rsid w:val="00A70B07"/>
    <w:rsid w:val="00A723F8"/>
    <w:rsid w:val="00A77CCB"/>
    <w:rsid w:val="00A83D8D"/>
    <w:rsid w:val="00A8446B"/>
    <w:rsid w:val="00A8473F"/>
    <w:rsid w:val="00A862D6"/>
    <w:rsid w:val="00A8715E"/>
    <w:rsid w:val="00A87647"/>
    <w:rsid w:val="00A92329"/>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3E7A"/>
    <w:rsid w:val="00AD4126"/>
    <w:rsid w:val="00AD421C"/>
    <w:rsid w:val="00AD44FA"/>
    <w:rsid w:val="00AD5BD8"/>
    <w:rsid w:val="00AD5D89"/>
    <w:rsid w:val="00AE070A"/>
    <w:rsid w:val="00AE101C"/>
    <w:rsid w:val="00AE232F"/>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143"/>
    <w:rsid w:val="00B4654C"/>
    <w:rsid w:val="00B47293"/>
    <w:rsid w:val="00B50E50"/>
    <w:rsid w:val="00B52120"/>
    <w:rsid w:val="00B54ABC"/>
    <w:rsid w:val="00B56135"/>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765B"/>
    <w:rsid w:val="00BA7C9A"/>
    <w:rsid w:val="00BB5F8F"/>
    <w:rsid w:val="00BB657A"/>
    <w:rsid w:val="00BB74BD"/>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2648"/>
    <w:rsid w:val="00C24C8D"/>
    <w:rsid w:val="00C25FE2"/>
    <w:rsid w:val="00C260F4"/>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092"/>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1DDF"/>
    <w:rsid w:val="00CD2256"/>
    <w:rsid w:val="00CD2808"/>
    <w:rsid w:val="00CD28BF"/>
    <w:rsid w:val="00CD2B28"/>
    <w:rsid w:val="00CD4092"/>
    <w:rsid w:val="00CD4A20"/>
    <w:rsid w:val="00CD50A1"/>
    <w:rsid w:val="00CD519E"/>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103E"/>
    <w:rsid w:val="00D32719"/>
    <w:rsid w:val="00D33333"/>
    <w:rsid w:val="00D34CB7"/>
    <w:rsid w:val="00D352A2"/>
    <w:rsid w:val="00D4162B"/>
    <w:rsid w:val="00D4514F"/>
    <w:rsid w:val="00D451E2"/>
    <w:rsid w:val="00D45E89"/>
    <w:rsid w:val="00D45E8D"/>
    <w:rsid w:val="00D4647D"/>
    <w:rsid w:val="00D466AE"/>
    <w:rsid w:val="00D4734F"/>
    <w:rsid w:val="00D51BF3"/>
    <w:rsid w:val="00D54B98"/>
    <w:rsid w:val="00D56D85"/>
    <w:rsid w:val="00D66846"/>
    <w:rsid w:val="00D675FB"/>
    <w:rsid w:val="00D67EE2"/>
    <w:rsid w:val="00D71F25"/>
    <w:rsid w:val="00D77031"/>
    <w:rsid w:val="00D81136"/>
    <w:rsid w:val="00D84941"/>
    <w:rsid w:val="00D84FA1"/>
    <w:rsid w:val="00D851F0"/>
    <w:rsid w:val="00D86DB7"/>
    <w:rsid w:val="00D9060C"/>
    <w:rsid w:val="00D926D0"/>
    <w:rsid w:val="00D9291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49C2"/>
    <w:rsid w:val="00DB66CA"/>
    <w:rsid w:val="00DB6BCA"/>
    <w:rsid w:val="00DB7113"/>
    <w:rsid w:val="00DC0321"/>
    <w:rsid w:val="00DC069C"/>
    <w:rsid w:val="00DC23D5"/>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53C8"/>
    <w:rsid w:val="00E755FE"/>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D4E4E"/>
    <w:rsid w:val="00EE0350"/>
    <w:rsid w:val="00EE0719"/>
    <w:rsid w:val="00EE0E80"/>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5254"/>
    <w:rsid w:val="00F56511"/>
    <w:rsid w:val="00F6194E"/>
    <w:rsid w:val="00F623AC"/>
    <w:rsid w:val="00F6412A"/>
    <w:rsid w:val="00F65893"/>
    <w:rsid w:val="00F66A4A"/>
    <w:rsid w:val="00F71E22"/>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6D6D"/>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6081"/>
    <w:rsid w:val="00FE7E79"/>
    <w:rsid w:val="00FF27DB"/>
    <w:rsid w:val="00FF3E7D"/>
    <w:rsid w:val="00FF59B5"/>
    <w:rsid w:val="00FF5B99"/>
    <w:rsid w:val="00FF730C"/>
    <w:rsid w:val="00FF73F4"/>
    <w:rsid w:val="00FF7CE4"/>
    <w:rsid w:val="00FF7E39"/>
    <w:rsid w:val="0C47397E"/>
    <w:rsid w:val="0F442096"/>
    <w:rsid w:val="14FD963B"/>
    <w:rsid w:val="29DF561B"/>
    <w:rsid w:val="61B74968"/>
    <w:rsid w:val="64FD65A3"/>
    <w:rsid w:val="67B11702"/>
    <w:rsid w:val="6F0848D1"/>
    <w:rsid w:val="70B328CC"/>
    <w:rsid w:val="78BEC6A2"/>
    <w:rsid w:val="7CD21404"/>
    <w:rsid w:val="B54B2B39"/>
    <w:rsid w:val="BFFF4870"/>
    <w:rsid w:val="D59E5AD3"/>
    <w:rsid w:val="DFFF847A"/>
    <w:rsid w:val="EFBF0935"/>
    <w:rsid w:val="FF2F2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9"/>
    <w:qFormat/>
    <w:uiPriority w:val="0"/>
    <w:pPr>
      <w:keepNext/>
      <w:keepLines/>
      <w:spacing w:before="260" w:after="260" w:line="416" w:lineRule="auto"/>
      <w:outlineLvl w:val="2"/>
    </w:pPr>
    <w:rPr>
      <w:b/>
      <w:bCs/>
      <w:sz w:val="32"/>
      <w:szCs w:val="32"/>
    </w:rPr>
  </w:style>
  <w:style w:type="paragraph" w:styleId="6">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8">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9">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10">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1">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9"/>
    <w:qFormat/>
    <w:uiPriority w:val="0"/>
    <w:pPr>
      <w:spacing w:after="120"/>
    </w:pPr>
  </w:style>
  <w:style w:type="paragraph" w:styleId="12">
    <w:name w:val="toc 7"/>
    <w:basedOn w:val="1"/>
    <w:next w:val="1"/>
    <w:unhideWhenUsed/>
    <w:qFormat/>
    <w:uiPriority w:val="39"/>
    <w:pPr>
      <w:tabs>
        <w:tab w:val="right" w:leader="dot" w:pos="9344"/>
      </w:tabs>
      <w:spacing w:line="300" w:lineRule="exact"/>
      <w:ind w:left="1259"/>
    </w:pPr>
    <w:rPr>
      <w:rFonts w:ascii="宋体"/>
    </w:rPr>
  </w:style>
  <w:style w:type="paragraph" w:styleId="13">
    <w:name w:val="Normal Indent"/>
    <w:basedOn w:val="1"/>
    <w:qFormat/>
    <w:uiPriority w:val="0"/>
    <w:pPr>
      <w:ind w:firstLine="420"/>
    </w:pPr>
  </w:style>
  <w:style w:type="paragraph" w:styleId="14">
    <w:name w:val="annotation text"/>
    <w:basedOn w:val="1"/>
    <w:link w:val="233"/>
    <w:semiHidden/>
    <w:unhideWhenUsed/>
    <w:qFormat/>
    <w:uiPriority w:val="99"/>
    <w:pPr>
      <w:jc w:val="left"/>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4"/>
    <w:next w:val="14"/>
    <w:link w:val="234"/>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2 字符"/>
    <w:link w:val="4"/>
    <w:qFormat/>
    <w:uiPriority w:val="0"/>
    <w:rPr>
      <w:rFonts w:ascii="Arial" w:hAnsi="Arial" w:eastAsia="黑体" w:cs="Times New Roman"/>
      <w:b/>
      <w:bCs/>
      <w:sz w:val="32"/>
      <w:szCs w:val="32"/>
    </w:rPr>
  </w:style>
  <w:style w:type="character" w:customStyle="1" w:styleId="38">
    <w:name w:val="标题 1 字符"/>
    <w:link w:val="3"/>
    <w:qFormat/>
    <w:uiPriority w:val="0"/>
    <w:rPr>
      <w:rFonts w:ascii="Times New Roman" w:hAnsi="Times New Roman" w:eastAsia="宋体" w:cs="Times New Roman"/>
      <w:b/>
      <w:bCs/>
      <w:kern w:val="44"/>
      <w:sz w:val="44"/>
      <w:szCs w:val="44"/>
    </w:rPr>
  </w:style>
  <w:style w:type="character" w:customStyle="1" w:styleId="39">
    <w:name w:val="标题 3 字符"/>
    <w:link w:val="5"/>
    <w:qFormat/>
    <w:uiPriority w:val="0"/>
    <w:rPr>
      <w:rFonts w:ascii="Times New Roman" w:hAnsi="Times New Roman" w:eastAsia="宋体" w:cs="Times New Roman"/>
      <w:b/>
      <w:bCs/>
      <w:sz w:val="32"/>
      <w:szCs w:val="32"/>
    </w:rPr>
  </w:style>
  <w:style w:type="character" w:customStyle="1" w:styleId="40">
    <w:name w:val="标题 4 字符"/>
    <w:link w:val="6"/>
    <w:qFormat/>
    <w:uiPriority w:val="0"/>
    <w:rPr>
      <w:rFonts w:ascii="Arial" w:hAnsi="Arial" w:eastAsia="黑体" w:cs="Times New Roman"/>
      <w:b/>
      <w:bCs/>
      <w:sz w:val="28"/>
      <w:szCs w:val="28"/>
    </w:rPr>
  </w:style>
  <w:style w:type="character" w:customStyle="1" w:styleId="41">
    <w:name w:val="标题 5 字符"/>
    <w:link w:val="7"/>
    <w:qFormat/>
    <w:uiPriority w:val="0"/>
    <w:rPr>
      <w:rFonts w:ascii="Times New Roman" w:hAnsi="Times New Roman" w:eastAsia="宋体" w:cs="Times New Roman"/>
      <w:b/>
      <w:bCs/>
      <w:sz w:val="28"/>
      <w:szCs w:val="28"/>
    </w:rPr>
  </w:style>
  <w:style w:type="character" w:customStyle="1" w:styleId="42">
    <w:name w:val="标题 6 字符"/>
    <w:link w:val="8"/>
    <w:qFormat/>
    <w:uiPriority w:val="0"/>
    <w:rPr>
      <w:rFonts w:ascii="Arial" w:hAnsi="Arial" w:eastAsia="黑体" w:cs="Times New Roman"/>
      <w:b/>
      <w:bCs/>
      <w:sz w:val="24"/>
      <w:szCs w:val="24"/>
    </w:rPr>
  </w:style>
  <w:style w:type="character" w:customStyle="1" w:styleId="43">
    <w:name w:val="标题 7 字符"/>
    <w:link w:val="9"/>
    <w:qFormat/>
    <w:uiPriority w:val="0"/>
    <w:rPr>
      <w:rFonts w:ascii="Times New Roman" w:hAnsi="Times New Roman" w:eastAsia="宋体" w:cs="Times New Roman"/>
      <w:b/>
      <w:bCs/>
      <w:sz w:val="24"/>
      <w:szCs w:val="24"/>
    </w:rPr>
  </w:style>
  <w:style w:type="character" w:customStyle="1" w:styleId="44">
    <w:name w:val="标题 8 字符"/>
    <w:link w:val="10"/>
    <w:qFormat/>
    <w:uiPriority w:val="0"/>
    <w:rPr>
      <w:rFonts w:ascii="Arial" w:hAnsi="Arial" w:eastAsia="黑体" w:cs="Times New Roman"/>
      <w:sz w:val="24"/>
      <w:szCs w:val="24"/>
    </w:rPr>
  </w:style>
  <w:style w:type="character" w:customStyle="1" w:styleId="45">
    <w:name w:val="标题 9 字符"/>
    <w:link w:val="11"/>
    <w:qFormat/>
    <w:uiPriority w:val="0"/>
    <w:rPr>
      <w:rFonts w:ascii="Arial" w:hAnsi="Arial" w:eastAsia="黑体" w:cs="Times New Roman"/>
      <w:szCs w:val="21"/>
    </w:rPr>
  </w:style>
  <w:style w:type="character" w:customStyle="1" w:styleId="46">
    <w:name w:val="页眉 字符"/>
    <w:link w:val="19"/>
    <w:qFormat/>
    <w:uiPriority w:val="99"/>
    <w:rPr>
      <w:rFonts w:ascii="Times New Roman" w:hAnsi="Times New Roman" w:eastAsia="宋体" w:cs="Times New Roman"/>
      <w:sz w:val="18"/>
      <w:szCs w:val="18"/>
    </w:rPr>
  </w:style>
  <w:style w:type="character" w:customStyle="1" w:styleId="47">
    <w:name w:val="页脚 字符"/>
    <w:link w:val="18"/>
    <w:qFormat/>
    <w:uiPriority w:val="99"/>
    <w:rPr>
      <w:rFonts w:ascii="宋体" w:hAnsi="Times New Roman" w:eastAsia="宋体" w:cs="Times New Roman"/>
      <w:sz w:val="18"/>
      <w:szCs w:val="18"/>
    </w:rPr>
  </w:style>
  <w:style w:type="character" w:customStyle="1" w:styleId="48">
    <w:name w:val="批注框文本 字符"/>
    <w:link w:val="17"/>
    <w:semiHidden/>
    <w:qFormat/>
    <w:uiPriority w:val="99"/>
    <w:rPr>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rPr>
  </w:style>
  <w:style w:type="character" w:customStyle="1" w:styleId="51">
    <w:name w:val="标题 字符"/>
    <w:link w:val="26"/>
    <w:qFormat/>
    <w:uiPriority w:val="0"/>
    <w:rPr>
      <w:rFonts w:ascii="Arial" w:hAnsi="Arial" w:eastAsia="宋体" w:cs="Arial"/>
      <w:b/>
      <w:bCs/>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2"/>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2"/>
    <w:qFormat/>
    <w:uiPriority w:val="0"/>
    <w:rPr>
      <w:rFonts w:ascii="Times New Roman" w:hAnsi="Times New Roman" w:eastAsia="宋体" w:cs="Times New Roman"/>
      <w:szCs w:val="20"/>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pPr>
  </w:style>
  <w:style w:type="paragraph" w:customStyle="1" w:styleId="94">
    <w:name w:val="标准文件_目录标题"/>
    <w:basedOn w:val="1"/>
    <w:qFormat/>
    <w:uiPriority w:val="0"/>
    <w:pPr>
      <w:spacing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ind w:left="0" w:firstLine="200"/>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hAnsi="Times New Roman" w:eastAsia="宋体" w:cs="Times New Roman"/>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ind w:left="783"/>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left="1271" w:hanging="420" w:firstLineChars="0"/>
    </w:pPr>
  </w:style>
  <w:style w:type="paragraph" w:customStyle="1" w:styleId="191">
    <w:name w:val="标准文件_三级项2"/>
    <w:basedOn w:val="59"/>
    <w:qFormat/>
    <w:uiPriority w:val="0"/>
    <w:pPr>
      <w:numPr>
        <w:ilvl w:val="0"/>
        <w:numId w:val="30"/>
      </w:numPr>
      <w:spacing w:line="300" w:lineRule="exact"/>
      <w:ind w:left="1276" w:hanging="425" w:firstLineChars="0"/>
    </w:pPr>
    <w:rPr>
      <w:rFonts w:ascii="Times New Roman"/>
    </w:rPr>
  </w:style>
  <w:style w:type="paragraph" w:customStyle="1" w:styleId="192">
    <w:name w:val="标准文件_一级项2"/>
    <w:basedOn w:val="59"/>
    <w:qFormat/>
    <w:uiPriority w:val="0"/>
    <w:pPr>
      <w:numPr>
        <w:ilvl w:val="0"/>
        <w:numId w:val="31"/>
      </w:numPr>
      <w:spacing w:line="300" w:lineRule="exact"/>
      <w:ind w:left="1271" w:hanging="420"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vAnchor="page" w:hAnchor="page" w:x="1419" w:y="14097"/>
    </w:pPr>
  </w:style>
  <w:style w:type="paragraph" w:customStyle="1" w:styleId="197">
    <w:name w:val="其他实施日期"/>
    <w:basedOn w:val="157"/>
    <w:qFormat/>
    <w:uiPriority w:val="0"/>
    <w:pPr>
      <w:framePr w:w="3997" w:h="471" w:hRule="exact" w:vSpace="181"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next w:val="59"/>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character" w:customStyle="1" w:styleId="233">
    <w:name w:val="批注文字 字符"/>
    <w:basedOn w:val="30"/>
    <w:link w:val="14"/>
    <w:semiHidden/>
    <w:qFormat/>
    <w:uiPriority w:val="99"/>
    <w:rPr>
      <w:kern w:val="2"/>
      <w:sz w:val="21"/>
      <w:szCs w:val="21"/>
    </w:rPr>
  </w:style>
  <w:style w:type="character" w:customStyle="1" w:styleId="234">
    <w:name w:val="批注主题 字符"/>
    <w:basedOn w:val="233"/>
    <w:link w:val="27"/>
    <w:semiHidden/>
    <w:qFormat/>
    <w:uiPriority w:val="99"/>
    <w:rPr>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9CE5255A5BD401E9731A28DE69553C6"/>
        <w:style w:val=""/>
        <w:category>
          <w:name w:val="常规"/>
          <w:gallery w:val="placeholder"/>
        </w:category>
        <w:types>
          <w:type w:val="bbPlcHdr"/>
        </w:types>
        <w:behaviors>
          <w:behavior w:val="content"/>
        </w:behaviors>
        <w:description w:val=""/>
        <w:guid w:val="{873EDDE2-C6A0-42A4-9D7A-7A0C78BF03DD}"/>
      </w:docPartPr>
      <w:docPartBody>
        <w:p>
          <w:pPr>
            <w:pStyle w:val="5"/>
          </w:pPr>
          <w:r>
            <w:rPr>
              <w:rStyle w:val="4"/>
              <w:rFonts w:hint="eastAsia"/>
            </w:rPr>
            <w:t>单击或点击此处输入文字。</w:t>
          </w:r>
        </w:p>
      </w:docPartBody>
    </w:docPart>
    <w:docPart>
      <w:docPartPr>
        <w:name w:val="46C4E8A8E6934084A0DEDC80F7711D5F"/>
        <w:style w:val=""/>
        <w:category>
          <w:name w:val="常规"/>
          <w:gallery w:val="placeholder"/>
        </w:category>
        <w:types>
          <w:type w:val="bbPlcHdr"/>
        </w:types>
        <w:behaviors>
          <w:behavior w:val="content"/>
        </w:behaviors>
        <w:description w:val=""/>
        <w:guid w:val="{882B43A6-300F-4608-B32A-3839E3C36369}"/>
      </w:docPartPr>
      <w:docPartBody>
        <w:p>
          <w:pPr>
            <w:pStyle w:val="6"/>
          </w:pPr>
          <w:r>
            <w:rPr>
              <w:rStyle w:val="4"/>
              <w:rFonts w:hint="eastAsia"/>
            </w:rPr>
            <w:t>选择一项。</w:t>
          </w:r>
        </w:p>
      </w:docPartBody>
    </w:docPart>
    <w:docPart>
      <w:docPartPr>
        <w:name w:val="4358862AF5F24D7C84F0A1E82D710F74"/>
        <w:style w:val=""/>
        <w:category>
          <w:name w:val="常规"/>
          <w:gallery w:val="placeholder"/>
        </w:category>
        <w:types>
          <w:type w:val="bbPlcHdr"/>
        </w:types>
        <w:behaviors>
          <w:behavior w:val="content"/>
        </w:behaviors>
        <w:description w:val=""/>
        <w:guid w:val="{9E66B5B8-ACBF-4D02-80AC-F7541528CC22}"/>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3F2"/>
    <w:rsid w:val="000853F2"/>
    <w:rsid w:val="00250D8C"/>
    <w:rsid w:val="00326611"/>
    <w:rsid w:val="00373D56"/>
    <w:rsid w:val="00451B1C"/>
    <w:rsid w:val="004666EC"/>
    <w:rsid w:val="00806A70"/>
    <w:rsid w:val="008420BD"/>
    <w:rsid w:val="00867404"/>
    <w:rsid w:val="009505B1"/>
    <w:rsid w:val="009B5684"/>
    <w:rsid w:val="00A718B8"/>
    <w:rsid w:val="00CB4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9CE5255A5BD401E9731A28DE69553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6C4E8A8E6934084A0DEDC80F7711D5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4358862AF5F24D7C84F0A1E82D710F74"/>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PCMI</Company>
  <Pages>9</Pages>
  <Words>5200</Words>
  <Characters>5652</Characters>
  <Lines>54</Lines>
  <Paragraphs>15</Paragraphs>
  <TotalTime>1</TotalTime>
  <ScaleCrop>false</ScaleCrop>
  <LinksUpToDate>false</LinksUpToDate>
  <CharactersWithSpaces>5791</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2022-10-31T22:40:00Z</dcterms:created>
  <dc:creator>邹传瑜</dc:creator>
  <dc:description>&lt;config cover="true" show_menu="true" version="1.0.0" doctype="SDKXY"&gt;_x000d_
&lt;/config&gt;</dc:description>
  <cp:lastModifiedBy>sunshuwei</cp:lastModifiedBy>
  <cp:lastPrinted>2021-02-05T08:18:00Z</cp:lastPrinted>
  <dcterms:modified xsi:type="dcterms:W3CDTF">2023-03-01T13:58:55Z</dcterms:modified>
  <dc:title>行业标准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2052-11.8.2.9864</vt:lpwstr>
  </property>
  <property fmtid="{D5CDD505-2E9C-101B-9397-08002B2CF9AE}" pid="15" name="ICV">
    <vt:lpwstr>67E5CA11964A5AF6F21D5963A29DC3EE</vt:lpwstr>
  </property>
</Properties>
</file>