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val="0"/>
        <w:pageBreakBefore/>
        <w:widowControl/>
        <w:shd w:val="clear"/>
        <w:kinsoku/>
        <w:wordWrap/>
        <w:overflowPunct/>
        <w:topLinePunct w:val="0"/>
        <w:autoSpaceDE/>
        <w:autoSpaceDN/>
        <w:bidi w:val="0"/>
        <w:adjustRightInd/>
        <w:snapToGrid/>
        <w:spacing w:before="0" w:after="0"/>
        <w:jc w:val="left"/>
        <w:textAlignment w:val="auto"/>
        <w:rPr>
          <w:rFonts w:hint="eastAsia" w:ascii="黑体" w:hAnsi="黑体" w:eastAsia="黑体" w:cs="黑体"/>
          <w:color w:val="auto"/>
          <w:sz w:val="28"/>
          <w:szCs w:val="28"/>
          <w:shd w:val="clear" w:color="auto" w:fill="auto"/>
          <w:lang w:val="en-US" w:eastAsia="zh-CN"/>
        </w:rPr>
      </w:pPr>
      <w:r>
        <w:rPr>
          <w:rFonts w:hint="eastAsia" w:ascii="黑体" w:hAnsi="黑体" w:eastAsia="黑体" w:cs="黑体"/>
          <w:color w:val="auto"/>
          <w:sz w:val="28"/>
          <w:szCs w:val="28"/>
          <w:shd w:val="clear" w:color="auto" w:fill="auto"/>
          <w:lang w:eastAsia="zh-CN"/>
        </w:rPr>
        <w:t>附件</w:t>
      </w:r>
      <w:r>
        <w:rPr>
          <w:rFonts w:hint="eastAsia" w:hAnsi="黑体" w:cs="黑体"/>
          <w:color w:val="auto"/>
          <w:sz w:val="28"/>
          <w:szCs w:val="28"/>
          <w:shd w:val="clear" w:color="auto" w:fill="auto"/>
          <w:lang w:val="en-US" w:eastAsia="zh-CN"/>
        </w:rPr>
        <w:t>1</w:t>
      </w:r>
      <w:bookmarkStart w:id="0" w:name="_GoBack"/>
      <w:bookmarkEnd w:id="0"/>
    </w:p>
    <w:p/>
    <w:p>
      <w:pPr>
        <w:pStyle w:val="4"/>
        <w:spacing w:line="360" w:lineRule="auto"/>
        <w:jc w:val="center"/>
        <w:rPr>
          <w:rFonts w:ascii="Times New Roman"/>
          <w:color w:val="auto"/>
          <w:sz w:val="32"/>
          <w:szCs w:val="32"/>
          <w:shd w:val="clear" w:color="auto" w:fill="auto"/>
        </w:rPr>
      </w:pPr>
      <w:r>
        <w:rPr>
          <w:rFonts w:ascii="Times New Roman"/>
          <w:color w:val="auto"/>
          <w:sz w:val="32"/>
          <w:szCs w:val="32"/>
          <w:shd w:val="clear" w:color="auto" w:fill="auto"/>
        </w:rPr>
        <w:t>《绿色体育场馆运营评价通用规范</w:t>
      </w:r>
      <w:r>
        <w:rPr>
          <w:rFonts w:hint="eastAsia" w:ascii="Times New Roman"/>
          <w:color w:val="auto"/>
          <w:sz w:val="32"/>
          <w:szCs w:val="32"/>
          <w:shd w:val="clear" w:color="auto" w:fill="auto"/>
        </w:rPr>
        <w:t>（征求意见稿）</w:t>
      </w:r>
      <w:r>
        <w:rPr>
          <w:rFonts w:ascii="Times New Roman"/>
          <w:color w:val="auto"/>
          <w:sz w:val="32"/>
          <w:szCs w:val="32"/>
          <w:shd w:val="clear" w:color="auto" w:fill="auto"/>
        </w:rPr>
        <w:t>》</w:t>
      </w:r>
    </w:p>
    <w:p>
      <w:pPr>
        <w:pStyle w:val="4"/>
        <w:spacing w:line="360" w:lineRule="auto"/>
        <w:jc w:val="center"/>
        <w:rPr>
          <w:rFonts w:ascii="Times New Roman"/>
          <w:color w:val="auto"/>
          <w:sz w:val="32"/>
          <w:szCs w:val="32"/>
          <w:shd w:val="clear" w:color="auto" w:fill="auto"/>
        </w:rPr>
      </w:pPr>
      <w:r>
        <w:rPr>
          <w:rFonts w:ascii="Times New Roman"/>
          <w:color w:val="auto"/>
          <w:sz w:val="32"/>
          <w:szCs w:val="32"/>
          <w:shd w:val="clear" w:color="auto" w:fill="auto"/>
        </w:rPr>
        <w:t>行业标准编制说明</w:t>
      </w:r>
    </w:p>
    <w:p/>
    <w:p>
      <w:pPr>
        <w:pStyle w:val="4"/>
        <w:spacing w:line="360" w:lineRule="auto"/>
        <w:ind w:firstLine="562" w:firstLineChars="200"/>
        <w:rPr>
          <w:rFonts w:ascii="Times New Roman" w:hAnsi="Times New Roman"/>
          <w:color w:val="auto"/>
          <w:sz w:val="28"/>
          <w:szCs w:val="28"/>
          <w:shd w:val="clear" w:color="auto" w:fill="auto"/>
        </w:rPr>
      </w:pPr>
      <w:r>
        <w:rPr>
          <w:rFonts w:ascii="Times New Roman" w:hAnsi="Times New Roman"/>
          <w:color w:val="auto"/>
          <w:sz w:val="28"/>
          <w:szCs w:val="28"/>
          <w:shd w:val="clear" w:color="auto" w:fill="auto"/>
        </w:rPr>
        <w:t>一、工作简况</w:t>
      </w:r>
    </w:p>
    <w:p>
      <w:pPr>
        <w:widowControl/>
        <w:spacing w:line="360" w:lineRule="auto"/>
        <w:ind w:firstLine="560" w:firstLineChars="200"/>
        <w:rPr>
          <w:color w:val="auto"/>
          <w:kern w:val="0"/>
          <w:sz w:val="28"/>
          <w:szCs w:val="28"/>
          <w:shd w:val="clear" w:color="auto" w:fill="auto"/>
        </w:rPr>
      </w:pPr>
      <w:r>
        <w:rPr>
          <w:color w:val="auto"/>
          <w:kern w:val="0"/>
          <w:sz w:val="28"/>
          <w:szCs w:val="28"/>
          <w:shd w:val="clear" w:color="auto" w:fill="auto"/>
        </w:rPr>
        <w:t>（一）任务来源</w:t>
      </w:r>
    </w:p>
    <w:p>
      <w:pPr>
        <w:pStyle w:val="4"/>
        <w:keepNext w:val="0"/>
        <w:widowControl/>
        <w:shd w:val="clear" w:color="auto"/>
        <w:adjustRightInd w:val="0"/>
        <w:snapToGrid w:val="0"/>
        <w:spacing w:line="360" w:lineRule="auto"/>
        <w:ind w:firstLine="560"/>
        <w:jc w:val="left"/>
        <w:rPr>
          <w:rFonts w:ascii="Times New Roman" w:hAnsi="Times New Roman"/>
          <w:b w:val="0"/>
          <w:bCs w:val="0"/>
          <w:color w:val="auto"/>
          <w:sz w:val="28"/>
          <w:szCs w:val="28"/>
          <w:shd w:val="clear" w:color="auto" w:fill="auto"/>
        </w:rPr>
      </w:pPr>
      <w:r>
        <w:rPr>
          <w:rFonts w:hint="eastAsia" w:ascii="Times New Roman" w:hAnsi="Times New Roman"/>
          <w:b w:val="0"/>
          <w:bCs w:val="0"/>
          <w:color w:val="auto"/>
          <w:sz w:val="28"/>
          <w:szCs w:val="28"/>
          <w:shd w:val="clear" w:color="auto" w:fill="auto"/>
        </w:rPr>
        <w:t>《中共中央关于制定国民经济和社会发展第十三个五年规划的建议》</w:t>
      </w:r>
      <w:r>
        <w:rPr>
          <w:rFonts w:hint="eastAsia" w:ascii="Times New Roman" w:hAnsi="Times New Roman"/>
          <w:b w:val="0"/>
          <w:bCs w:val="0"/>
          <w:color w:val="auto"/>
          <w:sz w:val="28"/>
          <w:szCs w:val="28"/>
          <w:shd w:val="clear" w:color="auto" w:fill="auto"/>
          <w:lang w:eastAsia="zh-CN"/>
        </w:rPr>
        <w:t>首次提出</w:t>
      </w:r>
      <w:r>
        <w:rPr>
          <w:rFonts w:hint="eastAsia" w:ascii="Times New Roman" w:hAnsi="Times New Roman"/>
          <w:b w:val="0"/>
          <w:bCs w:val="0"/>
          <w:color w:val="auto"/>
          <w:sz w:val="28"/>
          <w:szCs w:val="28"/>
          <w:shd w:val="clear" w:color="auto" w:fill="auto"/>
        </w:rPr>
        <w:t>将绿色发展与创新、协调、开放、共享等发展理念共同构成五大发展理念</w:t>
      </w:r>
      <w:r>
        <w:rPr>
          <w:rFonts w:hint="eastAsia" w:ascii="Times New Roman" w:hAnsi="Times New Roman"/>
          <w:b w:val="0"/>
          <w:bCs w:val="0"/>
          <w:color w:val="auto"/>
          <w:sz w:val="28"/>
          <w:szCs w:val="28"/>
          <w:shd w:val="clear" w:color="auto" w:fill="auto"/>
          <w:lang w:eastAsia="zh-CN"/>
        </w:rPr>
        <w:t>。</w:t>
      </w:r>
      <w:r>
        <w:rPr>
          <w:rFonts w:hint="eastAsia" w:ascii="Times New Roman" w:hAnsi="Times New Roman"/>
          <w:b w:val="0"/>
          <w:bCs w:val="0"/>
          <w:color w:val="auto"/>
          <w:sz w:val="28"/>
          <w:szCs w:val="28"/>
          <w:shd w:val="clear" w:color="auto" w:fill="auto"/>
        </w:rPr>
        <w:t>2017年，中共十九大报告明确指出：加快建立绿色生产和消费的法律制度和政策导向，建立健全绿色低碳循环发展的经济体系。</w:t>
      </w:r>
      <w:r>
        <w:rPr>
          <w:rFonts w:ascii="Times New Roman" w:hAnsi="Times New Roman"/>
          <w:b w:val="0"/>
          <w:bCs w:val="0"/>
          <w:color w:val="auto"/>
          <w:sz w:val="28"/>
          <w:szCs w:val="28"/>
          <w:shd w:val="clear" w:color="auto" w:fill="auto"/>
        </w:rPr>
        <w:t>2021年9月22日和2021年10月24日，中共中央和国务院分别出台了《关于完整准确全面贯彻新发展理念做好碳达峰碳中和工作的意见》和《2030年前碳达峰行动方案》（国发〔2021〕23号）文件，为破解体育场馆如何节能减排，解决运营费用高、能量消耗大等问题，指明了改革创新的方向，提供了重要工作依据。既要“绿色低碳”，又要“经济效益”，这将是当前体育场馆运营迫切需要努力改进的方向。</w:t>
      </w:r>
      <w:r>
        <w:rPr>
          <w:rFonts w:ascii="Times New Roman" w:hAnsi="Times New Roman"/>
          <w:b w:val="0"/>
          <w:color w:val="auto"/>
          <w:sz w:val="28"/>
          <w:szCs w:val="28"/>
          <w:shd w:val="clear" w:color="auto" w:fill="auto"/>
        </w:rPr>
        <w:t>根据</w:t>
      </w:r>
      <w:r>
        <w:rPr>
          <w:rFonts w:ascii="Times New Roman" w:hAnsi="Times New Roman"/>
          <w:b w:val="0"/>
          <w:bCs w:val="0"/>
          <w:color w:val="auto"/>
          <w:sz w:val="28"/>
          <w:szCs w:val="28"/>
          <w:shd w:val="clear" w:color="auto" w:fill="auto"/>
        </w:rPr>
        <w:t>国家标准化管理委员会</w:t>
      </w:r>
      <w:r>
        <w:rPr>
          <w:rFonts w:ascii="Times New Roman" w:hAnsi="Times New Roman"/>
          <w:b w:val="0"/>
          <w:color w:val="auto"/>
          <w:sz w:val="28"/>
          <w:szCs w:val="28"/>
          <w:shd w:val="clear" w:color="auto" w:fill="auto"/>
        </w:rPr>
        <w:t>《关于印发&lt;2020年国家标准立项指南&gt;的通知》</w:t>
      </w:r>
      <w:r>
        <w:rPr>
          <w:rFonts w:ascii="Times New Roman" w:hAnsi="Times New Roman"/>
          <w:b w:val="0"/>
          <w:bCs w:val="0"/>
          <w:color w:val="auto"/>
          <w:sz w:val="28"/>
          <w:szCs w:val="28"/>
          <w:shd w:val="clear" w:color="auto" w:fill="auto"/>
        </w:rPr>
        <w:t>（</w:t>
      </w:r>
      <w:r>
        <w:rPr>
          <w:rFonts w:ascii="Times New Roman" w:hAnsi="Times New Roman"/>
          <w:b w:val="0"/>
          <w:color w:val="auto"/>
          <w:sz w:val="28"/>
          <w:szCs w:val="28"/>
          <w:shd w:val="clear" w:color="auto" w:fill="auto"/>
        </w:rPr>
        <w:t>国标委发〔2020〕9号</w:t>
      </w:r>
      <w:r>
        <w:rPr>
          <w:rFonts w:ascii="Times New Roman" w:hAnsi="Times New Roman"/>
          <w:b w:val="0"/>
          <w:bCs w:val="0"/>
          <w:color w:val="auto"/>
          <w:sz w:val="28"/>
          <w:szCs w:val="28"/>
          <w:shd w:val="clear" w:color="auto" w:fill="auto"/>
        </w:rPr>
        <w:t>）</w:t>
      </w:r>
      <w:r>
        <w:rPr>
          <w:rFonts w:ascii="Times New Roman" w:hAnsi="Times New Roman"/>
          <w:b w:val="0"/>
          <w:color w:val="auto"/>
          <w:sz w:val="28"/>
          <w:szCs w:val="28"/>
          <w:shd w:val="clear" w:color="auto" w:fill="auto"/>
        </w:rPr>
        <w:t>文件要求，《绿色体育场馆运营评价通用规范》由国家体育总局负责归口批准立项。</w:t>
      </w:r>
    </w:p>
    <w:p>
      <w:pPr>
        <w:widowControl/>
        <w:spacing w:line="360" w:lineRule="auto"/>
        <w:ind w:firstLine="560" w:firstLineChars="200"/>
        <w:rPr>
          <w:color w:val="auto"/>
          <w:kern w:val="0"/>
          <w:sz w:val="28"/>
          <w:szCs w:val="28"/>
        </w:rPr>
      </w:pPr>
      <w:r>
        <w:rPr>
          <w:color w:val="auto"/>
          <w:kern w:val="0"/>
          <w:sz w:val="28"/>
          <w:szCs w:val="28"/>
        </w:rPr>
        <w:t>（二）标准的起草单位、</w:t>
      </w:r>
      <w:r>
        <w:rPr>
          <w:color w:val="auto"/>
          <w:kern w:val="0"/>
          <w:sz w:val="28"/>
          <w:szCs w:val="28"/>
          <w:lang w:eastAsia="zh-Hans"/>
        </w:rPr>
        <w:t>主要</w:t>
      </w:r>
      <w:r>
        <w:rPr>
          <w:color w:val="auto"/>
          <w:kern w:val="0"/>
          <w:sz w:val="28"/>
          <w:szCs w:val="28"/>
        </w:rPr>
        <w:t>参编单位及起草人</w:t>
      </w:r>
    </w:p>
    <w:p>
      <w:pPr>
        <w:widowControl/>
        <w:spacing w:line="360" w:lineRule="auto"/>
        <w:ind w:firstLine="560" w:firstLineChars="200"/>
        <w:rPr>
          <w:color w:val="auto"/>
          <w:kern w:val="0"/>
          <w:sz w:val="28"/>
          <w:szCs w:val="28"/>
        </w:rPr>
      </w:pPr>
      <w:r>
        <w:rPr>
          <w:color w:val="auto"/>
          <w:kern w:val="0"/>
          <w:sz w:val="28"/>
          <w:szCs w:val="28"/>
        </w:rPr>
        <w:t>本标准的起草单位为：首都体育学院。</w:t>
      </w:r>
    </w:p>
    <w:p>
      <w:pPr>
        <w:widowControl/>
        <w:spacing w:line="360" w:lineRule="auto"/>
        <w:ind w:firstLine="560" w:firstLineChars="200"/>
        <w:rPr>
          <w:color w:val="auto"/>
          <w:kern w:val="0"/>
          <w:sz w:val="28"/>
          <w:szCs w:val="28"/>
        </w:rPr>
      </w:pPr>
      <w:r>
        <w:rPr>
          <w:color w:val="auto"/>
          <w:kern w:val="0"/>
          <w:sz w:val="28"/>
          <w:szCs w:val="28"/>
        </w:rPr>
        <w:t>本</w:t>
      </w:r>
      <w:r>
        <w:rPr>
          <w:color w:val="auto"/>
          <w:kern w:val="0"/>
          <w:sz w:val="28"/>
          <w:szCs w:val="28"/>
          <w:lang w:eastAsia="zh-Hans"/>
        </w:rPr>
        <w:t>标准主要</w:t>
      </w:r>
      <w:r>
        <w:rPr>
          <w:color w:val="auto"/>
          <w:kern w:val="0"/>
          <w:sz w:val="28"/>
          <w:szCs w:val="28"/>
        </w:rPr>
        <w:t>参编单位：中国体育场馆协会、广州珠江</w:t>
      </w:r>
      <w:r>
        <w:rPr>
          <w:rFonts w:hint="eastAsia"/>
          <w:color w:val="auto"/>
          <w:kern w:val="0"/>
          <w:sz w:val="28"/>
          <w:szCs w:val="28"/>
          <w:lang w:eastAsia="zh-Hans"/>
        </w:rPr>
        <w:t>体育文化发展股份</w:t>
      </w:r>
      <w:r>
        <w:rPr>
          <w:color w:val="auto"/>
          <w:kern w:val="0"/>
          <w:sz w:val="28"/>
          <w:szCs w:val="28"/>
        </w:rPr>
        <w:t>有限公司、深圳湾体育中心、邱德拔体育馆、地坛体育中心、北京瀚业体育咨询有限公司等。</w:t>
      </w:r>
    </w:p>
    <w:p>
      <w:pPr>
        <w:widowControl/>
        <w:spacing w:line="360" w:lineRule="auto"/>
        <w:ind w:firstLine="560" w:firstLineChars="200"/>
        <w:rPr>
          <w:color w:val="auto"/>
          <w:kern w:val="0"/>
          <w:sz w:val="28"/>
          <w:szCs w:val="28"/>
        </w:rPr>
      </w:pPr>
      <w:r>
        <w:rPr>
          <w:color w:val="auto"/>
          <w:kern w:val="0"/>
          <w:sz w:val="28"/>
          <w:szCs w:val="28"/>
        </w:rPr>
        <w:t>本标准的主要起草人为：霍建新、</w:t>
      </w:r>
      <w:r>
        <w:rPr>
          <w:color w:val="auto"/>
          <w:kern w:val="0"/>
          <w:sz w:val="28"/>
          <w:szCs w:val="28"/>
          <w:lang w:eastAsia="zh-Hans"/>
        </w:rPr>
        <w:t>王庆伟、周志雄、谭建湘、陈元欣、郑钢、陈晓民、王兆红、</w:t>
      </w:r>
      <w:r>
        <w:rPr>
          <w:color w:val="auto"/>
          <w:kern w:val="0"/>
          <w:sz w:val="28"/>
          <w:szCs w:val="28"/>
        </w:rPr>
        <w:t>王</w:t>
      </w:r>
      <w:r>
        <w:rPr>
          <w:bCs/>
          <w:color w:val="auto"/>
          <w:kern w:val="0"/>
          <w:sz w:val="28"/>
          <w:szCs w:val="28"/>
        </w:rPr>
        <w:t>裕</w:t>
      </w:r>
      <w:r>
        <w:rPr>
          <w:color w:val="auto"/>
          <w:kern w:val="0"/>
          <w:sz w:val="28"/>
          <w:szCs w:val="28"/>
        </w:rPr>
        <w:t>雄</w:t>
      </w:r>
      <w:r>
        <w:rPr>
          <w:color w:val="auto"/>
          <w:kern w:val="0"/>
          <w:sz w:val="28"/>
          <w:szCs w:val="28"/>
          <w:lang w:eastAsia="zh-Hans"/>
        </w:rPr>
        <w:t>、孙四海、李芾、纪峰、</w:t>
      </w:r>
      <w:r>
        <w:rPr>
          <w:rFonts w:hint="eastAsia"/>
          <w:color w:val="auto"/>
          <w:kern w:val="0"/>
          <w:sz w:val="28"/>
          <w:szCs w:val="28"/>
          <w:lang w:eastAsia="zh-Hans"/>
        </w:rPr>
        <w:t>李超佐、</w:t>
      </w:r>
      <w:r>
        <w:rPr>
          <w:color w:val="auto"/>
          <w:kern w:val="0"/>
          <w:sz w:val="28"/>
          <w:szCs w:val="28"/>
          <w:lang w:eastAsia="zh-Hans"/>
        </w:rPr>
        <w:t>朱琳、</w:t>
      </w:r>
      <w:r>
        <w:rPr>
          <w:rFonts w:hint="eastAsia"/>
          <w:color w:val="auto"/>
          <w:kern w:val="0"/>
          <w:sz w:val="28"/>
          <w:szCs w:val="28"/>
          <w:lang w:eastAsia="zh-Hans"/>
        </w:rPr>
        <w:t>张娜、</w:t>
      </w:r>
      <w:r>
        <w:rPr>
          <w:color w:val="auto"/>
          <w:kern w:val="0"/>
          <w:sz w:val="28"/>
          <w:szCs w:val="28"/>
          <w:lang w:eastAsia="zh-Hans"/>
        </w:rPr>
        <w:t>刘茂辉、尚华星、</w:t>
      </w:r>
      <w:r>
        <w:rPr>
          <w:color w:val="auto"/>
          <w:kern w:val="0"/>
          <w:sz w:val="28"/>
          <w:szCs w:val="28"/>
        </w:rPr>
        <w:t>王逸姮、王薇等。</w:t>
      </w:r>
    </w:p>
    <w:p>
      <w:pPr>
        <w:spacing w:line="360" w:lineRule="auto"/>
        <w:ind w:firstLine="560" w:firstLineChars="200"/>
        <w:rPr>
          <w:color w:val="auto"/>
          <w:kern w:val="0"/>
          <w:sz w:val="28"/>
          <w:szCs w:val="28"/>
        </w:rPr>
      </w:pPr>
      <w:r>
        <w:rPr>
          <w:color w:val="auto"/>
          <w:kern w:val="0"/>
          <w:sz w:val="28"/>
          <w:szCs w:val="28"/>
        </w:rPr>
        <w:t>（三）主要工作过程</w:t>
      </w:r>
    </w:p>
    <w:p>
      <w:pPr>
        <w:pStyle w:val="2"/>
        <w:ind w:left="0" w:leftChars="0" w:firstLine="560"/>
        <w:rPr>
          <w:color w:val="auto"/>
          <w:kern w:val="0"/>
          <w:sz w:val="28"/>
          <w:szCs w:val="28"/>
        </w:rPr>
      </w:pPr>
      <w:r>
        <w:rPr>
          <w:color w:val="auto"/>
          <w:kern w:val="0"/>
          <w:sz w:val="28"/>
          <w:szCs w:val="28"/>
        </w:rPr>
        <w:t>1．建组阶段</w:t>
      </w:r>
    </w:p>
    <w:p>
      <w:pPr>
        <w:pStyle w:val="2"/>
        <w:ind w:left="0" w:leftChars="0" w:firstLine="560"/>
        <w:rPr>
          <w:color w:val="auto"/>
          <w:kern w:val="0"/>
          <w:sz w:val="28"/>
          <w:szCs w:val="28"/>
        </w:rPr>
      </w:pPr>
      <w:r>
        <w:rPr>
          <w:color w:val="auto"/>
          <w:kern w:val="0"/>
          <w:sz w:val="28"/>
          <w:szCs w:val="28"/>
        </w:rPr>
        <w:t>2020年12月，</w:t>
      </w:r>
      <w:r>
        <w:rPr>
          <w:color w:val="auto"/>
          <w:kern w:val="0"/>
          <w:sz w:val="28"/>
          <w:szCs w:val="28"/>
          <w:lang w:eastAsia="zh-Hans"/>
        </w:rPr>
        <w:t>首都体育学院</w:t>
      </w:r>
      <w:r>
        <w:rPr>
          <w:color w:val="auto"/>
          <w:kern w:val="0"/>
          <w:sz w:val="28"/>
          <w:szCs w:val="28"/>
        </w:rPr>
        <w:t>组织召开了《绿色体育场馆运营评价通用规范》标准编制工作</w:t>
      </w:r>
      <w:r>
        <w:rPr>
          <w:color w:val="auto"/>
          <w:kern w:val="0"/>
          <w:sz w:val="28"/>
          <w:szCs w:val="28"/>
          <w:lang w:eastAsia="zh-Hans"/>
        </w:rPr>
        <w:t>立项</w:t>
      </w:r>
      <w:r>
        <w:rPr>
          <w:color w:val="auto"/>
          <w:kern w:val="0"/>
          <w:sz w:val="28"/>
          <w:szCs w:val="28"/>
        </w:rPr>
        <w:t>会，邀请相关建筑行业、体育行业专家学者</w:t>
      </w:r>
      <w:r>
        <w:rPr>
          <w:color w:val="auto"/>
          <w:kern w:val="0"/>
          <w:sz w:val="28"/>
          <w:szCs w:val="28"/>
          <w:lang w:eastAsia="zh-Hans"/>
        </w:rPr>
        <w:t>，</w:t>
      </w:r>
      <w:r>
        <w:rPr>
          <w:color w:val="auto"/>
          <w:kern w:val="0"/>
          <w:sz w:val="28"/>
          <w:szCs w:val="28"/>
        </w:rPr>
        <w:t>组建标准化工作组，拟定详细工作计划。</w:t>
      </w:r>
    </w:p>
    <w:p>
      <w:pPr>
        <w:pStyle w:val="2"/>
        <w:ind w:left="0" w:leftChars="0" w:firstLine="560"/>
        <w:rPr>
          <w:color w:val="auto"/>
          <w:kern w:val="0"/>
          <w:sz w:val="28"/>
          <w:szCs w:val="28"/>
          <w:lang w:eastAsia="zh-Hans"/>
        </w:rPr>
      </w:pPr>
      <w:r>
        <w:rPr>
          <w:color w:val="auto"/>
          <w:kern w:val="0"/>
          <w:sz w:val="28"/>
          <w:szCs w:val="28"/>
          <w:lang w:eastAsia="zh-Hans"/>
        </w:rPr>
        <w:t>2．起草调研</w:t>
      </w:r>
      <w:r>
        <w:rPr>
          <w:color w:val="auto"/>
          <w:kern w:val="0"/>
          <w:sz w:val="28"/>
          <w:szCs w:val="28"/>
        </w:rPr>
        <w:t>与验证</w:t>
      </w:r>
      <w:r>
        <w:rPr>
          <w:color w:val="auto"/>
          <w:kern w:val="0"/>
          <w:sz w:val="28"/>
          <w:szCs w:val="28"/>
          <w:lang w:eastAsia="zh-Hans"/>
        </w:rPr>
        <w:t>阶段</w:t>
      </w:r>
    </w:p>
    <w:p>
      <w:pPr>
        <w:pStyle w:val="2"/>
        <w:ind w:left="0" w:leftChars="0" w:firstLine="560"/>
        <w:rPr>
          <w:color w:val="auto"/>
          <w:kern w:val="0"/>
          <w:sz w:val="28"/>
          <w:szCs w:val="28"/>
          <w:lang w:eastAsia="zh-Hans"/>
        </w:rPr>
      </w:pPr>
      <w:r>
        <w:rPr>
          <w:color w:val="auto"/>
          <w:kern w:val="0"/>
          <w:sz w:val="28"/>
          <w:szCs w:val="28"/>
        </w:rPr>
        <w:t>工作组</w:t>
      </w:r>
      <w:r>
        <w:rPr>
          <w:color w:val="auto"/>
          <w:kern w:val="0"/>
          <w:sz w:val="28"/>
          <w:szCs w:val="28"/>
          <w:lang w:eastAsia="zh-Hans"/>
        </w:rPr>
        <w:t>在全国范围内广泛收集体育场馆绿色运营情况，在中国体育场馆协会等多个平台发放调研问卷，回收问卷85份，赴多个类型体育场馆单位进行了落地验证调查，组织召开《绿色体育场馆运营评价通用规范》国家标准研讨会，共计获得200余条反馈意见。完成讨论稿后，又继续在部分具有代表性的体育场馆进行验证。工作组在获得场馆实际反馈意见的基础上，进一步研讨其适用性与可行性，</w:t>
      </w:r>
      <w:r>
        <w:rPr>
          <w:color w:val="auto"/>
          <w:sz w:val="28"/>
          <w:szCs w:val="28"/>
        </w:rPr>
        <w:t>最终</w:t>
      </w:r>
      <w:r>
        <w:rPr>
          <w:color w:val="auto"/>
          <w:kern w:val="0"/>
          <w:sz w:val="28"/>
          <w:szCs w:val="28"/>
          <w:lang w:eastAsia="zh-Hans"/>
        </w:rPr>
        <w:t>经多轮</w:t>
      </w:r>
      <w:r>
        <w:rPr>
          <w:rFonts w:hint="eastAsia"/>
          <w:color w:val="auto"/>
          <w:kern w:val="0"/>
          <w:sz w:val="28"/>
          <w:szCs w:val="28"/>
          <w:lang w:eastAsia="zh-Hans"/>
        </w:rPr>
        <w:t>研讨</w:t>
      </w:r>
      <w:r>
        <w:rPr>
          <w:color w:val="auto"/>
          <w:kern w:val="0"/>
          <w:sz w:val="28"/>
          <w:szCs w:val="28"/>
          <w:lang w:eastAsia="zh-Hans"/>
        </w:rPr>
        <w:t>和征集修改意见，形成本标准。</w:t>
      </w:r>
    </w:p>
    <w:p>
      <w:pPr>
        <w:spacing w:line="360" w:lineRule="auto"/>
        <w:ind w:firstLine="560" w:firstLineChars="200"/>
        <w:rPr>
          <w:color w:val="auto"/>
          <w:kern w:val="0"/>
          <w:sz w:val="28"/>
          <w:szCs w:val="28"/>
        </w:rPr>
      </w:pPr>
      <w:r>
        <w:rPr>
          <w:color w:val="auto"/>
          <w:kern w:val="0"/>
          <w:sz w:val="28"/>
          <w:szCs w:val="28"/>
        </w:rPr>
        <w:t>（四）制定标准的必要性和意义</w:t>
      </w:r>
    </w:p>
    <w:p>
      <w:pPr>
        <w:spacing w:line="360" w:lineRule="auto"/>
        <w:ind w:firstLine="560" w:firstLineChars="200"/>
        <w:rPr>
          <w:color w:val="auto"/>
          <w:kern w:val="0"/>
          <w:sz w:val="28"/>
          <w:szCs w:val="28"/>
        </w:rPr>
      </w:pPr>
      <w:r>
        <w:rPr>
          <w:color w:val="auto"/>
          <w:kern w:val="0"/>
          <w:sz w:val="28"/>
          <w:szCs w:val="28"/>
        </w:rPr>
        <w:t>绿色发展已成为我国重要发展战略。体育场馆作为</w:t>
      </w:r>
      <w:r>
        <w:rPr>
          <w:rFonts w:hint="eastAsia"/>
          <w:color w:val="auto"/>
          <w:kern w:val="0"/>
          <w:sz w:val="28"/>
          <w:szCs w:val="28"/>
          <w:lang w:eastAsia="zh-CN"/>
        </w:rPr>
        <w:t>政府</w:t>
      </w:r>
      <w:r>
        <w:rPr>
          <w:color w:val="auto"/>
          <w:kern w:val="0"/>
          <w:sz w:val="28"/>
          <w:szCs w:val="28"/>
        </w:rPr>
        <w:t>为广大人民群众提供体育公共服务不可或缺的保障，理应积极践行绿色发展理念，注重在场馆建设到运行的全生命周期过程中，从投资大、成本高、能耗大的传统场馆向绿色低碳场馆转型，做到可持续、绿色发展，最终实现低碳能源、低碳场馆的目标。</w:t>
      </w:r>
    </w:p>
    <w:p>
      <w:pPr>
        <w:spacing w:line="360" w:lineRule="auto"/>
        <w:ind w:firstLine="560" w:firstLineChars="200"/>
        <w:rPr>
          <w:color w:val="auto"/>
          <w:kern w:val="0"/>
          <w:sz w:val="28"/>
          <w:szCs w:val="28"/>
        </w:rPr>
      </w:pPr>
      <w:r>
        <w:rPr>
          <w:color w:val="auto"/>
          <w:kern w:val="0"/>
          <w:sz w:val="28"/>
          <w:szCs w:val="28"/>
        </w:rPr>
        <w:t>中共中央在“十三五”规划中就提出将“绿色发展”与创新、协调、开放、共享等发展理念共同构成五大发展理念。国务院办公厅印发的《国家标准化体系建设发展规划（2016-2020年）》文件中提出“加强公共体育服务、体育竞赛、全民健身、体育场馆设施以及国民体质监测等标准的研制与应用，重点推进体育产业标准化工作的开展”的要求，明确指出我国体育产业乃至体育场馆业的标准化工作已迫在眉睫。2020年5月14日，国家体育总局颁布《2020年全国体育标准化工作要点》文件，明确指出要“推动重点领域标准研制和国际标准化工作，服务体育强国建设。推动开展‘绿色体育场馆’相关标准的研究。”</w:t>
      </w:r>
    </w:p>
    <w:p>
      <w:pPr>
        <w:spacing w:line="360" w:lineRule="auto"/>
        <w:ind w:firstLine="560" w:firstLineChars="200"/>
        <w:rPr>
          <w:color w:val="auto"/>
          <w:kern w:val="0"/>
          <w:sz w:val="28"/>
          <w:szCs w:val="28"/>
        </w:rPr>
      </w:pPr>
      <w:r>
        <w:rPr>
          <w:color w:val="auto"/>
          <w:kern w:val="0"/>
          <w:sz w:val="28"/>
          <w:szCs w:val="28"/>
        </w:rPr>
        <w:t>随着《中共中央、国务院关于完整准确全面贯彻新发展理念做好碳达峰碳中和工作的意见》和《2030年前碳达峰行动方案》这两项碳达峰、碳中和顶层设计文件相继出台，指出控制碳排放是实现碳达峰碳中和的重要方面，其中低碳建筑发展更是助推减碳政策落地的关键，</w:t>
      </w:r>
      <w:r>
        <w:rPr>
          <w:rFonts w:hint="eastAsia"/>
          <w:color w:val="auto"/>
          <w:kern w:val="0"/>
          <w:sz w:val="28"/>
          <w:szCs w:val="28"/>
        </w:rPr>
        <w:t>也</w:t>
      </w:r>
      <w:r>
        <w:rPr>
          <w:color w:val="auto"/>
          <w:kern w:val="0"/>
          <w:sz w:val="28"/>
          <w:szCs w:val="28"/>
        </w:rPr>
        <w:t>为我国绿色体育场馆高质量发展绘制了宏伟蓝图。2022年3月，中共中央办公厅、国务院办公厅印发的《关于构建更高水平的全民健身公共服务体系的意见》明确指出</w:t>
      </w:r>
      <w:r>
        <w:rPr>
          <w:rFonts w:hint="eastAsia"/>
          <w:color w:val="auto"/>
          <w:kern w:val="0"/>
          <w:sz w:val="28"/>
          <w:szCs w:val="28"/>
        </w:rPr>
        <w:t>，</w:t>
      </w:r>
      <w:r>
        <w:rPr>
          <w:color w:val="auto"/>
          <w:kern w:val="0"/>
          <w:sz w:val="28"/>
          <w:szCs w:val="28"/>
        </w:rPr>
        <w:t>“推进健身设施绿色低碳转型</w:t>
      </w:r>
      <w:r>
        <w:rPr>
          <w:rFonts w:hint="eastAsia"/>
          <w:color w:val="auto"/>
          <w:kern w:val="0"/>
          <w:sz w:val="28"/>
          <w:szCs w:val="28"/>
        </w:rPr>
        <w:t>，</w:t>
      </w:r>
      <w:r>
        <w:rPr>
          <w:color w:val="auto"/>
          <w:kern w:val="0"/>
          <w:sz w:val="28"/>
          <w:szCs w:val="28"/>
        </w:rPr>
        <w:t>开展公共体育场馆开放服务提升行动，推广绿色建材和可再生能源使用，实施节能降本改造，加快运用5G等新一代信息技术改进场馆管理和赛事服务</w:t>
      </w:r>
      <w:r>
        <w:rPr>
          <w:rFonts w:hint="eastAsia"/>
          <w:color w:val="auto"/>
          <w:kern w:val="0"/>
          <w:sz w:val="28"/>
          <w:szCs w:val="28"/>
        </w:rPr>
        <w:t>，</w:t>
      </w:r>
      <w:r>
        <w:rPr>
          <w:color w:val="auto"/>
          <w:kern w:val="0"/>
          <w:sz w:val="28"/>
          <w:szCs w:val="28"/>
        </w:rPr>
        <w:t>制定绿色体育场馆运营评价通用规范。”</w:t>
      </w:r>
    </w:p>
    <w:p>
      <w:pPr>
        <w:spacing w:line="360" w:lineRule="auto"/>
        <w:ind w:firstLine="560" w:firstLineChars="200"/>
        <w:rPr>
          <w:color w:val="auto"/>
          <w:kern w:val="0"/>
          <w:sz w:val="28"/>
          <w:szCs w:val="28"/>
        </w:rPr>
      </w:pPr>
      <w:r>
        <w:rPr>
          <w:color w:val="auto"/>
          <w:kern w:val="0"/>
          <w:sz w:val="28"/>
          <w:szCs w:val="28"/>
        </w:rPr>
        <w:t>在绿色低碳背景下，体育场馆必将走向绿色化与标准化道路。《绿色体育场馆运营评价通用规范》标准的研究</w:t>
      </w:r>
      <w:r>
        <w:rPr>
          <w:rFonts w:hint="eastAsia"/>
          <w:color w:val="auto"/>
          <w:kern w:val="0"/>
          <w:sz w:val="28"/>
          <w:szCs w:val="28"/>
        </w:rPr>
        <w:t>，</w:t>
      </w:r>
      <w:r>
        <w:rPr>
          <w:color w:val="auto"/>
          <w:kern w:val="0"/>
          <w:sz w:val="28"/>
          <w:szCs w:val="28"/>
        </w:rPr>
        <w:t>正是破解制约当前我国体育场馆绿色发展的“良药”，是</w:t>
      </w:r>
      <w:r>
        <w:rPr>
          <w:rFonts w:hint="eastAsia"/>
          <w:color w:val="auto"/>
          <w:kern w:val="0"/>
          <w:sz w:val="28"/>
          <w:szCs w:val="28"/>
          <w:lang w:eastAsia="zh-Hans"/>
        </w:rPr>
        <w:t>我国</w:t>
      </w:r>
      <w:r>
        <w:rPr>
          <w:color w:val="auto"/>
          <w:kern w:val="0"/>
          <w:sz w:val="28"/>
          <w:szCs w:val="28"/>
        </w:rPr>
        <w:t>体育场馆业实现可持续与标准化融合发展的突破口。</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二、标准编制原则与确定标准主要内容的依据</w:t>
      </w:r>
    </w:p>
    <w:p>
      <w:pPr>
        <w:widowControl/>
        <w:spacing w:line="360" w:lineRule="auto"/>
        <w:ind w:firstLine="560" w:firstLineChars="200"/>
        <w:rPr>
          <w:color w:val="auto"/>
          <w:kern w:val="0"/>
          <w:sz w:val="28"/>
          <w:szCs w:val="28"/>
        </w:rPr>
      </w:pPr>
      <w:r>
        <w:rPr>
          <w:color w:val="auto"/>
          <w:kern w:val="0"/>
          <w:sz w:val="28"/>
          <w:szCs w:val="28"/>
        </w:rPr>
        <w:t>（一）标准编制原则</w:t>
      </w:r>
    </w:p>
    <w:p>
      <w:pPr>
        <w:spacing w:line="160" w:lineRule="atLeast"/>
        <w:ind w:firstLine="560" w:firstLineChars="200"/>
        <w:rPr>
          <w:color w:val="auto"/>
          <w:sz w:val="28"/>
          <w:szCs w:val="28"/>
        </w:rPr>
      </w:pPr>
      <w:r>
        <w:rPr>
          <w:color w:val="auto"/>
          <w:sz w:val="28"/>
          <w:szCs w:val="28"/>
        </w:rPr>
        <w:t>标准编制的主要依据：按照GB/T 1.1—2020《标准化工作导则 第1部分：标准的结构和编写》标准的有关要求，确定本标准的修订为自主研制。编写标准草案过程中，在目标及要求方面考虑到了“内容完整、表达清楚和准确、最新技术水平、为未来技术发展提供框架、能被未参加标准编制的专业人员所理解”；在统一性方面考虑到了“结构的统一和文体的统一”；同时考虑到了标准的协调性、适用性和规范性等内容。</w:t>
      </w:r>
    </w:p>
    <w:p>
      <w:pPr>
        <w:widowControl/>
        <w:spacing w:line="360" w:lineRule="auto"/>
        <w:ind w:firstLine="560" w:firstLineChars="200"/>
        <w:rPr>
          <w:color w:val="auto"/>
          <w:kern w:val="0"/>
          <w:sz w:val="28"/>
          <w:szCs w:val="28"/>
        </w:rPr>
      </w:pPr>
      <w:r>
        <w:rPr>
          <w:color w:val="auto"/>
          <w:kern w:val="0"/>
          <w:sz w:val="28"/>
          <w:szCs w:val="28"/>
        </w:rPr>
        <w:t>（二）本标准主要内容</w:t>
      </w:r>
    </w:p>
    <w:p>
      <w:pPr>
        <w:widowControl/>
        <w:spacing w:line="360" w:lineRule="auto"/>
        <w:ind w:firstLine="560" w:firstLineChars="200"/>
        <w:rPr>
          <w:color w:val="auto"/>
          <w:kern w:val="0"/>
          <w:sz w:val="28"/>
          <w:szCs w:val="28"/>
        </w:rPr>
      </w:pPr>
      <w:r>
        <w:rPr>
          <w:color w:val="auto"/>
          <w:kern w:val="0"/>
          <w:sz w:val="28"/>
          <w:szCs w:val="28"/>
        </w:rPr>
        <w:t>本标准为绿色体育场馆运营评价标准的应用提供了指南，本标准适用于体育场、体育馆、游泳馆的运营管理全生命周期过程各阶段的技术应用规范，以符合绿色体育场馆的等级评价标准。</w:t>
      </w:r>
    </w:p>
    <w:p>
      <w:pPr>
        <w:widowControl/>
        <w:spacing w:line="360" w:lineRule="auto"/>
        <w:ind w:firstLine="560" w:firstLineChars="200"/>
        <w:rPr>
          <w:color w:val="auto"/>
          <w:kern w:val="0"/>
          <w:sz w:val="28"/>
          <w:szCs w:val="28"/>
        </w:rPr>
      </w:pPr>
      <w:r>
        <w:rPr>
          <w:rFonts w:hint="eastAsia"/>
          <w:color w:val="auto"/>
          <w:kern w:val="0"/>
          <w:sz w:val="28"/>
          <w:szCs w:val="28"/>
        </w:rPr>
        <w:t>本标准的内容分为前言和正文两部分。正文部分共分9章：</w:t>
      </w:r>
    </w:p>
    <w:p>
      <w:pPr>
        <w:widowControl/>
        <w:spacing w:line="360" w:lineRule="auto"/>
        <w:ind w:firstLine="560"/>
        <w:rPr>
          <w:color w:val="auto"/>
          <w:kern w:val="0"/>
          <w:sz w:val="28"/>
          <w:szCs w:val="28"/>
        </w:rPr>
      </w:pPr>
      <w:r>
        <w:rPr>
          <w:rFonts w:hint="eastAsia"/>
          <w:color w:val="auto"/>
          <w:kern w:val="0"/>
          <w:sz w:val="28"/>
          <w:szCs w:val="28"/>
        </w:rPr>
        <w:t>1.范围</w:t>
      </w:r>
    </w:p>
    <w:p>
      <w:pPr>
        <w:widowControl/>
        <w:spacing w:line="360" w:lineRule="auto"/>
        <w:ind w:firstLine="560" w:firstLineChars="200"/>
        <w:rPr>
          <w:color w:val="auto"/>
          <w:kern w:val="0"/>
          <w:sz w:val="28"/>
          <w:szCs w:val="28"/>
        </w:rPr>
      </w:pPr>
      <w:r>
        <w:rPr>
          <w:rFonts w:hint="eastAsia"/>
          <w:color w:val="auto"/>
          <w:kern w:val="0"/>
          <w:sz w:val="28"/>
          <w:szCs w:val="28"/>
        </w:rPr>
        <w:t>2.规范性引用文件</w:t>
      </w:r>
    </w:p>
    <w:p>
      <w:pPr>
        <w:widowControl/>
        <w:spacing w:line="360" w:lineRule="auto"/>
        <w:ind w:firstLine="560" w:firstLineChars="200"/>
        <w:rPr>
          <w:color w:val="auto"/>
          <w:kern w:val="0"/>
          <w:sz w:val="28"/>
          <w:szCs w:val="28"/>
        </w:rPr>
      </w:pPr>
      <w:r>
        <w:rPr>
          <w:rFonts w:hint="eastAsia"/>
          <w:color w:val="auto"/>
          <w:kern w:val="0"/>
          <w:sz w:val="28"/>
          <w:szCs w:val="28"/>
        </w:rPr>
        <w:t>3.术语和定义</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 xml:space="preserve">.1 </w:t>
      </w:r>
      <w:r>
        <w:rPr>
          <w:rFonts w:hint="eastAsia"/>
          <w:color w:val="auto"/>
          <w:kern w:val="0"/>
          <w:sz w:val="28"/>
          <w:szCs w:val="28"/>
        </w:rPr>
        <w:t>体育场</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.2</w:t>
      </w:r>
      <w:r>
        <w:rPr>
          <w:rFonts w:hint="eastAsia"/>
          <w:color w:val="auto"/>
          <w:kern w:val="0"/>
          <w:sz w:val="28"/>
          <w:szCs w:val="28"/>
        </w:rPr>
        <w:t>体育馆</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.3</w:t>
      </w:r>
      <w:r>
        <w:rPr>
          <w:rFonts w:hint="eastAsia"/>
          <w:color w:val="auto"/>
          <w:kern w:val="0"/>
          <w:sz w:val="28"/>
          <w:szCs w:val="28"/>
        </w:rPr>
        <w:t>游泳馆</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.4</w:t>
      </w:r>
      <w:r>
        <w:rPr>
          <w:rFonts w:hint="eastAsia"/>
          <w:color w:val="auto"/>
          <w:kern w:val="0"/>
          <w:sz w:val="28"/>
          <w:szCs w:val="28"/>
        </w:rPr>
        <w:t>绿色体育场馆</w:t>
      </w:r>
    </w:p>
    <w:p>
      <w:pPr>
        <w:widowControl/>
        <w:spacing w:line="360" w:lineRule="auto"/>
        <w:ind w:firstLine="840" w:firstLineChars="300"/>
        <w:rPr>
          <w:color w:val="auto"/>
          <w:kern w:val="0"/>
          <w:sz w:val="28"/>
          <w:szCs w:val="28"/>
        </w:rPr>
      </w:pPr>
      <w:r>
        <w:rPr>
          <w:color w:val="auto"/>
          <w:kern w:val="0"/>
          <w:sz w:val="28"/>
          <w:szCs w:val="28"/>
        </w:rPr>
        <w:t>3.5</w:t>
      </w:r>
      <w:r>
        <w:rPr>
          <w:rFonts w:hint="eastAsia"/>
          <w:color w:val="auto"/>
          <w:kern w:val="0"/>
          <w:sz w:val="28"/>
          <w:szCs w:val="28"/>
        </w:rPr>
        <w:t>绿色性能</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.6</w:t>
      </w:r>
      <w:r>
        <w:rPr>
          <w:rFonts w:hint="eastAsia"/>
          <w:color w:val="auto"/>
          <w:kern w:val="0"/>
          <w:sz w:val="28"/>
          <w:szCs w:val="28"/>
        </w:rPr>
        <w:t>绿色建材</w:t>
      </w:r>
    </w:p>
    <w:p>
      <w:pPr>
        <w:widowControl/>
        <w:spacing w:line="360" w:lineRule="auto"/>
        <w:ind w:firstLine="840" w:firstLineChars="300"/>
        <w:rPr>
          <w:color w:val="auto"/>
          <w:kern w:val="0"/>
          <w:sz w:val="28"/>
          <w:szCs w:val="28"/>
        </w:rPr>
      </w:pPr>
      <w:r>
        <w:rPr>
          <w:rFonts w:hint="eastAsia"/>
          <w:color w:val="auto"/>
          <w:kern w:val="0"/>
          <w:sz w:val="28"/>
          <w:szCs w:val="28"/>
        </w:rPr>
        <w:t>3</w:t>
      </w:r>
      <w:r>
        <w:rPr>
          <w:color w:val="auto"/>
          <w:kern w:val="0"/>
          <w:sz w:val="28"/>
          <w:szCs w:val="28"/>
        </w:rPr>
        <w:t>.7</w:t>
      </w:r>
      <w:r>
        <w:rPr>
          <w:rFonts w:hint="eastAsia"/>
          <w:color w:val="auto"/>
          <w:kern w:val="0"/>
          <w:sz w:val="28"/>
          <w:szCs w:val="28"/>
        </w:rPr>
        <w:t>效率最大化</w:t>
      </w:r>
    </w:p>
    <w:p>
      <w:pPr>
        <w:widowControl/>
        <w:spacing w:line="360" w:lineRule="auto"/>
        <w:ind w:firstLine="560" w:firstLineChars="200"/>
        <w:rPr>
          <w:color w:val="auto"/>
          <w:kern w:val="0"/>
          <w:sz w:val="28"/>
          <w:szCs w:val="28"/>
        </w:rPr>
      </w:pPr>
      <w:r>
        <w:rPr>
          <w:rFonts w:hint="eastAsia"/>
          <w:color w:val="auto"/>
          <w:kern w:val="0"/>
          <w:sz w:val="28"/>
          <w:szCs w:val="28"/>
        </w:rPr>
        <w:t>4.总则</w:t>
      </w:r>
    </w:p>
    <w:p>
      <w:pPr>
        <w:widowControl/>
        <w:spacing w:line="360" w:lineRule="auto"/>
        <w:ind w:firstLine="560" w:firstLineChars="200"/>
        <w:rPr>
          <w:color w:val="auto"/>
          <w:kern w:val="0"/>
          <w:sz w:val="28"/>
          <w:szCs w:val="28"/>
        </w:rPr>
      </w:pPr>
      <w:r>
        <w:rPr>
          <w:rFonts w:hint="eastAsia"/>
          <w:color w:val="auto"/>
          <w:kern w:val="0"/>
          <w:sz w:val="28"/>
          <w:szCs w:val="28"/>
        </w:rPr>
        <w:t>5.基本要求</w:t>
      </w:r>
    </w:p>
    <w:p>
      <w:pPr>
        <w:widowControl/>
        <w:spacing w:line="360" w:lineRule="auto"/>
        <w:ind w:firstLine="840" w:firstLineChars="300"/>
        <w:rPr>
          <w:color w:val="auto"/>
          <w:kern w:val="0"/>
          <w:sz w:val="28"/>
          <w:szCs w:val="28"/>
        </w:rPr>
      </w:pPr>
      <w:r>
        <w:rPr>
          <w:rFonts w:hint="eastAsia"/>
          <w:color w:val="auto"/>
          <w:kern w:val="0"/>
          <w:sz w:val="28"/>
          <w:szCs w:val="28"/>
        </w:rPr>
        <w:t>5</w:t>
      </w:r>
      <w:r>
        <w:rPr>
          <w:color w:val="auto"/>
          <w:kern w:val="0"/>
          <w:sz w:val="28"/>
          <w:szCs w:val="28"/>
        </w:rPr>
        <w:t>.1</w:t>
      </w:r>
      <w:r>
        <w:rPr>
          <w:rFonts w:hint="eastAsia"/>
          <w:color w:val="auto"/>
          <w:kern w:val="0"/>
          <w:sz w:val="28"/>
          <w:szCs w:val="28"/>
        </w:rPr>
        <w:t>一般要求</w:t>
      </w:r>
    </w:p>
    <w:p>
      <w:pPr>
        <w:widowControl/>
        <w:spacing w:line="360" w:lineRule="auto"/>
        <w:ind w:firstLine="840" w:firstLineChars="300"/>
        <w:rPr>
          <w:color w:val="auto"/>
          <w:kern w:val="0"/>
          <w:sz w:val="28"/>
          <w:szCs w:val="28"/>
        </w:rPr>
      </w:pPr>
      <w:r>
        <w:rPr>
          <w:rFonts w:hint="eastAsia"/>
          <w:color w:val="auto"/>
          <w:kern w:val="0"/>
          <w:sz w:val="28"/>
          <w:szCs w:val="28"/>
        </w:rPr>
        <w:t>5</w:t>
      </w:r>
      <w:r>
        <w:rPr>
          <w:color w:val="auto"/>
          <w:kern w:val="0"/>
          <w:sz w:val="28"/>
          <w:szCs w:val="28"/>
        </w:rPr>
        <w:t>.2</w:t>
      </w:r>
      <w:r>
        <w:rPr>
          <w:rFonts w:hint="eastAsia"/>
          <w:color w:val="auto"/>
          <w:kern w:val="0"/>
          <w:sz w:val="28"/>
          <w:szCs w:val="28"/>
        </w:rPr>
        <w:t>评价等级与划分</w:t>
      </w:r>
    </w:p>
    <w:p>
      <w:pPr>
        <w:widowControl/>
        <w:spacing w:line="360" w:lineRule="auto"/>
        <w:ind w:firstLine="560" w:firstLineChars="200"/>
        <w:rPr>
          <w:color w:val="auto"/>
          <w:kern w:val="0"/>
          <w:sz w:val="28"/>
          <w:szCs w:val="28"/>
        </w:rPr>
      </w:pPr>
      <w:r>
        <w:rPr>
          <w:rFonts w:hint="eastAsia"/>
          <w:color w:val="auto"/>
          <w:kern w:val="0"/>
          <w:sz w:val="28"/>
          <w:szCs w:val="28"/>
        </w:rPr>
        <w:t>6.低碳运营</w:t>
      </w:r>
    </w:p>
    <w:p>
      <w:pPr>
        <w:widowControl/>
        <w:spacing w:line="360" w:lineRule="auto"/>
        <w:ind w:firstLine="840" w:firstLineChars="300"/>
        <w:rPr>
          <w:color w:val="auto"/>
          <w:kern w:val="0"/>
          <w:sz w:val="28"/>
          <w:szCs w:val="28"/>
        </w:rPr>
      </w:pPr>
      <w:r>
        <w:rPr>
          <w:rFonts w:hint="eastAsia"/>
          <w:color w:val="auto"/>
          <w:kern w:val="0"/>
          <w:sz w:val="28"/>
          <w:szCs w:val="28"/>
        </w:rPr>
        <w:t>6</w:t>
      </w:r>
      <w:r>
        <w:rPr>
          <w:color w:val="auto"/>
          <w:kern w:val="0"/>
          <w:sz w:val="28"/>
          <w:szCs w:val="28"/>
        </w:rPr>
        <w:t>.1</w:t>
      </w:r>
      <w:r>
        <w:rPr>
          <w:rFonts w:hint="eastAsia"/>
          <w:color w:val="auto"/>
          <w:kern w:val="0"/>
          <w:sz w:val="28"/>
          <w:szCs w:val="28"/>
        </w:rPr>
        <w:t>控制项</w:t>
      </w:r>
    </w:p>
    <w:p>
      <w:pPr>
        <w:widowControl/>
        <w:spacing w:line="360" w:lineRule="auto"/>
        <w:ind w:firstLine="840" w:firstLineChars="300"/>
        <w:rPr>
          <w:color w:val="auto"/>
          <w:kern w:val="0"/>
          <w:sz w:val="28"/>
          <w:szCs w:val="28"/>
        </w:rPr>
      </w:pPr>
      <w:r>
        <w:rPr>
          <w:rFonts w:hint="eastAsia"/>
          <w:color w:val="auto"/>
          <w:kern w:val="0"/>
          <w:sz w:val="28"/>
          <w:szCs w:val="28"/>
        </w:rPr>
        <w:t>6</w:t>
      </w:r>
      <w:r>
        <w:rPr>
          <w:color w:val="auto"/>
          <w:kern w:val="0"/>
          <w:sz w:val="28"/>
          <w:szCs w:val="28"/>
        </w:rPr>
        <w:t>.2</w:t>
      </w:r>
      <w:r>
        <w:rPr>
          <w:rFonts w:hint="eastAsia"/>
          <w:color w:val="auto"/>
          <w:kern w:val="0"/>
          <w:sz w:val="28"/>
          <w:szCs w:val="28"/>
        </w:rPr>
        <w:t>评分项</w:t>
      </w:r>
    </w:p>
    <w:p>
      <w:pPr>
        <w:widowControl/>
        <w:spacing w:line="360" w:lineRule="auto"/>
        <w:ind w:firstLine="1120" w:firstLineChars="400"/>
        <w:rPr>
          <w:color w:val="auto"/>
          <w:kern w:val="0"/>
          <w:sz w:val="28"/>
          <w:szCs w:val="28"/>
        </w:rPr>
      </w:pPr>
      <w:r>
        <w:rPr>
          <w:rFonts w:hint="eastAsia"/>
          <w:color w:val="auto"/>
          <w:kern w:val="0"/>
          <w:sz w:val="28"/>
          <w:szCs w:val="28"/>
        </w:rPr>
        <w:t>6</w:t>
      </w:r>
      <w:r>
        <w:rPr>
          <w:color w:val="auto"/>
          <w:kern w:val="0"/>
          <w:sz w:val="28"/>
          <w:szCs w:val="28"/>
        </w:rPr>
        <w:t>.2.1</w:t>
      </w:r>
      <w:r>
        <w:rPr>
          <w:rFonts w:hint="eastAsia"/>
          <w:color w:val="auto"/>
          <w:kern w:val="0"/>
          <w:sz w:val="28"/>
          <w:szCs w:val="28"/>
        </w:rPr>
        <w:t>低碳节能</w:t>
      </w:r>
    </w:p>
    <w:p>
      <w:pPr>
        <w:widowControl/>
        <w:spacing w:line="360" w:lineRule="auto"/>
        <w:ind w:firstLine="1120" w:firstLineChars="400"/>
        <w:rPr>
          <w:color w:val="auto"/>
          <w:kern w:val="0"/>
          <w:sz w:val="28"/>
          <w:szCs w:val="28"/>
        </w:rPr>
      </w:pPr>
      <w:r>
        <w:rPr>
          <w:rFonts w:hint="eastAsia"/>
          <w:color w:val="auto"/>
          <w:kern w:val="0"/>
          <w:sz w:val="28"/>
          <w:szCs w:val="28"/>
        </w:rPr>
        <w:t>6</w:t>
      </w:r>
      <w:r>
        <w:rPr>
          <w:color w:val="auto"/>
          <w:kern w:val="0"/>
          <w:sz w:val="28"/>
          <w:szCs w:val="28"/>
        </w:rPr>
        <w:t>.2.2</w:t>
      </w:r>
      <w:r>
        <w:rPr>
          <w:rFonts w:hint="eastAsia"/>
          <w:color w:val="auto"/>
          <w:kern w:val="0"/>
          <w:sz w:val="28"/>
          <w:szCs w:val="28"/>
        </w:rPr>
        <w:t>资源循环</w:t>
      </w:r>
    </w:p>
    <w:p>
      <w:pPr>
        <w:widowControl/>
        <w:spacing w:line="360" w:lineRule="auto"/>
        <w:ind w:firstLine="1120" w:firstLineChars="400"/>
        <w:rPr>
          <w:color w:val="auto"/>
          <w:kern w:val="0"/>
          <w:sz w:val="28"/>
          <w:szCs w:val="28"/>
        </w:rPr>
      </w:pPr>
      <w:r>
        <w:rPr>
          <w:rFonts w:hint="eastAsia"/>
          <w:color w:val="auto"/>
          <w:kern w:val="0"/>
          <w:sz w:val="28"/>
          <w:szCs w:val="28"/>
        </w:rPr>
        <w:t>6</w:t>
      </w:r>
      <w:r>
        <w:rPr>
          <w:color w:val="auto"/>
          <w:kern w:val="0"/>
          <w:sz w:val="28"/>
          <w:szCs w:val="28"/>
        </w:rPr>
        <w:t>.2.3</w:t>
      </w:r>
      <w:r>
        <w:rPr>
          <w:rFonts w:hint="eastAsia"/>
          <w:color w:val="auto"/>
          <w:kern w:val="0"/>
          <w:sz w:val="28"/>
          <w:szCs w:val="28"/>
        </w:rPr>
        <w:t>能源管控</w:t>
      </w:r>
    </w:p>
    <w:p>
      <w:pPr>
        <w:widowControl/>
        <w:spacing w:line="360" w:lineRule="auto"/>
        <w:ind w:firstLine="1120" w:firstLineChars="400"/>
        <w:rPr>
          <w:color w:val="auto"/>
          <w:kern w:val="0"/>
          <w:sz w:val="28"/>
          <w:szCs w:val="28"/>
        </w:rPr>
      </w:pPr>
      <w:r>
        <w:rPr>
          <w:rFonts w:hint="eastAsia"/>
          <w:color w:val="auto"/>
          <w:kern w:val="0"/>
          <w:sz w:val="28"/>
          <w:szCs w:val="28"/>
        </w:rPr>
        <w:t>6</w:t>
      </w:r>
      <w:r>
        <w:rPr>
          <w:color w:val="auto"/>
          <w:kern w:val="0"/>
          <w:sz w:val="28"/>
          <w:szCs w:val="28"/>
        </w:rPr>
        <w:t>.2.4</w:t>
      </w:r>
      <w:r>
        <w:rPr>
          <w:rFonts w:hint="eastAsia"/>
          <w:color w:val="auto"/>
          <w:kern w:val="0"/>
          <w:sz w:val="28"/>
          <w:szCs w:val="28"/>
        </w:rPr>
        <w:t>环境保护</w:t>
      </w:r>
    </w:p>
    <w:p>
      <w:pPr>
        <w:widowControl/>
        <w:spacing w:line="360" w:lineRule="auto"/>
        <w:ind w:firstLine="560" w:firstLineChars="200"/>
        <w:rPr>
          <w:color w:val="auto"/>
          <w:kern w:val="0"/>
          <w:sz w:val="28"/>
          <w:szCs w:val="28"/>
        </w:rPr>
      </w:pPr>
      <w:r>
        <w:rPr>
          <w:rFonts w:hint="eastAsia"/>
          <w:color w:val="auto"/>
          <w:kern w:val="0"/>
          <w:sz w:val="28"/>
          <w:szCs w:val="28"/>
        </w:rPr>
        <w:t>7.运行保障</w:t>
      </w:r>
    </w:p>
    <w:p>
      <w:pPr>
        <w:widowControl/>
        <w:spacing w:line="360" w:lineRule="auto"/>
        <w:ind w:firstLine="840" w:firstLineChars="300"/>
        <w:rPr>
          <w:color w:val="auto"/>
          <w:kern w:val="0"/>
          <w:sz w:val="28"/>
          <w:szCs w:val="28"/>
        </w:rPr>
      </w:pPr>
      <w:r>
        <w:rPr>
          <w:color w:val="auto"/>
          <w:kern w:val="0"/>
          <w:sz w:val="28"/>
          <w:szCs w:val="28"/>
        </w:rPr>
        <w:t>7.1</w:t>
      </w:r>
      <w:r>
        <w:rPr>
          <w:rFonts w:hint="eastAsia"/>
          <w:color w:val="auto"/>
          <w:kern w:val="0"/>
          <w:sz w:val="28"/>
          <w:szCs w:val="28"/>
        </w:rPr>
        <w:t>控制项</w:t>
      </w:r>
    </w:p>
    <w:p>
      <w:pPr>
        <w:widowControl/>
        <w:spacing w:line="360" w:lineRule="auto"/>
        <w:ind w:firstLine="840" w:firstLineChars="300"/>
        <w:rPr>
          <w:color w:val="auto"/>
          <w:kern w:val="0"/>
          <w:sz w:val="28"/>
          <w:szCs w:val="28"/>
        </w:rPr>
      </w:pPr>
      <w:r>
        <w:rPr>
          <w:color w:val="auto"/>
          <w:kern w:val="0"/>
          <w:sz w:val="28"/>
          <w:szCs w:val="28"/>
        </w:rPr>
        <w:t>7.2</w:t>
      </w:r>
      <w:r>
        <w:rPr>
          <w:rFonts w:hint="eastAsia"/>
          <w:color w:val="auto"/>
          <w:kern w:val="0"/>
          <w:sz w:val="28"/>
          <w:szCs w:val="28"/>
        </w:rPr>
        <w:t>评分项</w:t>
      </w:r>
    </w:p>
    <w:p>
      <w:pPr>
        <w:widowControl/>
        <w:spacing w:line="360" w:lineRule="auto"/>
        <w:ind w:firstLine="1120" w:firstLineChars="400"/>
        <w:rPr>
          <w:color w:val="auto"/>
          <w:kern w:val="0"/>
          <w:sz w:val="28"/>
          <w:szCs w:val="28"/>
        </w:rPr>
      </w:pPr>
      <w:r>
        <w:rPr>
          <w:color w:val="auto"/>
          <w:kern w:val="0"/>
          <w:sz w:val="28"/>
          <w:szCs w:val="28"/>
        </w:rPr>
        <w:t>7.2.1</w:t>
      </w:r>
      <w:r>
        <w:rPr>
          <w:rFonts w:hint="eastAsia"/>
          <w:color w:val="auto"/>
          <w:kern w:val="0"/>
          <w:sz w:val="28"/>
          <w:szCs w:val="28"/>
        </w:rPr>
        <w:t>运营管理</w:t>
      </w:r>
    </w:p>
    <w:p>
      <w:pPr>
        <w:widowControl/>
        <w:spacing w:line="360" w:lineRule="auto"/>
        <w:ind w:firstLine="1120" w:firstLineChars="400"/>
        <w:rPr>
          <w:color w:val="auto"/>
          <w:kern w:val="0"/>
          <w:sz w:val="28"/>
          <w:szCs w:val="28"/>
        </w:rPr>
      </w:pPr>
      <w:r>
        <w:rPr>
          <w:color w:val="auto"/>
          <w:kern w:val="0"/>
          <w:sz w:val="28"/>
          <w:szCs w:val="28"/>
        </w:rPr>
        <w:t>7.2.2</w:t>
      </w:r>
      <w:r>
        <w:rPr>
          <w:rFonts w:hint="eastAsia"/>
          <w:color w:val="auto"/>
          <w:kern w:val="0"/>
          <w:sz w:val="28"/>
          <w:szCs w:val="28"/>
        </w:rPr>
        <w:t>人员管理</w:t>
      </w:r>
    </w:p>
    <w:p>
      <w:pPr>
        <w:widowControl/>
        <w:spacing w:line="360" w:lineRule="auto"/>
        <w:ind w:firstLine="1120" w:firstLineChars="400"/>
        <w:rPr>
          <w:color w:val="auto"/>
          <w:kern w:val="0"/>
          <w:sz w:val="28"/>
          <w:szCs w:val="28"/>
        </w:rPr>
      </w:pPr>
      <w:r>
        <w:rPr>
          <w:rFonts w:hint="eastAsia"/>
          <w:color w:val="auto"/>
          <w:kern w:val="0"/>
          <w:sz w:val="28"/>
          <w:szCs w:val="28"/>
        </w:rPr>
        <w:t>7</w:t>
      </w:r>
      <w:r>
        <w:rPr>
          <w:color w:val="auto"/>
          <w:kern w:val="0"/>
          <w:sz w:val="28"/>
          <w:szCs w:val="28"/>
        </w:rPr>
        <w:t>.2.3</w:t>
      </w:r>
      <w:r>
        <w:rPr>
          <w:rFonts w:hint="eastAsia"/>
          <w:color w:val="auto"/>
          <w:kern w:val="0"/>
          <w:sz w:val="28"/>
          <w:szCs w:val="28"/>
        </w:rPr>
        <w:t>运行维护</w:t>
      </w:r>
    </w:p>
    <w:p>
      <w:pPr>
        <w:widowControl/>
        <w:spacing w:line="360" w:lineRule="auto"/>
        <w:ind w:firstLine="1120" w:firstLineChars="400"/>
        <w:rPr>
          <w:color w:val="auto"/>
          <w:kern w:val="0"/>
          <w:sz w:val="28"/>
          <w:szCs w:val="28"/>
        </w:rPr>
      </w:pPr>
      <w:r>
        <w:rPr>
          <w:rFonts w:hint="eastAsia"/>
          <w:color w:val="auto"/>
          <w:kern w:val="0"/>
          <w:sz w:val="28"/>
          <w:szCs w:val="28"/>
        </w:rPr>
        <w:t>7</w:t>
      </w:r>
      <w:r>
        <w:rPr>
          <w:color w:val="auto"/>
          <w:kern w:val="0"/>
          <w:sz w:val="28"/>
          <w:szCs w:val="28"/>
        </w:rPr>
        <w:t>.2.4</w:t>
      </w:r>
      <w:r>
        <w:rPr>
          <w:rFonts w:hint="eastAsia"/>
          <w:color w:val="auto"/>
          <w:kern w:val="0"/>
          <w:sz w:val="28"/>
          <w:szCs w:val="28"/>
        </w:rPr>
        <w:t>安全管理</w:t>
      </w:r>
    </w:p>
    <w:p>
      <w:pPr>
        <w:widowControl/>
        <w:spacing w:line="360" w:lineRule="auto"/>
        <w:ind w:firstLine="560" w:firstLineChars="200"/>
        <w:rPr>
          <w:color w:val="auto"/>
          <w:kern w:val="0"/>
          <w:sz w:val="28"/>
          <w:szCs w:val="28"/>
        </w:rPr>
      </w:pPr>
      <w:r>
        <w:rPr>
          <w:rFonts w:hint="eastAsia"/>
          <w:color w:val="auto"/>
          <w:kern w:val="0"/>
          <w:sz w:val="28"/>
          <w:szCs w:val="28"/>
        </w:rPr>
        <w:t>8.效益优化</w:t>
      </w:r>
    </w:p>
    <w:p>
      <w:pPr>
        <w:widowControl/>
        <w:spacing w:line="360" w:lineRule="auto"/>
        <w:ind w:firstLine="840" w:firstLineChars="300"/>
        <w:rPr>
          <w:color w:val="auto"/>
          <w:kern w:val="0"/>
          <w:sz w:val="28"/>
          <w:szCs w:val="28"/>
        </w:rPr>
      </w:pPr>
      <w:r>
        <w:rPr>
          <w:rFonts w:hint="eastAsia"/>
          <w:color w:val="auto"/>
          <w:kern w:val="0"/>
          <w:sz w:val="28"/>
          <w:szCs w:val="28"/>
        </w:rPr>
        <w:t>8</w:t>
      </w:r>
      <w:r>
        <w:rPr>
          <w:color w:val="auto"/>
          <w:kern w:val="0"/>
          <w:sz w:val="28"/>
          <w:szCs w:val="28"/>
        </w:rPr>
        <w:t>.1</w:t>
      </w:r>
      <w:r>
        <w:rPr>
          <w:rFonts w:hint="eastAsia"/>
          <w:color w:val="auto"/>
          <w:kern w:val="0"/>
          <w:sz w:val="28"/>
          <w:szCs w:val="28"/>
        </w:rPr>
        <w:t>控制项</w:t>
      </w:r>
    </w:p>
    <w:p>
      <w:pPr>
        <w:widowControl/>
        <w:spacing w:line="360" w:lineRule="auto"/>
        <w:ind w:firstLine="840" w:firstLineChars="300"/>
        <w:rPr>
          <w:color w:val="auto"/>
          <w:kern w:val="0"/>
          <w:sz w:val="28"/>
          <w:szCs w:val="28"/>
        </w:rPr>
      </w:pPr>
      <w:r>
        <w:rPr>
          <w:color w:val="auto"/>
          <w:kern w:val="0"/>
          <w:sz w:val="28"/>
          <w:szCs w:val="28"/>
        </w:rPr>
        <w:t>8.2</w:t>
      </w:r>
      <w:r>
        <w:rPr>
          <w:rFonts w:hint="eastAsia"/>
          <w:color w:val="auto"/>
          <w:kern w:val="0"/>
          <w:sz w:val="28"/>
          <w:szCs w:val="28"/>
        </w:rPr>
        <w:t>评分项</w:t>
      </w:r>
    </w:p>
    <w:p>
      <w:pPr>
        <w:widowControl/>
        <w:spacing w:line="360" w:lineRule="auto"/>
        <w:ind w:firstLine="1120" w:firstLineChars="400"/>
        <w:rPr>
          <w:color w:val="auto"/>
          <w:kern w:val="0"/>
          <w:sz w:val="28"/>
          <w:szCs w:val="28"/>
        </w:rPr>
      </w:pPr>
      <w:r>
        <w:rPr>
          <w:rFonts w:hint="eastAsia"/>
          <w:color w:val="auto"/>
          <w:kern w:val="0"/>
          <w:sz w:val="28"/>
          <w:szCs w:val="28"/>
        </w:rPr>
        <w:t>8</w:t>
      </w:r>
      <w:r>
        <w:rPr>
          <w:color w:val="auto"/>
          <w:kern w:val="0"/>
          <w:sz w:val="28"/>
          <w:szCs w:val="28"/>
        </w:rPr>
        <w:t>.2.1</w:t>
      </w:r>
      <w:r>
        <w:rPr>
          <w:rFonts w:hint="eastAsia"/>
          <w:color w:val="auto"/>
          <w:kern w:val="0"/>
          <w:sz w:val="28"/>
          <w:szCs w:val="28"/>
        </w:rPr>
        <w:t>社会效益</w:t>
      </w:r>
    </w:p>
    <w:p>
      <w:pPr>
        <w:widowControl/>
        <w:spacing w:line="360" w:lineRule="auto"/>
        <w:ind w:firstLine="1120" w:firstLineChars="400"/>
        <w:rPr>
          <w:color w:val="auto"/>
          <w:kern w:val="0"/>
          <w:sz w:val="28"/>
          <w:szCs w:val="28"/>
        </w:rPr>
      </w:pPr>
      <w:r>
        <w:rPr>
          <w:rFonts w:hint="eastAsia"/>
          <w:color w:val="auto"/>
          <w:kern w:val="0"/>
          <w:sz w:val="28"/>
          <w:szCs w:val="28"/>
        </w:rPr>
        <w:t>8</w:t>
      </w:r>
      <w:r>
        <w:rPr>
          <w:color w:val="auto"/>
          <w:kern w:val="0"/>
          <w:sz w:val="28"/>
          <w:szCs w:val="28"/>
        </w:rPr>
        <w:t>.2.2</w:t>
      </w:r>
      <w:r>
        <w:rPr>
          <w:rFonts w:hint="eastAsia"/>
          <w:color w:val="auto"/>
          <w:kern w:val="0"/>
          <w:sz w:val="28"/>
          <w:szCs w:val="28"/>
        </w:rPr>
        <w:t>经济效益</w:t>
      </w:r>
    </w:p>
    <w:p>
      <w:pPr>
        <w:widowControl/>
        <w:spacing w:line="360" w:lineRule="auto"/>
        <w:ind w:firstLine="1120" w:firstLineChars="400"/>
        <w:rPr>
          <w:color w:val="auto"/>
          <w:kern w:val="0"/>
          <w:sz w:val="28"/>
          <w:szCs w:val="28"/>
        </w:rPr>
      </w:pPr>
      <w:r>
        <w:rPr>
          <w:rFonts w:hint="eastAsia"/>
          <w:color w:val="auto"/>
          <w:kern w:val="0"/>
          <w:sz w:val="28"/>
          <w:szCs w:val="28"/>
        </w:rPr>
        <w:t>8</w:t>
      </w:r>
      <w:r>
        <w:rPr>
          <w:color w:val="auto"/>
          <w:kern w:val="0"/>
          <w:sz w:val="28"/>
          <w:szCs w:val="28"/>
        </w:rPr>
        <w:t>.2.3</w:t>
      </w:r>
      <w:r>
        <w:rPr>
          <w:rFonts w:hint="eastAsia"/>
          <w:color w:val="auto"/>
          <w:kern w:val="0"/>
          <w:sz w:val="28"/>
          <w:szCs w:val="28"/>
        </w:rPr>
        <w:t>生态效益</w:t>
      </w:r>
    </w:p>
    <w:p>
      <w:pPr>
        <w:widowControl/>
        <w:spacing w:line="360" w:lineRule="auto"/>
        <w:ind w:firstLine="560" w:firstLineChars="200"/>
        <w:rPr>
          <w:color w:val="auto"/>
          <w:kern w:val="0"/>
          <w:sz w:val="28"/>
          <w:szCs w:val="28"/>
        </w:rPr>
      </w:pPr>
      <w:r>
        <w:rPr>
          <w:rFonts w:hint="eastAsia"/>
          <w:color w:val="auto"/>
          <w:kern w:val="0"/>
          <w:sz w:val="28"/>
          <w:szCs w:val="28"/>
        </w:rPr>
        <w:t>9.智慧创新</w:t>
      </w:r>
    </w:p>
    <w:p>
      <w:pPr>
        <w:widowControl/>
        <w:spacing w:line="360" w:lineRule="auto"/>
        <w:ind w:firstLine="840" w:firstLineChars="300"/>
        <w:rPr>
          <w:color w:val="auto"/>
          <w:kern w:val="0"/>
          <w:sz w:val="28"/>
          <w:szCs w:val="28"/>
        </w:rPr>
      </w:pPr>
      <w:r>
        <w:rPr>
          <w:color w:val="auto"/>
          <w:kern w:val="0"/>
          <w:sz w:val="28"/>
          <w:szCs w:val="28"/>
        </w:rPr>
        <w:t>9.1</w:t>
      </w:r>
      <w:r>
        <w:rPr>
          <w:rFonts w:hint="eastAsia"/>
          <w:color w:val="auto"/>
          <w:kern w:val="0"/>
          <w:sz w:val="28"/>
          <w:szCs w:val="28"/>
        </w:rPr>
        <w:t>控制项</w:t>
      </w:r>
    </w:p>
    <w:p>
      <w:pPr>
        <w:widowControl/>
        <w:spacing w:line="360" w:lineRule="auto"/>
        <w:ind w:firstLine="840" w:firstLineChars="300"/>
        <w:rPr>
          <w:color w:val="auto"/>
          <w:kern w:val="0"/>
          <w:sz w:val="28"/>
          <w:szCs w:val="28"/>
        </w:rPr>
      </w:pPr>
      <w:r>
        <w:rPr>
          <w:color w:val="auto"/>
          <w:kern w:val="0"/>
          <w:sz w:val="28"/>
          <w:szCs w:val="28"/>
        </w:rPr>
        <w:t>9.2</w:t>
      </w:r>
      <w:r>
        <w:rPr>
          <w:rFonts w:hint="eastAsia"/>
          <w:color w:val="auto"/>
          <w:kern w:val="0"/>
          <w:sz w:val="28"/>
          <w:szCs w:val="28"/>
        </w:rPr>
        <w:t>评分项</w:t>
      </w:r>
    </w:p>
    <w:p>
      <w:pPr>
        <w:widowControl/>
        <w:spacing w:line="360" w:lineRule="auto"/>
        <w:ind w:firstLine="1120" w:firstLineChars="400"/>
        <w:rPr>
          <w:color w:val="auto"/>
          <w:kern w:val="0"/>
          <w:sz w:val="28"/>
          <w:szCs w:val="28"/>
        </w:rPr>
      </w:pPr>
      <w:r>
        <w:rPr>
          <w:rFonts w:hint="eastAsia"/>
          <w:color w:val="auto"/>
          <w:kern w:val="0"/>
          <w:sz w:val="28"/>
          <w:szCs w:val="28"/>
        </w:rPr>
        <w:t>9</w:t>
      </w:r>
      <w:r>
        <w:rPr>
          <w:color w:val="auto"/>
          <w:kern w:val="0"/>
          <w:sz w:val="28"/>
          <w:szCs w:val="28"/>
        </w:rPr>
        <w:t>.2.1</w:t>
      </w:r>
      <w:r>
        <w:rPr>
          <w:rFonts w:hint="eastAsia"/>
          <w:color w:val="auto"/>
          <w:kern w:val="0"/>
          <w:sz w:val="28"/>
          <w:szCs w:val="28"/>
        </w:rPr>
        <w:t>科技应用</w:t>
      </w:r>
    </w:p>
    <w:p>
      <w:pPr>
        <w:widowControl/>
        <w:spacing w:line="360" w:lineRule="auto"/>
        <w:ind w:firstLine="1120" w:firstLineChars="400"/>
        <w:rPr>
          <w:color w:val="auto"/>
          <w:kern w:val="0"/>
          <w:sz w:val="28"/>
          <w:szCs w:val="28"/>
        </w:rPr>
      </w:pPr>
      <w:r>
        <w:rPr>
          <w:rFonts w:hint="eastAsia"/>
          <w:color w:val="auto"/>
          <w:kern w:val="0"/>
          <w:sz w:val="28"/>
          <w:szCs w:val="28"/>
        </w:rPr>
        <w:t>9</w:t>
      </w:r>
      <w:r>
        <w:rPr>
          <w:color w:val="auto"/>
          <w:kern w:val="0"/>
          <w:sz w:val="28"/>
          <w:szCs w:val="28"/>
        </w:rPr>
        <w:t>.2.2</w:t>
      </w:r>
      <w:r>
        <w:rPr>
          <w:rFonts w:hint="eastAsia"/>
          <w:color w:val="auto"/>
          <w:kern w:val="0"/>
          <w:sz w:val="28"/>
          <w:szCs w:val="28"/>
        </w:rPr>
        <w:t>创新管理</w:t>
      </w:r>
    </w:p>
    <w:p>
      <w:pPr>
        <w:widowControl/>
        <w:spacing w:line="360" w:lineRule="auto"/>
        <w:ind w:firstLine="560" w:firstLineChars="200"/>
        <w:rPr>
          <w:color w:val="auto"/>
          <w:kern w:val="0"/>
          <w:sz w:val="28"/>
          <w:szCs w:val="28"/>
        </w:rPr>
      </w:pPr>
      <w:r>
        <w:rPr>
          <w:color w:val="auto"/>
          <w:kern w:val="0"/>
          <w:sz w:val="28"/>
          <w:szCs w:val="28"/>
        </w:rPr>
        <w:t>本标准可用来丰富GB/T 50378-2019《绿色建筑评价标准》的内容，并阐明符合该标准要求的各种方法和途径。</w:t>
      </w:r>
    </w:p>
    <w:p>
      <w:pPr>
        <w:widowControl/>
        <w:spacing w:line="360" w:lineRule="auto"/>
        <w:ind w:firstLine="560" w:firstLineChars="200"/>
        <w:rPr>
          <w:color w:val="auto"/>
          <w:sz w:val="28"/>
          <w:szCs w:val="36"/>
        </w:rPr>
      </w:pPr>
      <w:r>
        <w:rPr>
          <w:color w:val="auto"/>
          <w:sz w:val="28"/>
          <w:szCs w:val="36"/>
        </w:rPr>
        <w:t>（三）本标准主要内容依据</w:t>
      </w:r>
    </w:p>
    <w:p>
      <w:pPr>
        <w:widowControl/>
        <w:wordWrap w:val="0"/>
        <w:spacing w:line="360" w:lineRule="auto"/>
        <w:ind w:firstLine="560" w:firstLineChars="200"/>
        <w:rPr>
          <w:color w:val="auto"/>
          <w:kern w:val="0"/>
          <w:sz w:val="28"/>
          <w:szCs w:val="28"/>
        </w:rPr>
      </w:pPr>
      <w:r>
        <w:rPr>
          <w:color w:val="auto"/>
          <w:sz w:val="28"/>
          <w:szCs w:val="36"/>
        </w:rPr>
        <w:t>本标准依据我国标准化改革发展的总体要求，致力于在满足</w:t>
      </w:r>
      <w:r>
        <w:rPr>
          <w:color w:val="auto"/>
          <w:kern w:val="0"/>
          <w:sz w:val="28"/>
          <w:szCs w:val="28"/>
        </w:rPr>
        <w:t>GB/T 50378-2019《绿色建筑评价标准》的基础上，对体育场馆的绿色化、可持续化做出更精准的规范要求，以整合现有体育场馆绿色运营相关标准政策要求，补充完善绿色建筑领域体育场馆运营相关内容，有助于绿色体育场馆评价标准体系的建立、实施与保持。</w:t>
      </w:r>
    </w:p>
    <w:p>
      <w:pPr>
        <w:pStyle w:val="2"/>
        <w:ind w:left="0" w:leftChars="0" w:firstLine="560"/>
        <w:rPr>
          <w:color w:val="auto"/>
          <w:kern w:val="0"/>
          <w:sz w:val="28"/>
          <w:szCs w:val="28"/>
        </w:rPr>
      </w:pPr>
      <w:r>
        <w:rPr>
          <w:rFonts w:hint="eastAsia"/>
          <w:color w:val="auto"/>
          <w:kern w:val="0"/>
          <w:sz w:val="28"/>
          <w:szCs w:val="28"/>
        </w:rPr>
        <w:t>主要参考的标准及文献有：</w:t>
      </w:r>
    </w:p>
    <w:p>
      <w:pPr>
        <w:pStyle w:val="2"/>
        <w:spacing w:after="0"/>
        <w:ind w:left="0" w:leftChars="0" w:firstLine="560"/>
        <w:rPr>
          <w:color w:val="auto"/>
          <w:kern w:val="0"/>
          <w:sz w:val="28"/>
          <w:szCs w:val="28"/>
        </w:rPr>
      </w:pPr>
      <w:r>
        <w:rPr>
          <w:rFonts w:hint="eastAsia"/>
          <w:color w:val="auto"/>
          <w:kern w:val="0"/>
          <w:sz w:val="28"/>
          <w:szCs w:val="28"/>
        </w:rPr>
        <w:t>GB 50189 公共建筑节能设计标准</w:t>
      </w:r>
    </w:p>
    <w:p>
      <w:pPr>
        <w:pStyle w:val="2"/>
        <w:spacing w:after="0"/>
        <w:ind w:left="0" w:leftChars="0" w:firstLine="560"/>
        <w:rPr>
          <w:color w:val="auto"/>
          <w:kern w:val="0"/>
          <w:sz w:val="28"/>
          <w:szCs w:val="28"/>
        </w:rPr>
      </w:pPr>
      <w:r>
        <w:rPr>
          <w:rFonts w:hint="eastAsia"/>
          <w:color w:val="auto"/>
          <w:kern w:val="0"/>
          <w:sz w:val="28"/>
          <w:szCs w:val="28"/>
        </w:rPr>
        <w:t>GB 50314 智能建筑设计标准</w:t>
      </w:r>
    </w:p>
    <w:p>
      <w:pPr>
        <w:pStyle w:val="2"/>
        <w:spacing w:after="0"/>
        <w:ind w:left="0" w:leftChars="0" w:firstLine="560"/>
        <w:rPr>
          <w:color w:val="auto"/>
          <w:kern w:val="0"/>
          <w:sz w:val="28"/>
          <w:szCs w:val="28"/>
        </w:rPr>
      </w:pPr>
      <w:r>
        <w:rPr>
          <w:rFonts w:hint="eastAsia"/>
          <w:color w:val="auto"/>
          <w:kern w:val="0"/>
          <w:sz w:val="28"/>
          <w:szCs w:val="28"/>
        </w:rPr>
        <w:t>GB/T 50378 绿色建筑评价标准</w:t>
      </w:r>
    </w:p>
    <w:p>
      <w:pPr>
        <w:pStyle w:val="2"/>
        <w:spacing w:after="0"/>
        <w:ind w:left="0" w:leftChars="0" w:firstLine="560"/>
        <w:rPr>
          <w:color w:val="auto"/>
          <w:kern w:val="0"/>
          <w:sz w:val="28"/>
          <w:szCs w:val="28"/>
        </w:rPr>
      </w:pPr>
      <w:r>
        <w:rPr>
          <w:rFonts w:hint="eastAsia"/>
          <w:color w:val="auto"/>
          <w:kern w:val="0"/>
          <w:sz w:val="28"/>
          <w:szCs w:val="28"/>
        </w:rPr>
        <w:t>GB 50411 建筑节能工程施工质量验收标准</w:t>
      </w:r>
    </w:p>
    <w:p>
      <w:pPr>
        <w:pStyle w:val="2"/>
        <w:spacing w:after="0"/>
        <w:ind w:left="0" w:leftChars="0" w:firstLine="560"/>
        <w:rPr>
          <w:color w:val="auto"/>
          <w:kern w:val="0"/>
          <w:sz w:val="28"/>
          <w:szCs w:val="28"/>
        </w:rPr>
      </w:pPr>
      <w:r>
        <w:rPr>
          <w:rFonts w:hint="eastAsia"/>
          <w:color w:val="auto"/>
          <w:kern w:val="0"/>
          <w:sz w:val="28"/>
          <w:szCs w:val="28"/>
        </w:rPr>
        <w:t>GB/T 50640 建筑工程绿色施工评价标准</w:t>
      </w:r>
    </w:p>
    <w:p>
      <w:pPr>
        <w:pStyle w:val="2"/>
        <w:spacing w:after="0"/>
        <w:ind w:left="0" w:leftChars="0" w:firstLine="560"/>
        <w:rPr>
          <w:color w:val="auto"/>
          <w:kern w:val="0"/>
          <w:sz w:val="28"/>
          <w:szCs w:val="28"/>
        </w:rPr>
      </w:pPr>
      <w:r>
        <w:rPr>
          <w:rFonts w:hint="eastAsia"/>
          <w:color w:val="auto"/>
          <w:kern w:val="0"/>
          <w:sz w:val="28"/>
          <w:szCs w:val="28"/>
        </w:rPr>
        <w:t>GB/T 50905 建筑工程绿色施工规程</w:t>
      </w:r>
    </w:p>
    <w:p>
      <w:pPr>
        <w:pStyle w:val="2"/>
        <w:spacing w:after="0"/>
        <w:ind w:left="0" w:leftChars="0" w:firstLine="560"/>
        <w:rPr>
          <w:color w:val="auto"/>
          <w:kern w:val="0"/>
          <w:sz w:val="28"/>
          <w:szCs w:val="28"/>
        </w:rPr>
      </w:pPr>
      <w:r>
        <w:rPr>
          <w:rFonts w:hint="eastAsia"/>
          <w:color w:val="auto"/>
          <w:kern w:val="0"/>
          <w:sz w:val="28"/>
          <w:szCs w:val="28"/>
        </w:rPr>
        <w:t>GB/T 51141 既有建筑绿色改造评价标准</w:t>
      </w:r>
    </w:p>
    <w:p>
      <w:pPr>
        <w:pStyle w:val="2"/>
        <w:spacing w:after="0"/>
        <w:ind w:left="0" w:leftChars="0" w:firstLine="560"/>
        <w:rPr>
          <w:color w:val="auto"/>
          <w:kern w:val="0"/>
          <w:sz w:val="28"/>
          <w:szCs w:val="28"/>
        </w:rPr>
      </w:pPr>
      <w:r>
        <w:rPr>
          <w:rFonts w:hint="eastAsia"/>
          <w:color w:val="auto"/>
          <w:kern w:val="0"/>
          <w:sz w:val="28"/>
          <w:szCs w:val="28"/>
        </w:rPr>
        <w:t>CJ/T 244 游泳池水质标准</w:t>
      </w:r>
    </w:p>
    <w:p>
      <w:pPr>
        <w:pStyle w:val="2"/>
        <w:spacing w:after="0"/>
        <w:ind w:left="0" w:leftChars="0" w:firstLine="560"/>
        <w:rPr>
          <w:color w:val="auto"/>
          <w:kern w:val="0"/>
          <w:sz w:val="28"/>
          <w:szCs w:val="28"/>
        </w:rPr>
      </w:pPr>
      <w:r>
        <w:rPr>
          <w:rFonts w:hint="eastAsia"/>
          <w:color w:val="auto"/>
          <w:kern w:val="0"/>
          <w:sz w:val="28"/>
          <w:szCs w:val="28"/>
        </w:rPr>
        <w:t>JGJ/T 179 体育建筑智能化系统工程技术规程</w:t>
      </w:r>
    </w:p>
    <w:p>
      <w:pPr>
        <w:pStyle w:val="2"/>
        <w:spacing w:after="0"/>
        <w:ind w:left="0" w:leftChars="0" w:firstLine="560"/>
        <w:rPr>
          <w:color w:val="auto"/>
          <w:kern w:val="0"/>
          <w:sz w:val="28"/>
          <w:szCs w:val="28"/>
        </w:rPr>
      </w:pPr>
      <w:r>
        <w:rPr>
          <w:rFonts w:hint="eastAsia"/>
          <w:color w:val="auto"/>
          <w:kern w:val="0"/>
          <w:sz w:val="28"/>
          <w:szCs w:val="28"/>
        </w:rPr>
        <w:t>JGJ/T 391 绿色建筑运行维护技术规范</w:t>
      </w:r>
    </w:p>
    <w:p>
      <w:pPr>
        <w:pStyle w:val="2"/>
        <w:spacing w:after="0"/>
        <w:ind w:left="0" w:leftChars="0" w:firstLine="560"/>
        <w:rPr>
          <w:color w:val="auto"/>
          <w:kern w:val="0"/>
          <w:sz w:val="28"/>
          <w:szCs w:val="28"/>
        </w:rPr>
      </w:pPr>
      <w:r>
        <w:rPr>
          <w:rFonts w:hint="eastAsia"/>
          <w:color w:val="auto"/>
          <w:kern w:val="0"/>
          <w:sz w:val="28"/>
          <w:szCs w:val="28"/>
        </w:rPr>
        <w:t>JGJ/T 417 建筑智能化系统运行维护技术规范</w:t>
      </w:r>
    </w:p>
    <w:p>
      <w:pPr>
        <w:pStyle w:val="2"/>
        <w:spacing w:after="0"/>
        <w:ind w:left="0" w:leftChars="0" w:firstLine="560"/>
        <w:rPr>
          <w:color w:val="auto"/>
          <w:kern w:val="0"/>
          <w:sz w:val="28"/>
          <w:szCs w:val="28"/>
        </w:rPr>
      </w:pPr>
      <w:r>
        <w:rPr>
          <w:rFonts w:hint="eastAsia"/>
          <w:color w:val="auto"/>
          <w:kern w:val="0"/>
          <w:sz w:val="28"/>
          <w:szCs w:val="28"/>
        </w:rPr>
        <w:t xml:space="preserve">JGJ/T XX 体育建筑智能化系统工程技术规程(征求意见稿) </w:t>
      </w:r>
    </w:p>
    <w:p>
      <w:pPr>
        <w:pStyle w:val="2"/>
        <w:spacing w:after="0"/>
        <w:ind w:left="0" w:leftChars="0" w:firstLine="560"/>
        <w:rPr>
          <w:color w:val="auto"/>
          <w:kern w:val="0"/>
          <w:sz w:val="28"/>
          <w:szCs w:val="28"/>
        </w:rPr>
      </w:pPr>
      <w:r>
        <w:rPr>
          <w:rFonts w:hint="eastAsia"/>
          <w:color w:val="auto"/>
          <w:kern w:val="0"/>
          <w:sz w:val="28"/>
          <w:szCs w:val="28"/>
        </w:rPr>
        <w:t>TY/T 1002.1 体育照明使用要求及检验方法 第1部分：室外足球场和综合体育场</w:t>
      </w:r>
    </w:p>
    <w:p>
      <w:pPr>
        <w:pStyle w:val="2"/>
        <w:spacing w:after="0"/>
        <w:ind w:left="0" w:leftChars="0" w:firstLine="560"/>
        <w:rPr>
          <w:color w:val="auto"/>
          <w:kern w:val="0"/>
          <w:sz w:val="28"/>
          <w:szCs w:val="28"/>
        </w:rPr>
      </w:pPr>
      <w:r>
        <w:rPr>
          <w:rFonts w:hint="eastAsia"/>
          <w:color w:val="auto"/>
          <w:kern w:val="0"/>
          <w:sz w:val="28"/>
          <w:szCs w:val="28"/>
        </w:rPr>
        <w:t>TY/T 1002.2 体育照明使用要求及检验方法 第2部分：综合体育馆</w:t>
      </w:r>
    </w:p>
    <w:p>
      <w:pPr>
        <w:pStyle w:val="2"/>
        <w:spacing w:after="0"/>
        <w:ind w:left="0" w:leftChars="0" w:firstLine="560"/>
        <w:rPr>
          <w:color w:val="auto"/>
          <w:kern w:val="0"/>
          <w:sz w:val="28"/>
          <w:szCs w:val="28"/>
        </w:rPr>
      </w:pPr>
      <w:r>
        <w:rPr>
          <w:rFonts w:hint="eastAsia"/>
          <w:color w:val="auto"/>
          <w:kern w:val="0"/>
          <w:sz w:val="28"/>
          <w:szCs w:val="28"/>
        </w:rPr>
        <w:t>TY/T 3001 体育场所服务质量管理 通用要求</w:t>
      </w:r>
    </w:p>
    <w:p>
      <w:pPr>
        <w:pStyle w:val="2"/>
        <w:spacing w:after="0"/>
        <w:ind w:left="0" w:leftChars="0" w:firstLine="560"/>
        <w:rPr>
          <w:color w:val="auto"/>
          <w:kern w:val="0"/>
          <w:sz w:val="28"/>
          <w:szCs w:val="28"/>
        </w:rPr>
      </w:pPr>
      <w:r>
        <w:rPr>
          <w:rFonts w:hint="eastAsia"/>
          <w:color w:val="auto"/>
          <w:kern w:val="0"/>
          <w:sz w:val="28"/>
          <w:szCs w:val="28"/>
        </w:rPr>
        <w:t>JGJ 31 体育建筑设计规范</w:t>
      </w:r>
    </w:p>
    <w:p>
      <w:pPr>
        <w:pStyle w:val="2"/>
        <w:spacing w:after="0"/>
        <w:ind w:left="0" w:leftChars="0" w:firstLine="560"/>
        <w:rPr>
          <w:color w:val="auto"/>
          <w:kern w:val="0"/>
          <w:sz w:val="28"/>
          <w:szCs w:val="28"/>
        </w:rPr>
      </w:pPr>
      <w:r>
        <w:rPr>
          <w:rFonts w:hint="eastAsia"/>
          <w:color w:val="auto"/>
          <w:kern w:val="0"/>
          <w:sz w:val="28"/>
          <w:szCs w:val="28"/>
        </w:rPr>
        <w:t>JGJ/T 449 民用建筑绿色性能计算标准</w:t>
      </w:r>
    </w:p>
    <w:p>
      <w:pPr>
        <w:pStyle w:val="2"/>
        <w:spacing w:after="0"/>
        <w:ind w:left="0" w:leftChars="0" w:firstLine="560"/>
        <w:rPr>
          <w:color w:val="auto"/>
          <w:kern w:val="0"/>
          <w:sz w:val="28"/>
          <w:szCs w:val="28"/>
        </w:rPr>
      </w:pPr>
      <w:r>
        <w:rPr>
          <w:rFonts w:hint="eastAsia"/>
          <w:color w:val="auto"/>
          <w:kern w:val="0"/>
          <w:sz w:val="28"/>
          <w:szCs w:val="28"/>
        </w:rPr>
        <w:t>DB11/T 1296 体育场馆能源消耗定额</w:t>
      </w:r>
    </w:p>
    <w:p>
      <w:pPr>
        <w:pStyle w:val="2"/>
        <w:spacing w:after="0"/>
        <w:ind w:left="0" w:leftChars="0" w:firstLine="560"/>
        <w:rPr>
          <w:color w:val="auto"/>
          <w:kern w:val="0"/>
          <w:sz w:val="28"/>
          <w:szCs w:val="28"/>
        </w:rPr>
      </w:pPr>
      <w:r>
        <w:rPr>
          <w:rFonts w:hint="eastAsia"/>
          <w:color w:val="auto"/>
          <w:kern w:val="0"/>
          <w:sz w:val="28"/>
          <w:szCs w:val="28"/>
        </w:rPr>
        <w:t>DB11/T 1335 体育场馆合理用能指南</w:t>
      </w:r>
    </w:p>
    <w:p>
      <w:pPr>
        <w:pStyle w:val="4"/>
        <w:numPr>
          <w:ilvl w:val="0"/>
          <w:numId w:val="1"/>
        </w:numPr>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主要条款的说明，主要技术指标、参数和试验验证分析</w:t>
      </w:r>
    </w:p>
    <w:p>
      <w:pPr>
        <w:pStyle w:val="2"/>
        <w:spacing w:after="0"/>
        <w:ind w:left="0" w:leftChars="0" w:firstLine="560"/>
        <w:rPr>
          <w:color w:val="auto"/>
          <w:kern w:val="0"/>
          <w:sz w:val="28"/>
          <w:szCs w:val="28"/>
        </w:rPr>
      </w:pPr>
      <w:r>
        <w:rPr>
          <w:rFonts w:hint="eastAsia"/>
          <w:color w:val="auto"/>
          <w:kern w:val="0"/>
          <w:sz w:val="28"/>
          <w:szCs w:val="28"/>
        </w:rPr>
        <w:t>本标准是体育场馆在全生命周期中绿色运营的规范要求，规定了体育场馆（以单栋体育建筑或体育建筑群为评价对象）的一般要求及各分项评价指标。适用于在中国境内可满足比赛、训练、全民健身及其他活动使用的体育场、体育馆和游泳馆运营评价标准的编制和管理工作。</w:t>
      </w:r>
    </w:p>
    <w:p>
      <w:pPr>
        <w:pStyle w:val="2"/>
        <w:spacing w:after="0"/>
        <w:ind w:left="0" w:leftChars="0" w:firstLine="560"/>
        <w:rPr>
          <w:color w:val="auto"/>
          <w:kern w:val="0"/>
          <w:sz w:val="28"/>
          <w:szCs w:val="28"/>
        </w:rPr>
      </w:pPr>
      <w:r>
        <w:rPr>
          <w:rFonts w:hint="eastAsia"/>
          <w:color w:val="auto"/>
          <w:kern w:val="0"/>
          <w:sz w:val="28"/>
          <w:szCs w:val="28"/>
        </w:rPr>
        <w:t>第6章规定了低碳运营的评价要求，包括低碳节能、资源循环、能源管控、环境保护。</w:t>
      </w:r>
    </w:p>
    <w:p>
      <w:pPr>
        <w:pStyle w:val="2"/>
        <w:spacing w:after="0"/>
        <w:ind w:left="0" w:leftChars="0" w:firstLine="560"/>
        <w:rPr>
          <w:color w:val="auto"/>
          <w:kern w:val="0"/>
          <w:sz w:val="28"/>
          <w:szCs w:val="28"/>
        </w:rPr>
      </w:pPr>
      <w:r>
        <w:rPr>
          <w:rFonts w:hint="eastAsia"/>
          <w:color w:val="auto"/>
          <w:kern w:val="0"/>
          <w:sz w:val="28"/>
          <w:szCs w:val="28"/>
        </w:rPr>
        <w:t>第7章规定了运行保障的评价要求，包括运营管理、人员管理、运行维护、安全管理。</w:t>
      </w:r>
    </w:p>
    <w:p>
      <w:pPr>
        <w:pStyle w:val="2"/>
        <w:spacing w:after="0"/>
        <w:ind w:left="0" w:leftChars="0" w:firstLine="560"/>
        <w:rPr>
          <w:color w:val="auto"/>
          <w:kern w:val="0"/>
          <w:sz w:val="28"/>
          <w:szCs w:val="28"/>
        </w:rPr>
      </w:pPr>
      <w:r>
        <w:rPr>
          <w:rFonts w:hint="eastAsia"/>
          <w:color w:val="auto"/>
          <w:kern w:val="0"/>
          <w:sz w:val="28"/>
          <w:szCs w:val="28"/>
        </w:rPr>
        <w:t>第8章规定了效益优化的评价要求，包括社会效益、经济效益、生态效益。</w:t>
      </w:r>
    </w:p>
    <w:p>
      <w:pPr>
        <w:pStyle w:val="2"/>
        <w:spacing w:after="0"/>
        <w:ind w:left="0" w:leftChars="0" w:firstLine="560"/>
        <w:rPr>
          <w:color w:val="auto"/>
        </w:rPr>
      </w:pPr>
      <w:r>
        <w:rPr>
          <w:rFonts w:hint="eastAsia"/>
          <w:color w:val="auto"/>
          <w:kern w:val="0"/>
          <w:sz w:val="28"/>
          <w:szCs w:val="28"/>
        </w:rPr>
        <w:t>第9章规定了智慧创新的评价要求，包括科技应用、创新管理。</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四、本标准采用国际和国外先进标准的，说明采标程度，以及与国内外同类标准水平的对比情况</w:t>
      </w:r>
    </w:p>
    <w:p>
      <w:pPr>
        <w:widowControl/>
        <w:spacing w:line="360" w:lineRule="auto"/>
        <w:ind w:firstLine="560" w:firstLineChars="200"/>
        <w:rPr>
          <w:color w:val="auto"/>
          <w:kern w:val="0"/>
          <w:sz w:val="28"/>
          <w:szCs w:val="28"/>
        </w:rPr>
      </w:pPr>
      <w:r>
        <w:rPr>
          <w:color w:val="auto"/>
          <w:kern w:val="0"/>
          <w:sz w:val="28"/>
          <w:szCs w:val="28"/>
        </w:rPr>
        <w:t>本标准的制定为自主研制，主要参考了国内GB/T 50378-2019《绿色建筑评价标准》</w:t>
      </w:r>
      <w:r>
        <w:rPr>
          <w:rFonts w:hint="eastAsia"/>
          <w:color w:val="auto"/>
          <w:kern w:val="0"/>
          <w:sz w:val="28"/>
          <w:szCs w:val="28"/>
        </w:rPr>
        <w:t>，</w:t>
      </w:r>
      <w:r>
        <w:rPr>
          <w:color w:val="auto"/>
          <w:kern w:val="0"/>
          <w:sz w:val="28"/>
          <w:szCs w:val="28"/>
        </w:rPr>
        <w:t>以及美国LEED绿色建筑认证体系和日本建筑物综合环境性能评价体系（CASBEE）。</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五、与有关的现行法律、法规和强制性国家标准的关系</w:t>
      </w:r>
    </w:p>
    <w:p>
      <w:pPr>
        <w:widowControl/>
        <w:spacing w:line="360" w:lineRule="auto"/>
        <w:ind w:firstLine="560" w:firstLineChars="200"/>
        <w:rPr>
          <w:color w:val="auto"/>
          <w:kern w:val="0"/>
          <w:sz w:val="28"/>
          <w:szCs w:val="28"/>
        </w:rPr>
      </w:pPr>
      <w:r>
        <w:rPr>
          <w:color w:val="auto"/>
          <w:kern w:val="0"/>
          <w:sz w:val="28"/>
          <w:szCs w:val="28"/>
        </w:rPr>
        <w:t>本标准内容符合国家现行法律、法规要求，并与参照采用的相关标准有一定的对应关系。</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六、重大分歧意见的处理经过和依据</w:t>
      </w:r>
    </w:p>
    <w:p>
      <w:pPr>
        <w:spacing w:line="360" w:lineRule="auto"/>
        <w:ind w:firstLine="560" w:firstLineChars="200"/>
        <w:rPr>
          <w:color w:val="auto"/>
          <w:sz w:val="28"/>
          <w:szCs w:val="28"/>
        </w:rPr>
      </w:pPr>
      <w:r>
        <w:rPr>
          <w:color w:val="auto"/>
          <w:kern w:val="0"/>
          <w:sz w:val="28"/>
          <w:szCs w:val="28"/>
        </w:rPr>
        <w:t>本标准的制定过程中未出现重大的分歧意见。</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七、作为强制性标准或推荐性标准的建议及其理由</w:t>
      </w:r>
    </w:p>
    <w:p>
      <w:pPr>
        <w:widowControl/>
        <w:spacing w:line="360" w:lineRule="auto"/>
        <w:ind w:firstLine="560" w:firstLineChars="200"/>
        <w:rPr>
          <w:color w:val="auto"/>
          <w:sz w:val="28"/>
          <w:szCs w:val="28"/>
        </w:rPr>
      </w:pPr>
      <w:r>
        <w:rPr>
          <w:color w:val="auto"/>
          <w:sz w:val="28"/>
          <w:szCs w:val="28"/>
        </w:rPr>
        <w:t>本标准建议为推荐性标准。</w:t>
      </w:r>
    </w:p>
    <w:p>
      <w:pPr>
        <w:pStyle w:val="4"/>
        <w:numPr>
          <w:ilvl w:val="0"/>
          <w:numId w:val="2"/>
        </w:numPr>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贯彻标准的要求措施建议（包括政策措施、组织措施、技术措施、过渡办法、宣贯培训、试点示范和配套资金等内容）</w:t>
      </w:r>
    </w:p>
    <w:p>
      <w:pPr>
        <w:widowControl/>
        <w:spacing w:line="360" w:lineRule="auto"/>
        <w:ind w:firstLine="560" w:firstLineChars="200"/>
        <w:rPr>
          <w:color w:val="auto"/>
          <w:sz w:val="28"/>
          <w:szCs w:val="28"/>
        </w:rPr>
      </w:pPr>
      <w:r>
        <w:rPr>
          <w:color w:val="auto"/>
          <w:sz w:val="28"/>
          <w:szCs w:val="28"/>
        </w:rPr>
        <w:t>政策措施：建议有关部门在贯彻实施规范要求的同时，在体育产业及体育场馆业界推行《绿色体育场馆运营评价通用规范》，通过宣贯本标准进一步促进体育场馆相关法规落实，促进场馆运营管理组织提高服务质量，充分发挥标准对绿色体育场馆运营的支撑作用和对体育场馆绿色化、可持续发展的引领作用。本标准的发布实施可作为体育场馆行业监管部门的监管要求和内容，以及政府对公共体育场馆划拨补</w:t>
      </w:r>
      <w:r>
        <w:rPr>
          <w:rFonts w:hint="eastAsia"/>
          <w:color w:val="auto"/>
          <w:sz w:val="28"/>
          <w:szCs w:val="28"/>
          <w:lang w:eastAsia="zh-CN"/>
        </w:rPr>
        <w:t>助</w:t>
      </w:r>
      <w:r>
        <w:rPr>
          <w:color w:val="auto"/>
          <w:sz w:val="28"/>
          <w:szCs w:val="28"/>
        </w:rPr>
        <w:t>资金的依据；同时充分发挥第三方认证机构、监管机构等相关方的作用，促进标准的贯彻实施。</w:t>
      </w:r>
    </w:p>
    <w:p>
      <w:pPr>
        <w:widowControl/>
        <w:spacing w:line="360" w:lineRule="auto"/>
        <w:ind w:firstLine="560" w:firstLineChars="200"/>
        <w:rPr>
          <w:color w:val="auto"/>
          <w:sz w:val="28"/>
          <w:szCs w:val="28"/>
        </w:rPr>
      </w:pPr>
      <w:r>
        <w:rPr>
          <w:color w:val="auto"/>
          <w:sz w:val="28"/>
          <w:szCs w:val="28"/>
        </w:rPr>
        <w:t>组织措施：本标准一经发布，相关负责单位将依据标准中所包含的规范要求，依托承担单位，举办《绿色体育场馆运营评价通用规范》标准宣贯培训班，例如在承担单位网站、相关刊物以及各类会议讲座上进行标准的宣贯，积极组织科研单位、经营企业、各类场馆</w:t>
      </w:r>
      <w:r>
        <w:rPr>
          <w:rFonts w:hint="eastAsia"/>
          <w:color w:val="auto"/>
          <w:sz w:val="28"/>
          <w:szCs w:val="28"/>
          <w:lang w:eastAsia="zh-CN"/>
        </w:rPr>
        <w:t>等</w:t>
      </w:r>
      <w:r>
        <w:rPr>
          <w:color w:val="auto"/>
          <w:sz w:val="28"/>
          <w:szCs w:val="28"/>
        </w:rPr>
        <w:t>相关机构的培训。</w:t>
      </w:r>
    </w:p>
    <w:p>
      <w:pPr>
        <w:widowControl/>
        <w:spacing w:line="360" w:lineRule="auto"/>
        <w:ind w:firstLine="560" w:firstLineChars="200"/>
        <w:rPr>
          <w:color w:val="auto"/>
          <w:sz w:val="28"/>
          <w:szCs w:val="28"/>
        </w:rPr>
      </w:pPr>
      <w:r>
        <w:rPr>
          <w:color w:val="auto"/>
          <w:sz w:val="28"/>
          <w:szCs w:val="28"/>
        </w:rPr>
        <w:t>技术措施：标准起草单位将总结经验，结合我国体育场馆行业实际，深入研究标准的应用情况，在宣贯导读编写、案例总结、课件更新等方面作出具体安排，积极解决标准应用中的问题，不断提高标准的实效性。</w:t>
      </w:r>
    </w:p>
    <w:p>
      <w:pPr>
        <w:widowControl/>
        <w:spacing w:line="360" w:lineRule="auto"/>
        <w:ind w:firstLine="560" w:firstLineChars="200"/>
        <w:rPr>
          <w:color w:val="auto"/>
          <w:sz w:val="28"/>
          <w:szCs w:val="28"/>
        </w:rPr>
      </w:pPr>
      <w:r>
        <w:rPr>
          <w:color w:val="auto"/>
          <w:sz w:val="28"/>
          <w:szCs w:val="28"/>
        </w:rPr>
        <w:t>本标准申报为推荐性标准。实施后不会给体育场馆相关组织机构带来问题。本标准的实施无需过渡，建议自发布之日起开始实施。</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九、废止现行有关标准的建议</w:t>
      </w:r>
    </w:p>
    <w:p>
      <w:pPr>
        <w:spacing w:line="360" w:lineRule="auto"/>
        <w:ind w:firstLine="560" w:firstLineChars="200"/>
        <w:rPr>
          <w:color w:val="auto"/>
          <w:sz w:val="28"/>
          <w:szCs w:val="28"/>
        </w:rPr>
      </w:pPr>
      <w:r>
        <w:rPr>
          <w:color w:val="auto"/>
          <w:sz w:val="28"/>
          <w:szCs w:val="28"/>
        </w:rPr>
        <w:t>不存在可废除的对应标准。</w:t>
      </w:r>
    </w:p>
    <w:p>
      <w:pPr>
        <w:pStyle w:val="4"/>
        <w:spacing w:line="360" w:lineRule="auto"/>
        <w:ind w:firstLine="562" w:firstLineChars="200"/>
        <w:rPr>
          <w:rFonts w:ascii="Times New Roman" w:hAnsi="Times New Roman"/>
          <w:color w:val="auto"/>
          <w:sz w:val="28"/>
          <w:szCs w:val="28"/>
        </w:rPr>
      </w:pPr>
      <w:r>
        <w:rPr>
          <w:rFonts w:ascii="Times New Roman" w:hAnsi="Times New Roman"/>
          <w:color w:val="auto"/>
          <w:sz w:val="28"/>
          <w:szCs w:val="28"/>
        </w:rPr>
        <w:t>十、本标准编制说明的附件</w:t>
      </w:r>
    </w:p>
    <w:p>
      <w:pPr>
        <w:spacing w:line="360" w:lineRule="auto"/>
        <w:ind w:firstLine="560" w:firstLineChars="200"/>
        <w:rPr>
          <w:color w:val="auto"/>
          <w:kern w:val="0"/>
          <w:sz w:val="28"/>
          <w:szCs w:val="28"/>
        </w:rPr>
      </w:pPr>
      <w:r>
        <w:rPr>
          <w:color w:val="auto"/>
          <w:kern w:val="0"/>
          <w:sz w:val="28"/>
          <w:szCs w:val="28"/>
        </w:rPr>
        <w:t>无。</w:t>
      </w:r>
    </w:p>
    <w:p>
      <w:pPr>
        <w:rPr>
          <w:color w:val="auto"/>
        </w:rPr>
      </w:pPr>
    </w:p>
    <w:sectPr>
      <w:pgSz w:w="11906" w:h="16838"/>
      <w:pgMar w:top="1134" w:right="1134" w:bottom="1134" w:left="1134"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0281C"/>
    <w:multiLevelType w:val="singleLevel"/>
    <w:tmpl w:val="A260281C"/>
    <w:lvl w:ilvl="0" w:tentative="0">
      <w:start w:val="8"/>
      <w:numFmt w:val="chineseCounting"/>
      <w:suff w:val="nothing"/>
      <w:lvlText w:val="%1、"/>
      <w:lvlJc w:val="left"/>
      <w:rPr>
        <w:rFonts w:hint="eastAsia"/>
      </w:rPr>
    </w:lvl>
  </w:abstractNum>
  <w:abstractNum w:abstractNumId="1">
    <w:nsid w:val="ABCA3409"/>
    <w:multiLevelType w:val="singleLevel"/>
    <w:tmpl w:val="ABCA340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wYTFkZDBhMzJmOWQxNmIzZWEzNzc4Zjk2ZTZmYWYifQ=="/>
  </w:docVars>
  <w:rsids>
    <w:rsidRoot w:val="00B813C7"/>
    <w:rsid w:val="00375DFE"/>
    <w:rsid w:val="00444C5D"/>
    <w:rsid w:val="0045610D"/>
    <w:rsid w:val="00506B01"/>
    <w:rsid w:val="00753877"/>
    <w:rsid w:val="00834EE9"/>
    <w:rsid w:val="008D254F"/>
    <w:rsid w:val="009C4393"/>
    <w:rsid w:val="00B813C7"/>
    <w:rsid w:val="00BD1E00"/>
    <w:rsid w:val="00C0307C"/>
    <w:rsid w:val="00CB69F2"/>
    <w:rsid w:val="00D1173F"/>
    <w:rsid w:val="00EA404B"/>
    <w:rsid w:val="00F10321"/>
    <w:rsid w:val="6F055E2B"/>
    <w:rsid w:val="70432AB4"/>
    <w:rsid w:val="77F9E70E"/>
    <w:rsid w:val="7D798731"/>
    <w:rsid w:val="EFFB2916"/>
    <w:rsid w:val="F76F4E53"/>
    <w:rsid w:val="F7FDEB09"/>
    <w:rsid w:val="FE7DDB3B"/>
    <w:rsid w:val="FFF7360A"/>
    <w:rsid w:val="FFFE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outlineLvl w:val="0"/>
    </w:pPr>
    <w:rPr>
      <w:rFonts w:ascii="宋体" w:hAnsi="宋体"/>
      <w:b/>
      <w:bCs/>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unhideWhenUsed/>
    <w:qFormat/>
    <w:uiPriority w:val="99"/>
    <w:rPr>
      <w:sz w:val="21"/>
      <w:szCs w:val="21"/>
    </w:rPr>
  </w:style>
  <w:style w:type="character" w:customStyle="1" w:styleId="11">
    <w:name w:val="标题 1 字符"/>
    <w:basedOn w:val="9"/>
    <w:link w:val="4"/>
    <w:qFormat/>
    <w:uiPriority w:val="0"/>
    <w:rPr>
      <w:rFonts w:ascii="宋体" w:hAnsi="宋体" w:eastAsia="宋体" w:cs="Times New Roman"/>
      <w:b/>
      <w:bCs/>
      <w:kern w:val="0"/>
      <w:sz w:val="24"/>
      <w:szCs w:val="24"/>
    </w:rPr>
  </w:style>
  <w:style w:type="character" w:customStyle="1" w:styleId="12">
    <w:name w:val="正文文本缩进 字符"/>
    <w:basedOn w:val="9"/>
    <w:link w:val="3"/>
    <w:semiHidden/>
    <w:qFormat/>
    <w:uiPriority w:val="99"/>
    <w:rPr>
      <w:rFonts w:ascii="Times New Roman" w:hAnsi="Times New Roman" w:eastAsia="宋体" w:cs="Times New Roman"/>
      <w:szCs w:val="24"/>
    </w:rPr>
  </w:style>
  <w:style w:type="character" w:customStyle="1" w:styleId="13">
    <w:name w:val="正文文本首行缩进 2 字符"/>
    <w:basedOn w:val="12"/>
    <w:link w:val="2"/>
    <w:qFormat/>
    <w:uiPriority w:val="99"/>
    <w:rPr>
      <w:rFonts w:ascii="Times New Roman" w:hAnsi="Times New Roman" w:eastAsia="宋体" w:cs="Times New Roman"/>
      <w:szCs w:val="24"/>
    </w:rPr>
  </w:style>
  <w:style w:type="paragraph" w:customStyle="1" w:styleId="14">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5">
    <w:name w:val="批注框文本 字符"/>
    <w:basedOn w:val="9"/>
    <w:link w:val="5"/>
    <w:semiHidden/>
    <w:qFormat/>
    <w:uiPriority w:val="99"/>
    <w:rPr>
      <w:rFonts w:ascii="Times New Roman" w:hAnsi="Times New Roman" w:eastAsia="宋体" w:cs="Times New Roman"/>
      <w:sz w:val="18"/>
      <w:szCs w:val="18"/>
    </w:rPr>
  </w:style>
  <w:style w:type="character" w:customStyle="1" w:styleId="16">
    <w:name w:val="页眉 字符"/>
    <w:basedOn w:val="9"/>
    <w:link w:val="7"/>
    <w:qFormat/>
    <w:uiPriority w:val="99"/>
    <w:rPr>
      <w:kern w:val="2"/>
      <w:sz w:val="18"/>
      <w:szCs w:val="18"/>
    </w:rPr>
  </w:style>
  <w:style w:type="character" w:customStyle="1" w:styleId="17">
    <w:name w:val="页脚 字符"/>
    <w:basedOn w:val="9"/>
    <w:link w:val="6"/>
    <w:qFormat/>
    <w:uiPriority w:val="99"/>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639</Words>
  <Characters>3643</Characters>
  <Lines>30</Lines>
  <Paragraphs>8</Paragraphs>
  <TotalTime>0</TotalTime>
  <ScaleCrop>false</ScaleCrop>
  <LinksUpToDate>false</LinksUpToDate>
  <CharactersWithSpaces>4274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2023-02-13T01:40:00Z</dcterms:created>
  <dc:creator>BOSS</dc:creator>
  <cp:lastModifiedBy>sunshuwei</cp:lastModifiedBy>
  <cp:lastPrinted>2023-02-17T01:20:00Z</cp:lastPrinted>
  <dcterms:modified xsi:type="dcterms:W3CDTF">2023-03-01T13:57:57Z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0A99CA099440406BB888997C4D49F1B6</vt:lpwstr>
  </property>
</Properties>
</file>