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sz w:val="36"/>
          <w:szCs w:val="36"/>
        </w:rPr>
      </w:pPr>
      <w:bookmarkStart w:id="0" w:name="_GoBack"/>
      <w:r>
        <w:rPr>
          <w:rFonts w:hint="eastAsia" w:hAnsi="宋体"/>
          <w:sz w:val="36"/>
          <w:szCs w:val="36"/>
        </w:rPr>
        <w:t>《体育公园配置要求》国家标准编制说明</w:t>
      </w:r>
    </w:p>
    <w:bookmarkEnd w:id="0"/>
    <w:p>
      <w:pPr>
        <w:pStyle w:val="2"/>
        <w:spacing w:line="360" w:lineRule="auto"/>
        <w:ind w:firstLine="562" w:firstLineChars="200"/>
        <w:jc w:val="left"/>
        <w:rPr>
          <w:kern w:val="0"/>
          <w:sz w:val="28"/>
          <w:szCs w:val="28"/>
        </w:rPr>
      </w:pPr>
      <w:r>
        <w:rPr>
          <w:rFonts w:hint="eastAsia"/>
          <w:kern w:val="0"/>
          <w:sz w:val="28"/>
          <w:szCs w:val="28"/>
        </w:rPr>
        <w:t>一、</w:t>
      </w:r>
      <w:r>
        <w:rPr>
          <w:kern w:val="0"/>
          <w:sz w:val="28"/>
          <w:szCs w:val="28"/>
        </w:rPr>
        <w:t>工作简况</w:t>
      </w:r>
    </w:p>
    <w:p>
      <w:pPr>
        <w:widowControl/>
        <w:spacing w:line="360" w:lineRule="auto"/>
        <w:ind w:firstLine="560" w:firstLineChars="200"/>
        <w:jc w:val="left"/>
        <w:rPr>
          <w:rFonts w:ascii="宋体" w:hAnsi="宋体"/>
          <w:kern w:val="0"/>
          <w:sz w:val="28"/>
          <w:szCs w:val="28"/>
        </w:rPr>
      </w:pPr>
      <w:r>
        <w:rPr>
          <w:rFonts w:hint="eastAsia" w:ascii="宋体" w:hAnsi="宋体"/>
          <w:kern w:val="0"/>
          <w:sz w:val="28"/>
          <w:szCs w:val="28"/>
        </w:rPr>
        <w:t>（一）任务来源</w:t>
      </w:r>
    </w:p>
    <w:p>
      <w:pPr>
        <w:pStyle w:val="30"/>
        <w:ind w:firstLine="560"/>
        <w:rPr>
          <w:rFonts w:ascii="宋体" w:hAnsi="宋体"/>
          <w:kern w:val="0"/>
          <w:sz w:val="28"/>
          <w:szCs w:val="28"/>
        </w:rPr>
      </w:pPr>
      <w:r>
        <w:rPr>
          <w:rFonts w:hint="eastAsia" w:ascii="宋体" w:hAnsi="宋体"/>
          <w:kern w:val="0"/>
          <w:sz w:val="28"/>
          <w:szCs w:val="28"/>
        </w:rPr>
        <w:t>2021年7月，国务院印发了《全民健身计划（2021-2025年）》，进一步明确了体育公园等全民健身场地设施建设任务，《国务院办公厅关于加强全民健身场地设施建设 发展群众体育的意见》（国办发[2020]36号）、七部门《关于推进体育公园建设的指导意见》等一系列政策文件的出台，为破解群众“健身去哪儿”难题，解决健身设施有效供给不足等问题，提供了可行路径和崭新载体。为进一步推动体育公园建设工作，2021年国家体育总局体育器材装备中心向国家标准化管理委员会提交了《体育公园配置要求》国家标准制定立项申请。2021年国家标准化管理委员会发布了《关于下达2021年第一批推荐性国家标准计划及相关标准外文版计划的通知》（国标委发〔2021〕12号），批准了国家标准《体育公园配置要求》（计划号：</w:t>
      </w:r>
      <w:r>
        <w:rPr>
          <w:rFonts w:ascii="宋体" w:hAnsi="宋体"/>
          <w:kern w:val="0"/>
          <w:sz w:val="28"/>
          <w:szCs w:val="28"/>
        </w:rPr>
        <w:t>20210625-T-451</w:t>
      </w:r>
      <w:r>
        <w:rPr>
          <w:rFonts w:hint="eastAsia" w:ascii="宋体" w:hAnsi="宋体"/>
          <w:kern w:val="0"/>
          <w:sz w:val="28"/>
          <w:szCs w:val="28"/>
        </w:rPr>
        <w:t>）的制定立项。</w:t>
      </w:r>
    </w:p>
    <w:p>
      <w:pPr>
        <w:pStyle w:val="30"/>
        <w:ind w:firstLine="560"/>
        <w:rPr>
          <w:rFonts w:ascii="宋体" w:hAnsi="宋体"/>
          <w:kern w:val="0"/>
          <w:sz w:val="28"/>
          <w:szCs w:val="28"/>
        </w:rPr>
      </w:pPr>
      <w:r>
        <w:rPr>
          <w:rFonts w:hint="eastAsia" w:ascii="宋体" w:hAnsi="宋体"/>
          <w:kern w:val="0"/>
          <w:sz w:val="28"/>
          <w:szCs w:val="28"/>
        </w:rPr>
        <w:t>（二）</w:t>
      </w:r>
      <w:r>
        <w:rPr>
          <w:rFonts w:ascii="宋体" w:hAnsi="宋体"/>
          <w:kern w:val="0"/>
          <w:sz w:val="28"/>
          <w:szCs w:val="28"/>
        </w:rPr>
        <w:t>标准的</w:t>
      </w:r>
      <w:r>
        <w:rPr>
          <w:rFonts w:hint="eastAsia" w:ascii="宋体" w:hAnsi="宋体"/>
          <w:kern w:val="0"/>
          <w:sz w:val="28"/>
          <w:szCs w:val="28"/>
        </w:rPr>
        <w:t>起草</w:t>
      </w:r>
      <w:r>
        <w:rPr>
          <w:rFonts w:ascii="宋体" w:hAnsi="宋体"/>
          <w:kern w:val="0"/>
          <w:sz w:val="28"/>
          <w:szCs w:val="28"/>
        </w:rPr>
        <w:t>单位</w:t>
      </w:r>
      <w:r>
        <w:rPr>
          <w:rFonts w:hint="eastAsia" w:ascii="宋体" w:hAnsi="宋体"/>
          <w:kern w:val="0"/>
          <w:sz w:val="28"/>
          <w:szCs w:val="28"/>
        </w:rPr>
        <w:t>及起草人</w:t>
      </w:r>
    </w:p>
    <w:p>
      <w:pPr>
        <w:widowControl/>
        <w:spacing w:line="360" w:lineRule="auto"/>
        <w:ind w:firstLine="560" w:firstLineChars="200"/>
        <w:jc w:val="left"/>
        <w:rPr>
          <w:rFonts w:ascii="宋体" w:hAnsi="宋体"/>
          <w:kern w:val="0"/>
          <w:sz w:val="28"/>
          <w:szCs w:val="28"/>
        </w:rPr>
      </w:pPr>
      <w:r>
        <w:rPr>
          <w:rFonts w:hint="eastAsia" w:ascii="宋体" w:hAnsi="宋体"/>
          <w:kern w:val="0"/>
          <w:sz w:val="28"/>
          <w:szCs w:val="28"/>
        </w:rPr>
        <w:t>本标准的起草单位为：。</w:t>
      </w:r>
    </w:p>
    <w:p>
      <w:pPr>
        <w:widowControl/>
        <w:spacing w:line="360" w:lineRule="auto"/>
        <w:ind w:firstLine="560" w:firstLineChars="200"/>
        <w:jc w:val="left"/>
        <w:rPr>
          <w:rFonts w:ascii="宋体" w:hAnsi="宋体"/>
          <w:kern w:val="0"/>
          <w:sz w:val="28"/>
          <w:szCs w:val="28"/>
        </w:rPr>
      </w:pPr>
      <w:r>
        <w:rPr>
          <w:rFonts w:hint="eastAsia" w:ascii="宋体" w:hAnsi="宋体"/>
          <w:kern w:val="0"/>
          <w:sz w:val="28"/>
          <w:szCs w:val="28"/>
        </w:rPr>
        <w:t>本标准的主要起草人为：</w:t>
      </w:r>
    </w:p>
    <w:p>
      <w:pPr>
        <w:spacing w:line="360" w:lineRule="auto"/>
        <w:ind w:firstLine="560" w:firstLineChars="200"/>
        <w:jc w:val="left"/>
        <w:rPr>
          <w:rFonts w:ascii="宋体" w:hAnsi="宋体"/>
          <w:kern w:val="0"/>
          <w:sz w:val="28"/>
          <w:szCs w:val="28"/>
        </w:rPr>
      </w:pPr>
      <w:r>
        <w:rPr>
          <w:rFonts w:hint="eastAsia" w:ascii="宋体" w:hAnsi="宋体"/>
          <w:kern w:val="0"/>
          <w:sz w:val="28"/>
          <w:szCs w:val="28"/>
        </w:rPr>
        <w:t>（三）主要工作过程</w:t>
      </w:r>
    </w:p>
    <w:p>
      <w:pPr>
        <w:spacing w:line="360" w:lineRule="auto"/>
        <w:ind w:firstLine="560" w:firstLineChars="200"/>
        <w:jc w:val="left"/>
        <w:rPr>
          <w:rFonts w:ascii="宋体" w:hAnsi="宋体"/>
          <w:kern w:val="0"/>
          <w:sz w:val="28"/>
          <w:szCs w:val="28"/>
        </w:rPr>
      </w:pPr>
      <w:r>
        <w:rPr>
          <w:rFonts w:hint="eastAsia" w:ascii="宋体" w:hAnsi="宋体"/>
          <w:kern w:val="0"/>
          <w:sz w:val="28"/>
          <w:szCs w:val="28"/>
        </w:rPr>
        <w:t>1．建组与调研阶段</w:t>
      </w:r>
    </w:p>
    <w:p>
      <w:pPr>
        <w:spacing w:line="360" w:lineRule="auto"/>
        <w:ind w:firstLine="560" w:firstLineChars="200"/>
        <w:jc w:val="left"/>
        <w:rPr>
          <w:rFonts w:ascii="宋体" w:hAnsi="宋体"/>
          <w:kern w:val="0"/>
          <w:sz w:val="28"/>
          <w:szCs w:val="28"/>
        </w:rPr>
      </w:pPr>
      <w:r>
        <w:rPr>
          <w:rFonts w:hint="eastAsia" w:ascii="宋体" w:hAnsi="宋体"/>
          <w:kern w:val="0"/>
          <w:sz w:val="28"/>
          <w:szCs w:val="28"/>
        </w:rPr>
        <w:t>2021年6月，体育总局群体司、经济司共同组织召开了《体育公园配置要求》国家标准编制工作沟通会，群体司、经济司对标准制定工作提出了具体要求，江苏、浙江、湖北、重庆等地方体育部门分享了体育公园建设推动情况的经验介绍，有关企业介绍了体育公园建设的成功案例。</w:t>
      </w:r>
    </w:p>
    <w:p>
      <w:pPr>
        <w:spacing w:line="360" w:lineRule="auto"/>
        <w:ind w:firstLine="560" w:firstLineChars="200"/>
        <w:jc w:val="left"/>
        <w:rPr>
          <w:rFonts w:ascii="宋体" w:hAnsi="宋体"/>
          <w:kern w:val="0"/>
          <w:sz w:val="28"/>
          <w:szCs w:val="28"/>
        </w:rPr>
      </w:pPr>
      <w:r>
        <w:rPr>
          <w:rFonts w:hint="eastAsia" w:ascii="宋体" w:hAnsi="宋体"/>
          <w:kern w:val="0"/>
          <w:sz w:val="28"/>
          <w:szCs w:val="28"/>
        </w:rPr>
        <w:t>在标准编制工作前期，组建标准化工作组，拟定工作计划，调研考察了南京市溧水体育公园及周边社区体育公园、北京市东城区龙潭西湖体育公园及方庄体育公园，至南京万德体育产业集团有限公司针对体育健身设施器材开展专项调研。</w:t>
      </w:r>
    </w:p>
    <w:p>
      <w:pPr>
        <w:spacing w:line="360" w:lineRule="auto"/>
        <w:ind w:firstLine="560" w:firstLineChars="200"/>
        <w:jc w:val="left"/>
        <w:rPr>
          <w:rFonts w:ascii="宋体" w:hAnsi="宋体"/>
          <w:kern w:val="0"/>
          <w:sz w:val="28"/>
          <w:szCs w:val="28"/>
        </w:rPr>
      </w:pPr>
      <w:r>
        <w:rPr>
          <w:rFonts w:hint="eastAsia" w:ascii="宋体" w:hAnsi="宋体"/>
          <w:kern w:val="0"/>
          <w:sz w:val="28"/>
          <w:szCs w:val="28"/>
        </w:rPr>
        <w:t>广泛收集国内、国外体育公园建设情况，整理研究分析了英国、美国、日本体育公园发展概况，针对我国体育公园现状、健身者情况、存在的问题进行了分析。</w:t>
      </w:r>
    </w:p>
    <w:p>
      <w:pPr>
        <w:spacing w:line="360" w:lineRule="auto"/>
        <w:ind w:firstLine="560" w:firstLineChars="200"/>
        <w:jc w:val="left"/>
        <w:rPr>
          <w:rFonts w:ascii="宋体" w:hAnsi="宋体"/>
          <w:kern w:val="0"/>
          <w:sz w:val="28"/>
          <w:szCs w:val="28"/>
        </w:rPr>
      </w:pPr>
      <w:r>
        <w:rPr>
          <w:rFonts w:hint="eastAsia" w:ascii="宋体" w:hAnsi="宋体"/>
          <w:kern w:val="0"/>
          <w:sz w:val="28"/>
          <w:szCs w:val="28"/>
        </w:rPr>
        <w:t>将前期实地考察、案头研究作为标准编制的依据，完成标准草案稿。（本阶段工作成果：标准草案稿和编制说明）</w:t>
      </w:r>
    </w:p>
    <w:p>
      <w:pPr>
        <w:spacing w:line="360" w:lineRule="auto"/>
        <w:ind w:firstLine="560" w:firstLineChars="200"/>
        <w:jc w:val="left"/>
        <w:rPr>
          <w:rFonts w:ascii="宋体" w:hAnsi="宋体"/>
          <w:kern w:val="0"/>
          <w:sz w:val="28"/>
          <w:szCs w:val="28"/>
        </w:rPr>
      </w:pPr>
      <w:r>
        <w:rPr>
          <w:rFonts w:hint="eastAsia" w:ascii="宋体" w:hAnsi="宋体"/>
          <w:kern w:val="0"/>
          <w:sz w:val="28"/>
          <w:szCs w:val="28"/>
        </w:rPr>
        <w:t>2．起草阶段</w:t>
      </w:r>
    </w:p>
    <w:p>
      <w:pPr>
        <w:spacing w:line="360" w:lineRule="auto"/>
        <w:ind w:firstLine="560" w:firstLineChars="200"/>
        <w:jc w:val="left"/>
        <w:rPr>
          <w:rFonts w:ascii="宋体" w:hAnsi="宋体"/>
          <w:kern w:val="0"/>
          <w:sz w:val="28"/>
          <w:szCs w:val="28"/>
        </w:rPr>
      </w:pPr>
      <w:r>
        <w:rPr>
          <w:rFonts w:hint="eastAsia" w:ascii="宋体" w:hAnsi="宋体"/>
          <w:kern w:val="0"/>
          <w:sz w:val="28"/>
          <w:szCs w:val="28"/>
        </w:rPr>
        <w:t>2022年2月，开展体育公园标准编制工作参与单位征集工作，截止3月11日共征集地方体育局、总局直属单位、全国体育单项协会、高校、研究检测机构、及体育器材、体育产业企业等135家单位。组织召开线上《体育公园配置要求》国家标准研讨会，研讨会分6组进行，会上各单位代表研讨了标准草案框架，针对标准技术内容提出了建议，共301条。会后整理形成会议纪要、意见汇总表及总结报告。</w:t>
      </w:r>
    </w:p>
    <w:p>
      <w:pPr>
        <w:spacing w:line="360" w:lineRule="auto"/>
        <w:ind w:firstLine="560" w:firstLineChars="200"/>
        <w:jc w:val="left"/>
        <w:rPr>
          <w:rFonts w:ascii="宋体" w:hAnsi="宋体"/>
          <w:kern w:val="0"/>
          <w:sz w:val="28"/>
          <w:szCs w:val="28"/>
        </w:rPr>
      </w:pPr>
      <w:r>
        <w:rPr>
          <w:rFonts w:hint="eastAsia" w:ascii="宋体" w:hAnsi="宋体"/>
          <w:kern w:val="0"/>
          <w:sz w:val="28"/>
          <w:szCs w:val="28"/>
        </w:rPr>
        <w:t>为解决体育公园体育元素与公园风貌协调建设、体育公园绿化面积与铺装面积指标等规划建设方面问题，开展了与国家林业和草原局产业发展规划院的座谈工作，并针对公园的功能分区、配套设施、场地建设、规划布局和周边辐射人口等基本情况，与国家林业和草原局产业发展规划院再次开展北京市东城区龙潭西湖体育公园及方庄体育公园的调研。</w:t>
      </w:r>
    </w:p>
    <w:p>
      <w:pPr>
        <w:spacing w:line="360" w:lineRule="auto"/>
        <w:ind w:firstLine="560" w:firstLineChars="200"/>
        <w:jc w:val="left"/>
        <w:rPr>
          <w:rFonts w:ascii="宋体" w:hAnsi="宋体"/>
          <w:kern w:val="0"/>
          <w:sz w:val="28"/>
          <w:szCs w:val="28"/>
        </w:rPr>
      </w:pPr>
      <w:r>
        <w:rPr>
          <w:rFonts w:hint="eastAsia" w:ascii="宋体" w:hAnsi="宋体"/>
          <w:kern w:val="0"/>
          <w:sz w:val="28"/>
          <w:szCs w:val="28"/>
        </w:rPr>
        <w:t>组织开展向各运动项目管理中心、有关全国性体育社会组织的商请提供在体育公园开展的群众体育运动项目等有关信息的征集工作，截止到6月20日，共22家单位回函。</w:t>
      </w:r>
    </w:p>
    <w:p>
      <w:pPr>
        <w:spacing w:line="360" w:lineRule="auto"/>
        <w:ind w:firstLine="560" w:firstLineChars="200"/>
        <w:jc w:val="left"/>
        <w:rPr>
          <w:rFonts w:ascii="宋体" w:hAnsi="宋体"/>
          <w:kern w:val="0"/>
          <w:sz w:val="28"/>
          <w:szCs w:val="28"/>
        </w:rPr>
      </w:pPr>
      <w:r>
        <w:rPr>
          <w:rFonts w:hint="eastAsia" w:ascii="宋体" w:hAnsi="宋体"/>
          <w:kern w:val="0"/>
          <w:sz w:val="28"/>
          <w:szCs w:val="28"/>
        </w:rPr>
        <w:t>针对体育公园内运动人群数量测算方法开展专题研究，建立数学模型，并形成完整的数据统计思路。</w:t>
      </w:r>
    </w:p>
    <w:p>
      <w:pPr>
        <w:spacing w:line="360" w:lineRule="auto"/>
        <w:ind w:firstLine="560" w:firstLineChars="200"/>
        <w:jc w:val="left"/>
        <w:rPr>
          <w:rFonts w:ascii="宋体" w:hAnsi="宋体"/>
          <w:kern w:val="0"/>
          <w:sz w:val="28"/>
          <w:szCs w:val="28"/>
        </w:rPr>
      </w:pPr>
      <w:r>
        <w:rPr>
          <w:rFonts w:hint="eastAsia" w:ascii="宋体" w:hAnsi="宋体"/>
          <w:kern w:val="0"/>
          <w:sz w:val="28"/>
          <w:szCs w:val="28"/>
        </w:rPr>
        <w:t>标准编制过程中，经常性与国家体育总局群体司做沟通汇报，在进一步调研基础上完善初稿，完成工作组讨论稿。（本阶段工作成果：标准工作组讨论稿和编制说明）</w:t>
      </w:r>
    </w:p>
    <w:p>
      <w:pPr>
        <w:spacing w:line="360" w:lineRule="auto"/>
        <w:ind w:firstLine="560" w:firstLineChars="200"/>
        <w:jc w:val="left"/>
        <w:rPr>
          <w:rFonts w:ascii="宋体" w:hAnsi="宋体"/>
          <w:kern w:val="0"/>
          <w:sz w:val="28"/>
          <w:szCs w:val="28"/>
        </w:rPr>
      </w:pPr>
      <w:r>
        <w:rPr>
          <w:rFonts w:hint="eastAsia" w:ascii="宋体" w:hAnsi="宋体"/>
          <w:kern w:val="0"/>
          <w:sz w:val="28"/>
          <w:szCs w:val="28"/>
        </w:rPr>
        <w:t>（四）制定标准的必要性和意义</w:t>
      </w:r>
    </w:p>
    <w:p>
      <w:pPr>
        <w:spacing w:line="360" w:lineRule="auto"/>
        <w:ind w:firstLine="560" w:firstLineChars="200"/>
        <w:rPr>
          <w:kern w:val="0"/>
          <w:sz w:val="28"/>
          <w:szCs w:val="28"/>
        </w:rPr>
      </w:pPr>
      <w:r>
        <w:rPr>
          <w:rFonts w:hint="eastAsia"/>
          <w:kern w:val="0"/>
          <w:sz w:val="28"/>
          <w:szCs w:val="28"/>
        </w:rPr>
        <w:t>为了落实全民健身国家战略和《健康中国2030规划纲要》，实现体育基本公共服务均等化，充分利用现有公园条件等公共场所配建以体育、大众健身、娱乐休闲为主题的体育公园，为方便百姓参与体育活动健身休闲提供必要场地条件。</w:t>
      </w:r>
    </w:p>
    <w:p>
      <w:pPr>
        <w:spacing w:line="360" w:lineRule="auto"/>
        <w:ind w:firstLine="560" w:firstLineChars="200"/>
        <w:rPr>
          <w:kern w:val="0"/>
          <w:sz w:val="28"/>
          <w:szCs w:val="28"/>
        </w:rPr>
      </w:pPr>
      <w:r>
        <w:rPr>
          <w:rFonts w:hint="eastAsia"/>
          <w:kern w:val="0"/>
          <w:sz w:val="28"/>
          <w:szCs w:val="28"/>
        </w:rPr>
        <w:t>本标准将为体育公园的建设与改造提供参考依据，合理配置体育设施设备，满足不同人群体育煅炼需求，破解群众去哪儿健身难题。</w:t>
      </w:r>
    </w:p>
    <w:p>
      <w:pPr>
        <w:spacing w:line="360" w:lineRule="auto"/>
        <w:ind w:firstLine="560" w:firstLineChars="200"/>
        <w:rPr>
          <w:kern w:val="0"/>
          <w:sz w:val="28"/>
          <w:szCs w:val="28"/>
        </w:rPr>
      </w:pPr>
      <w:r>
        <w:rPr>
          <w:rFonts w:hint="eastAsia"/>
          <w:kern w:val="0"/>
          <w:sz w:val="28"/>
          <w:szCs w:val="28"/>
        </w:rPr>
        <w:t>该标准的制定为体育基本公共服务均等化实现提供了合理路径，最大限度解决体育设施用地难题，实现既有空间的功能叠加，通过分时复用理念，最大限度实现空间、时间和功能的合理布局，体育公园的建设和改造有效提升了群众身边体育设施的保有量，促进体育生活方式的有效形成，促进体育人口的有效提升，以全民健身促进全民健康实现全面小康。</w:t>
      </w:r>
    </w:p>
    <w:p>
      <w:pPr>
        <w:pStyle w:val="2"/>
        <w:spacing w:line="360" w:lineRule="auto"/>
        <w:ind w:firstLine="562" w:firstLineChars="200"/>
        <w:rPr>
          <w:kern w:val="0"/>
          <w:sz w:val="28"/>
          <w:szCs w:val="28"/>
        </w:rPr>
      </w:pPr>
      <w:r>
        <w:rPr>
          <w:rFonts w:hint="eastAsia"/>
          <w:kern w:val="0"/>
          <w:sz w:val="28"/>
          <w:szCs w:val="28"/>
        </w:rPr>
        <w:t>二、标准编制原则与确定标准主要内容的依据</w:t>
      </w:r>
    </w:p>
    <w:p>
      <w:pPr>
        <w:widowControl/>
        <w:spacing w:line="360" w:lineRule="auto"/>
        <w:ind w:firstLine="560" w:firstLineChars="200"/>
        <w:jc w:val="left"/>
        <w:rPr>
          <w:rFonts w:ascii="宋体" w:hAnsi="宋体"/>
          <w:kern w:val="0"/>
          <w:sz w:val="28"/>
          <w:szCs w:val="28"/>
        </w:rPr>
      </w:pPr>
      <w:r>
        <w:rPr>
          <w:rFonts w:hint="eastAsia" w:ascii="宋体" w:hAnsi="宋体"/>
          <w:kern w:val="0"/>
          <w:sz w:val="28"/>
          <w:szCs w:val="28"/>
        </w:rPr>
        <w:t>（一）标准编制原则</w:t>
      </w:r>
    </w:p>
    <w:p>
      <w:pPr>
        <w:spacing w:line="160" w:lineRule="atLeast"/>
        <w:ind w:firstLine="560" w:firstLineChars="200"/>
        <w:rPr>
          <w:rFonts w:ascii="宋体" w:hAnsi="宋体"/>
          <w:color w:val="FF0000"/>
          <w:sz w:val="28"/>
          <w:szCs w:val="28"/>
        </w:rPr>
      </w:pPr>
      <w:r>
        <w:rPr>
          <w:rFonts w:hint="eastAsia" w:ascii="宋体" w:hAnsi="宋体"/>
          <w:sz w:val="28"/>
          <w:szCs w:val="28"/>
        </w:rPr>
        <w:t>标准编制的主要依据：按照GB/T 1.1-2020《标准化工作导则 第1部分：标准化文件的结构和起草规则》进行编制</w:t>
      </w:r>
      <w:r>
        <w:rPr>
          <w:rFonts w:hint="eastAsia" w:ascii="宋体" w:hAnsi="宋体"/>
          <w:color w:val="000000"/>
          <w:sz w:val="28"/>
          <w:szCs w:val="28"/>
        </w:rPr>
        <w:t>。</w:t>
      </w:r>
    </w:p>
    <w:p>
      <w:pPr>
        <w:widowControl/>
        <w:spacing w:line="360" w:lineRule="auto"/>
        <w:ind w:firstLine="560" w:firstLineChars="200"/>
        <w:jc w:val="left"/>
        <w:rPr>
          <w:rFonts w:ascii="宋体" w:hAnsi="宋体"/>
          <w:kern w:val="0"/>
          <w:sz w:val="28"/>
          <w:szCs w:val="28"/>
        </w:rPr>
      </w:pPr>
      <w:r>
        <w:rPr>
          <w:rFonts w:hint="eastAsia" w:ascii="宋体" w:hAnsi="宋体"/>
          <w:kern w:val="0"/>
          <w:sz w:val="28"/>
          <w:szCs w:val="28"/>
        </w:rPr>
        <w:t>（二）</w:t>
      </w:r>
      <w:r>
        <w:rPr>
          <w:rFonts w:ascii="宋体" w:hAnsi="宋体"/>
          <w:kern w:val="0"/>
          <w:sz w:val="28"/>
          <w:szCs w:val="28"/>
        </w:rPr>
        <w:t>本标准主要</w:t>
      </w:r>
      <w:r>
        <w:rPr>
          <w:rFonts w:hint="eastAsia" w:ascii="宋体" w:hAnsi="宋体"/>
          <w:kern w:val="0"/>
          <w:sz w:val="28"/>
          <w:szCs w:val="28"/>
        </w:rPr>
        <w:t>内容</w:t>
      </w:r>
    </w:p>
    <w:p>
      <w:pPr>
        <w:widowControl/>
        <w:spacing w:line="360" w:lineRule="auto"/>
        <w:ind w:firstLine="560" w:firstLineChars="200"/>
        <w:jc w:val="left"/>
        <w:rPr>
          <w:rFonts w:ascii="宋体" w:hAnsi="宋体"/>
          <w:kern w:val="0"/>
          <w:sz w:val="28"/>
          <w:szCs w:val="28"/>
        </w:rPr>
      </w:pPr>
      <w:r>
        <w:rPr>
          <w:rFonts w:hint="eastAsia" w:ascii="宋体" w:hAnsi="宋体"/>
          <w:kern w:val="0"/>
          <w:sz w:val="28"/>
          <w:szCs w:val="28"/>
        </w:rPr>
        <w:t>1.基本要求</w:t>
      </w:r>
    </w:p>
    <w:p>
      <w:pPr>
        <w:widowControl/>
        <w:spacing w:line="360" w:lineRule="auto"/>
        <w:ind w:firstLine="560" w:firstLineChars="200"/>
        <w:jc w:val="left"/>
        <w:rPr>
          <w:rFonts w:ascii="宋体" w:hAnsi="宋体"/>
          <w:kern w:val="0"/>
          <w:sz w:val="28"/>
          <w:szCs w:val="28"/>
        </w:rPr>
      </w:pPr>
      <w:r>
        <w:rPr>
          <w:rFonts w:ascii="宋体" w:hAnsi="宋体"/>
          <w:kern w:val="0"/>
          <w:sz w:val="28"/>
          <w:szCs w:val="28"/>
        </w:rPr>
        <w:t>包括基本原则</w:t>
      </w:r>
      <w:r>
        <w:rPr>
          <w:rFonts w:hint="eastAsia" w:ascii="宋体" w:hAnsi="宋体"/>
          <w:kern w:val="0"/>
          <w:sz w:val="28"/>
          <w:szCs w:val="28"/>
        </w:rPr>
        <w:t>、</w:t>
      </w:r>
      <w:r>
        <w:rPr>
          <w:rFonts w:ascii="宋体" w:hAnsi="宋体"/>
          <w:kern w:val="0"/>
          <w:sz w:val="28"/>
          <w:szCs w:val="28"/>
        </w:rPr>
        <w:t>规划设计</w:t>
      </w:r>
      <w:r>
        <w:rPr>
          <w:rFonts w:hint="eastAsia" w:ascii="宋体" w:hAnsi="宋体"/>
          <w:kern w:val="0"/>
          <w:sz w:val="28"/>
          <w:szCs w:val="28"/>
        </w:rPr>
        <w:t>、</w:t>
      </w:r>
      <w:r>
        <w:rPr>
          <w:rFonts w:ascii="宋体" w:hAnsi="宋体"/>
          <w:kern w:val="0"/>
          <w:sz w:val="28"/>
          <w:szCs w:val="28"/>
        </w:rPr>
        <w:t>选址</w:t>
      </w:r>
      <w:r>
        <w:rPr>
          <w:rFonts w:hint="eastAsia" w:ascii="宋体" w:hAnsi="宋体"/>
          <w:kern w:val="0"/>
          <w:sz w:val="28"/>
          <w:szCs w:val="28"/>
        </w:rPr>
        <w:t>、</w:t>
      </w:r>
      <w:r>
        <w:rPr>
          <w:rFonts w:ascii="宋体" w:hAnsi="宋体"/>
          <w:kern w:val="0"/>
          <w:sz w:val="28"/>
          <w:szCs w:val="28"/>
        </w:rPr>
        <w:t>分级分类</w:t>
      </w:r>
      <w:r>
        <w:rPr>
          <w:rFonts w:hint="eastAsia" w:ascii="宋体" w:hAnsi="宋体"/>
          <w:kern w:val="0"/>
          <w:sz w:val="28"/>
          <w:szCs w:val="28"/>
        </w:rPr>
        <w:t>、</w:t>
      </w:r>
      <w:r>
        <w:rPr>
          <w:rFonts w:ascii="宋体" w:hAnsi="宋体"/>
          <w:kern w:val="0"/>
          <w:sz w:val="28"/>
          <w:szCs w:val="28"/>
        </w:rPr>
        <w:t>用地配比</w:t>
      </w:r>
      <w:r>
        <w:rPr>
          <w:rFonts w:hint="eastAsia" w:ascii="宋体" w:hAnsi="宋体"/>
          <w:kern w:val="0"/>
          <w:sz w:val="28"/>
          <w:szCs w:val="28"/>
        </w:rPr>
        <w:t>、</w:t>
      </w:r>
      <w:r>
        <w:rPr>
          <w:rFonts w:ascii="宋体" w:hAnsi="宋体"/>
          <w:kern w:val="0"/>
          <w:sz w:val="28"/>
          <w:szCs w:val="28"/>
        </w:rPr>
        <w:t>命名</w:t>
      </w:r>
      <w:r>
        <w:rPr>
          <w:rFonts w:hint="eastAsia" w:ascii="宋体" w:hAnsi="宋体"/>
          <w:kern w:val="0"/>
          <w:sz w:val="28"/>
          <w:szCs w:val="28"/>
        </w:rPr>
        <w:t>6项内容。</w:t>
      </w:r>
    </w:p>
    <w:p>
      <w:pPr>
        <w:widowControl/>
        <w:spacing w:line="360" w:lineRule="auto"/>
        <w:ind w:firstLine="560" w:firstLineChars="200"/>
        <w:jc w:val="left"/>
        <w:rPr>
          <w:rFonts w:ascii="宋体" w:hAnsi="宋体"/>
          <w:kern w:val="0"/>
          <w:sz w:val="28"/>
          <w:szCs w:val="28"/>
        </w:rPr>
      </w:pPr>
      <w:r>
        <w:rPr>
          <w:rFonts w:hint="eastAsia" w:ascii="宋体" w:hAnsi="宋体"/>
          <w:kern w:val="0"/>
          <w:sz w:val="28"/>
          <w:szCs w:val="28"/>
        </w:rPr>
        <w:t>2.体育运动配置</w:t>
      </w:r>
    </w:p>
    <w:p>
      <w:pPr>
        <w:widowControl/>
        <w:spacing w:line="360" w:lineRule="auto"/>
        <w:ind w:firstLine="560" w:firstLineChars="200"/>
        <w:jc w:val="left"/>
        <w:rPr>
          <w:rFonts w:ascii="宋体" w:hAnsi="宋体"/>
          <w:kern w:val="0"/>
          <w:sz w:val="28"/>
          <w:szCs w:val="28"/>
        </w:rPr>
      </w:pPr>
      <w:r>
        <w:rPr>
          <w:rFonts w:ascii="宋体" w:hAnsi="宋体"/>
          <w:kern w:val="0"/>
          <w:sz w:val="28"/>
          <w:szCs w:val="28"/>
        </w:rPr>
        <w:t>包括运动项目</w:t>
      </w:r>
      <w:r>
        <w:rPr>
          <w:rFonts w:hint="eastAsia" w:ascii="宋体" w:hAnsi="宋体"/>
          <w:kern w:val="0"/>
          <w:sz w:val="28"/>
          <w:szCs w:val="28"/>
        </w:rPr>
        <w:t>、</w:t>
      </w:r>
      <w:r>
        <w:rPr>
          <w:rFonts w:ascii="宋体" w:hAnsi="宋体"/>
          <w:kern w:val="0"/>
          <w:sz w:val="28"/>
          <w:szCs w:val="28"/>
        </w:rPr>
        <w:t>场地设施</w:t>
      </w:r>
      <w:r>
        <w:rPr>
          <w:rFonts w:hint="eastAsia" w:ascii="宋体" w:hAnsi="宋体"/>
          <w:kern w:val="0"/>
          <w:sz w:val="28"/>
          <w:szCs w:val="28"/>
        </w:rPr>
        <w:t>、</w:t>
      </w:r>
      <w:r>
        <w:rPr>
          <w:rFonts w:ascii="宋体" w:hAnsi="宋体"/>
          <w:kern w:val="0"/>
          <w:sz w:val="28"/>
          <w:szCs w:val="28"/>
        </w:rPr>
        <w:t>器材装备</w:t>
      </w:r>
      <w:r>
        <w:rPr>
          <w:rFonts w:hint="eastAsia" w:ascii="宋体" w:hAnsi="宋体"/>
          <w:kern w:val="0"/>
          <w:sz w:val="28"/>
          <w:szCs w:val="28"/>
        </w:rPr>
        <w:t>3项内容。</w:t>
      </w:r>
    </w:p>
    <w:p>
      <w:pPr>
        <w:widowControl/>
        <w:spacing w:line="360" w:lineRule="auto"/>
        <w:ind w:firstLine="560" w:firstLineChars="200"/>
        <w:jc w:val="left"/>
        <w:rPr>
          <w:rFonts w:ascii="宋体" w:hAnsi="宋体"/>
          <w:kern w:val="0"/>
          <w:sz w:val="28"/>
          <w:szCs w:val="28"/>
        </w:rPr>
      </w:pPr>
      <w:r>
        <w:rPr>
          <w:rFonts w:hint="eastAsia" w:ascii="宋体" w:hAnsi="宋体"/>
          <w:kern w:val="0"/>
          <w:sz w:val="28"/>
          <w:szCs w:val="28"/>
        </w:rPr>
        <w:t>3.赛事活动</w:t>
      </w:r>
    </w:p>
    <w:p>
      <w:pPr>
        <w:widowControl/>
        <w:spacing w:line="360" w:lineRule="auto"/>
        <w:ind w:firstLine="560" w:firstLineChars="200"/>
        <w:jc w:val="left"/>
        <w:rPr>
          <w:rFonts w:ascii="宋体" w:hAnsi="宋体"/>
          <w:kern w:val="0"/>
          <w:sz w:val="28"/>
          <w:szCs w:val="28"/>
        </w:rPr>
      </w:pPr>
      <w:r>
        <w:rPr>
          <w:rFonts w:hint="eastAsia" w:ascii="宋体" w:hAnsi="宋体"/>
          <w:kern w:val="0"/>
          <w:sz w:val="28"/>
          <w:szCs w:val="28"/>
        </w:rPr>
        <w:t>包括体育赛事、体育活动2项内容。</w:t>
      </w:r>
    </w:p>
    <w:p>
      <w:pPr>
        <w:widowControl/>
        <w:spacing w:line="360" w:lineRule="auto"/>
        <w:ind w:firstLine="560" w:firstLineChars="200"/>
        <w:jc w:val="left"/>
        <w:rPr>
          <w:rFonts w:ascii="宋体" w:hAnsi="宋体"/>
          <w:kern w:val="0"/>
          <w:sz w:val="28"/>
          <w:szCs w:val="28"/>
        </w:rPr>
      </w:pPr>
      <w:r>
        <w:rPr>
          <w:rFonts w:hint="eastAsia" w:ascii="宋体" w:hAnsi="宋体"/>
          <w:kern w:val="0"/>
          <w:sz w:val="28"/>
          <w:szCs w:val="28"/>
        </w:rPr>
        <w:t>4.体育文化</w:t>
      </w:r>
    </w:p>
    <w:p>
      <w:pPr>
        <w:widowControl/>
        <w:spacing w:line="360" w:lineRule="auto"/>
        <w:ind w:firstLine="560" w:firstLineChars="200"/>
        <w:jc w:val="left"/>
        <w:rPr>
          <w:rFonts w:ascii="宋体" w:hAnsi="宋体"/>
          <w:kern w:val="0"/>
          <w:sz w:val="28"/>
          <w:szCs w:val="28"/>
        </w:rPr>
      </w:pPr>
      <w:r>
        <w:rPr>
          <w:rFonts w:hint="eastAsia" w:ascii="宋体" w:hAnsi="宋体"/>
          <w:kern w:val="0"/>
          <w:sz w:val="28"/>
          <w:szCs w:val="28"/>
        </w:rPr>
        <w:t>包括体育宣传教育体系、设施宣教系统、解说宣教系统、媒体宣教系统、品牌建设开发5项内容。</w:t>
      </w:r>
    </w:p>
    <w:p>
      <w:pPr>
        <w:widowControl/>
        <w:spacing w:line="360" w:lineRule="auto"/>
        <w:ind w:firstLine="560" w:firstLineChars="200"/>
        <w:jc w:val="left"/>
        <w:rPr>
          <w:rFonts w:ascii="宋体" w:hAnsi="宋体"/>
          <w:kern w:val="0"/>
          <w:sz w:val="28"/>
          <w:szCs w:val="28"/>
        </w:rPr>
      </w:pPr>
      <w:r>
        <w:rPr>
          <w:rFonts w:hint="eastAsia" w:ascii="宋体" w:hAnsi="宋体"/>
          <w:kern w:val="0"/>
          <w:sz w:val="28"/>
          <w:szCs w:val="28"/>
        </w:rPr>
        <w:t>5.服务与管理</w:t>
      </w:r>
    </w:p>
    <w:p>
      <w:pPr>
        <w:widowControl/>
        <w:spacing w:line="360" w:lineRule="auto"/>
        <w:ind w:firstLine="560" w:firstLineChars="200"/>
        <w:jc w:val="left"/>
        <w:rPr>
          <w:rFonts w:ascii="宋体" w:hAnsi="宋体"/>
          <w:kern w:val="0"/>
          <w:sz w:val="28"/>
          <w:szCs w:val="28"/>
        </w:rPr>
      </w:pPr>
      <w:r>
        <w:rPr>
          <w:rFonts w:hint="eastAsia" w:ascii="宋体" w:hAnsi="宋体"/>
          <w:kern w:val="0"/>
          <w:sz w:val="28"/>
          <w:szCs w:val="28"/>
        </w:rPr>
        <w:t>包括运营管理、人员管理、场地设施及运动项目管理、环境管理、信息化管理5项内容。</w:t>
      </w:r>
    </w:p>
    <w:p>
      <w:pPr>
        <w:widowControl/>
        <w:spacing w:line="360" w:lineRule="auto"/>
        <w:ind w:firstLine="560" w:firstLineChars="200"/>
        <w:jc w:val="left"/>
        <w:rPr>
          <w:rFonts w:ascii="宋体" w:hAnsi="宋体"/>
          <w:kern w:val="0"/>
          <w:sz w:val="28"/>
          <w:szCs w:val="28"/>
        </w:rPr>
      </w:pPr>
      <w:r>
        <w:rPr>
          <w:rFonts w:hint="eastAsia" w:ascii="宋体" w:hAnsi="宋体"/>
          <w:kern w:val="0"/>
          <w:sz w:val="28"/>
          <w:szCs w:val="28"/>
        </w:rPr>
        <w:t>6.评价与改进</w:t>
      </w:r>
    </w:p>
    <w:p>
      <w:pPr>
        <w:widowControl/>
        <w:spacing w:line="360" w:lineRule="auto"/>
        <w:ind w:firstLine="560" w:firstLineChars="200"/>
        <w:jc w:val="left"/>
        <w:rPr>
          <w:rFonts w:ascii="宋体" w:hAnsi="宋体"/>
          <w:kern w:val="0"/>
          <w:sz w:val="28"/>
          <w:szCs w:val="28"/>
        </w:rPr>
      </w:pPr>
      <w:r>
        <w:rPr>
          <w:rFonts w:hint="eastAsia" w:ascii="宋体" w:hAnsi="宋体"/>
          <w:kern w:val="0"/>
          <w:sz w:val="28"/>
          <w:szCs w:val="28"/>
        </w:rPr>
        <w:t>包括投诉与处理、持续改进2项内容。</w:t>
      </w:r>
    </w:p>
    <w:p>
      <w:pPr>
        <w:widowControl/>
        <w:spacing w:line="360" w:lineRule="auto"/>
        <w:ind w:firstLine="560" w:firstLineChars="200"/>
        <w:jc w:val="left"/>
        <w:rPr>
          <w:rFonts w:ascii="宋体" w:hAnsi="宋体"/>
          <w:kern w:val="0"/>
          <w:sz w:val="28"/>
          <w:szCs w:val="28"/>
        </w:rPr>
      </w:pPr>
      <w:r>
        <w:rPr>
          <w:rFonts w:hint="eastAsia" w:ascii="宋体" w:hAnsi="宋体"/>
          <w:kern w:val="0"/>
          <w:sz w:val="28"/>
          <w:szCs w:val="28"/>
        </w:rPr>
        <w:t>7.数据统计</w:t>
      </w:r>
    </w:p>
    <w:p>
      <w:pPr>
        <w:widowControl/>
        <w:spacing w:line="360" w:lineRule="auto"/>
        <w:ind w:firstLine="560" w:firstLineChars="200"/>
        <w:jc w:val="left"/>
        <w:rPr>
          <w:rFonts w:ascii="宋体" w:hAnsi="宋体"/>
          <w:kern w:val="0"/>
          <w:sz w:val="28"/>
          <w:szCs w:val="28"/>
        </w:rPr>
      </w:pPr>
      <w:r>
        <w:rPr>
          <w:rFonts w:ascii="宋体" w:hAnsi="宋体"/>
          <w:kern w:val="0"/>
          <w:sz w:val="28"/>
          <w:szCs w:val="28"/>
        </w:rPr>
        <w:t>包括数据统计内容</w:t>
      </w:r>
      <w:r>
        <w:rPr>
          <w:rFonts w:hint="eastAsia" w:ascii="宋体" w:hAnsi="宋体"/>
          <w:kern w:val="0"/>
          <w:sz w:val="28"/>
          <w:szCs w:val="28"/>
        </w:rPr>
        <w:t>、</w:t>
      </w:r>
      <w:r>
        <w:rPr>
          <w:rFonts w:ascii="宋体" w:hAnsi="宋体"/>
          <w:kern w:val="0"/>
          <w:sz w:val="28"/>
          <w:szCs w:val="28"/>
        </w:rPr>
        <w:t>统计方法</w:t>
      </w:r>
      <w:r>
        <w:rPr>
          <w:rFonts w:hint="eastAsia" w:ascii="宋体" w:hAnsi="宋体"/>
          <w:kern w:val="0"/>
          <w:sz w:val="28"/>
          <w:szCs w:val="28"/>
        </w:rPr>
        <w:t>、</w:t>
      </w:r>
      <w:r>
        <w:rPr>
          <w:rFonts w:ascii="宋体" w:hAnsi="宋体"/>
          <w:kern w:val="0"/>
          <w:sz w:val="28"/>
          <w:szCs w:val="28"/>
        </w:rPr>
        <w:t>统计</w:t>
      </w:r>
      <w:r>
        <w:rPr>
          <w:rFonts w:hint="eastAsia" w:ascii="宋体" w:hAnsi="宋体"/>
          <w:kern w:val="0"/>
          <w:sz w:val="28"/>
          <w:szCs w:val="28"/>
        </w:rPr>
        <w:t>具体</w:t>
      </w:r>
      <w:r>
        <w:rPr>
          <w:rFonts w:ascii="宋体" w:hAnsi="宋体"/>
          <w:kern w:val="0"/>
          <w:sz w:val="28"/>
          <w:szCs w:val="28"/>
        </w:rPr>
        <w:t>要求</w:t>
      </w:r>
      <w:r>
        <w:rPr>
          <w:rFonts w:hint="eastAsia" w:ascii="宋体" w:hAnsi="宋体"/>
          <w:kern w:val="0"/>
          <w:sz w:val="28"/>
          <w:szCs w:val="28"/>
        </w:rPr>
        <w:t>3项内容。</w:t>
      </w:r>
    </w:p>
    <w:p>
      <w:pPr>
        <w:spacing w:line="360" w:lineRule="auto"/>
        <w:ind w:firstLine="560" w:firstLineChars="200"/>
        <w:jc w:val="left"/>
        <w:rPr>
          <w:rFonts w:ascii="宋体" w:hAnsi="宋体"/>
          <w:sz w:val="28"/>
          <w:szCs w:val="28"/>
        </w:rPr>
      </w:pPr>
      <w:r>
        <w:rPr>
          <w:rFonts w:hint="eastAsia" w:ascii="宋体" w:hAnsi="宋体"/>
          <w:sz w:val="28"/>
          <w:szCs w:val="28"/>
        </w:rPr>
        <w:t>（三）本标准制定参考的主要依据</w:t>
      </w:r>
    </w:p>
    <w:p>
      <w:pPr>
        <w:spacing w:line="360" w:lineRule="auto"/>
        <w:ind w:firstLine="560" w:firstLineChars="200"/>
        <w:jc w:val="left"/>
        <w:rPr>
          <w:rFonts w:ascii="宋体" w:hAnsi="宋体"/>
          <w:sz w:val="28"/>
          <w:szCs w:val="28"/>
        </w:rPr>
      </w:pPr>
      <w:r>
        <w:rPr>
          <w:rFonts w:hint="eastAsia" w:ascii="宋体" w:hAnsi="宋体"/>
          <w:sz w:val="28"/>
          <w:szCs w:val="28"/>
        </w:rPr>
        <w:t>本标准在制定过程中，查阅了大量国内外的体育公园建设案例及相关标准规范，并进行了体育公园实地调研，制定了《体育公园配置要求》标准。</w:t>
      </w:r>
    </w:p>
    <w:p>
      <w:pPr>
        <w:spacing w:line="360" w:lineRule="auto"/>
        <w:ind w:firstLine="560" w:firstLineChars="200"/>
        <w:jc w:val="left"/>
        <w:rPr>
          <w:rFonts w:ascii="宋体" w:hAnsi="宋体"/>
          <w:sz w:val="28"/>
          <w:szCs w:val="28"/>
        </w:rPr>
      </w:pPr>
      <w:r>
        <w:rPr>
          <w:rFonts w:hint="eastAsia" w:ascii="宋体" w:hAnsi="宋体"/>
          <w:sz w:val="28"/>
          <w:szCs w:val="28"/>
        </w:rPr>
        <w:t>主要参考的文献有：</w:t>
      </w:r>
    </w:p>
    <w:p>
      <w:pPr>
        <w:spacing w:line="360" w:lineRule="auto"/>
        <w:ind w:firstLine="560" w:firstLineChars="200"/>
        <w:jc w:val="left"/>
        <w:rPr>
          <w:rFonts w:ascii="宋体" w:hAnsi="宋体"/>
          <w:sz w:val="28"/>
          <w:szCs w:val="28"/>
        </w:rPr>
      </w:pPr>
      <w:r>
        <w:rPr>
          <w:rFonts w:hint="eastAsia" w:ascii="宋体" w:hAnsi="宋体"/>
          <w:sz w:val="28"/>
          <w:szCs w:val="28"/>
        </w:rPr>
        <w:t>GB 3095  环境空气质量标准</w:t>
      </w:r>
    </w:p>
    <w:p>
      <w:pPr>
        <w:spacing w:line="360" w:lineRule="auto"/>
        <w:ind w:firstLine="560" w:firstLineChars="200"/>
        <w:jc w:val="left"/>
        <w:rPr>
          <w:rFonts w:ascii="宋体" w:hAnsi="宋体"/>
          <w:sz w:val="28"/>
          <w:szCs w:val="28"/>
        </w:rPr>
      </w:pPr>
      <w:r>
        <w:rPr>
          <w:rFonts w:hint="eastAsia" w:ascii="宋体" w:hAnsi="宋体"/>
          <w:sz w:val="28"/>
          <w:szCs w:val="28"/>
        </w:rPr>
        <w:t>GB 3096  声环境质量标准</w:t>
      </w:r>
    </w:p>
    <w:p>
      <w:pPr>
        <w:spacing w:line="360" w:lineRule="auto"/>
        <w:ind w:firstLine="560" w:firstLineChars="200"/>
        <w:jc w:val="left"/>
        <w:rPr>
          <w:rFonts w:ascii="宋体" w:hAnsi="宋体"/>
          <w:sz w:val="28"/>
          <w:szCs w:val="28"/>
        </w:rPr>
      </w:pPr>
      <w:r>
        <w:rPr>
          <w:rFonts w:hint="eastAsia" w:ascii="宋体" w:hAnsi="宋体"/>
          <w:sz w:val="28"/>
          <w:szCs w:val="28"/>
        </w:rPr>
        <w:t>GB 3097  海水水质标准</w:t>
      </w:r>
    </w:p>
    <w:p>
      <w:pPr>
        <w:spacing w:line="360" w:lineRule="auto"/>
        <w:ind w:firstLine="560" w:firstLineChars="200"/>
        <w:jc w:val="left"/>
        <w:rPr>
          <w:rFonts w:ascii="宋体" w:hAnsi="宋体"/>
          <w:sz w:val="28"/>
          <w:szCs w:val="28"/>
        </w:rPr>
      </w:pPr>
      <w:r>
        <w:rPr>
          <w:rFonts w:hint="eastAsia" w:ascii="宋体" w:hAnsi="宋体"/>
          <w:sz w:val="28"/>
          <w:szCs w:val="28"/>
        </w:rPr>
        <w:t>GB 8978  污水综合排放标准</w:t>
      </w:r>
    </w:p>
    <w:p>
      <w:pPr>
        <w:spacing w:line="360" w:lineRule="auto"/>
        <w:ind w:firstLine="560" w:firstLineChars="200"/>
        <w:jc w:val="left"/>
        <w:rPr>
          <w:rFonts w:ascii="宋体" w:hAnsi="宋体"/>
          <w:sz w:val="28"/>
          <w:szCs w:val="28"/>
        </w:rPr>
      </w:pPr>
      <w:r>
        <w:rPr>
          <w:rFonts w:hint="eastAsia" w:ascii="宋体" w:hAnsi="宋体"/>
          <w:sz w:val="28"/>
          <w:szCs w:val="28"/>
        </w:rPr>
        <w:t>GB/T 10001.1  公共信息图形符号 第1部分：通用符号</w:t>
      </w:r>
    </w:p>
    <w:p>
      <w:pPr>
        <w:spacing w:line="360" w:lineRule="auto"/>
        <w:ind w:firstLine="560" w:firstLineChars="200"/>
        <w:jc w:val="left"/>
        <w:rPr>
          <w:rFonts w:ascii="宋体" w:hAnsi="宋体"/>
          <w:sz w:val="28"/>
          <w:szCs w:val="28"/>
        </w:rPr>
      </w:pPr>
      <w:r>
        <w:rPr>
          <w:rFonts w:hint="eastAsia" w:ascii="宋体" w:hAnsi="宋体"/>
          <w:sz w:val="28"/>
          <w:szCs w:val="28"/>
        </w:rPr>
        <w:t>GB/T 10001.4  公共信息图形符号 第4部分：运动健身符号</w:t>
      </w:r>
    </w:p>
    <w:p>
      <w:pPr>
        <w:spacing w:line="360" w:lineRule="auto"/>
        <w:ind w:firstLine="560" w:firstLineChars="200"/>
        <w:jc w:val="left"/>
        <w:rPr>
          <w:rFonts w:ascii="宋体" w:hAnsi="宋体"/>
          <w:sz w:val="28"/>
          <w:szCs w:val="28"/>
        </w:rPr>
      </w:pPr>
      <w:r>
        <w:rPr>
          <w:rFonts w:hint="eastAsia" w:ascii="宋体" w:hAnsi="宋体"/>
          <w:sz w:val="28"/>
          <w:szCs w:val="28"/>
        </w:rPr>
        <w:t>GB/T 15566.7  公共信息导向系统 设置原则与要求 第7部分: 运动场所</w:t>
      </w:r>
    </w:p>
    <w:p>
      <w:pPr>
        <w:spacing w:line="360" w:lineRule="auto"/>
        <w:ind w:firstLine="560" w:firstLineChars="200"/>
        <w:jc w:val="left"/>
        <w:rPr>
          <w:rFonts w:ascii="宋体" w:hAnsi="宋体"/>
          <w:sz w:val="28"/>
          <w:szCs w:val="28"/>
        </w:rPr>
      </w:pPr>
      <w:r>
        <w:rPr>
          <w:rFonts w:hint="eastAsia" w:ascii="宋体" w:hAnsi="宋体"/>
          <w:sz w:val="28"/>
          <w:szCs w:val="28"/>
        </w:rPr>
        <w:t>GB 15618  土壤环境质量 农用地土壤污染风险管控标准（试行）</w:t>
      </w:r>
    </w:p>
    <w:p>
      <w:pPr>
        <w:spacing w:line="360" w:lineRule="auto"/>
        <w:ind w:firstLine="560" w:firstLineChars="200"/>
        <w:jc w:val="left"/>
        <w:rPr>
          <w:rFonts w:ascii="宋体" w:hAnsi="宋体"/>
          <w:sz w:val="28"/>
          <w:szCs w:val="28"/>
        </w:rPr>
      </w:pPr>
      <w:r>
        <w:rPr>
          <w:rFonts w:hint="eastAsia" w:ascii="宋体" w:hAnsi="宋体"/>
          <w:sz w:val="28"/>
          <w:szCs w:val="28"/>
        </w:rPr>
        <w:t>GB 19079  （所有部分）体育场所开放条件与技术要求</w:t>
      </w:r>
    </w:p>
    <w:p>
      <w:pPr>
        <w:spacing w:line="360" w:lineRule="auto"/>
        <w:ind w:firstLine="560" w:firstLineChars="200"/>
        <w:jc w:val="left"/>
        <w:rPr>
          <w:rFonts w:ascii="宋体" w:hAnsi="宋体"/>
          <w:sz w:val="28"/>
          <w:szCs w:val="28"/>
        </w:rPr>
      </w:pPr>
      <w:r>
        <w:rPr>
          <w:rFonts w:hint="eastAsia" w:ascii="宋体" w:hAnsi="宋体"/>
          <w:sz w:val="28"/>
          <w:szCs w:val="28"/>
        </w:rPr>
        <w:t>GB 19272  室外健身器材的安全 通用要求</w:t>
      </w:r>
    </w:p>
    <w:p>
      <w:pPr>
        <w:spacing w:line="360" w:lineRule="auto"/>
        <w:ind w:firstLine="560" w:firstLineChars="200"/>
        <w:jc w:val="left"/>
        <w:rPr>
          <w:rFonts w:ascii="宋体" w:hAnsi="宋体"/>
          <w:sz w:val="28"/>
          <w:szCs w:val="28"/>
        </w:rPr>
      </w:pPr>
      <w:r>
        <w:rPr>
          <w:rFonts w:hint="eastAsia" w:ascii="宋体" w:hAnsi="宋体"/>
          <w:sz w:val="28"/>
          <w:szCs w:val="28"/>
        </w:rPr>
        <w:t>GB/T 25499  城市污水再生利用 绿地灌溉水质</w:t>
      </w:r>
    </w:p>
    <w:p>
      <w:pPr>
        <w:spacing w:line="360" w:lineRule="auto"/>
        <w:ind w:firstLine="560" w:firstLineChars="200"/>
        <w:jc w:val="left"/>
        <w:rPr>
          <w:rFonts w:ascii="宋体" w:hAnsi="宋体"/>
          <w:sz w:val="28"/>
          <w:szCs w:val="28"/>
        </w:rPr>
      </w:pPr>
      <w:r>
        <w:rPr>
          <w:rFonts w:hint="eastAsia" w:ascii="宋体" w:hAnsi="宋体"/>
          <w:sz w:val="28"/>
          <w:szCs w:val="28"/>
        </w:rPr>
        <w:t>GB/T 34290  公共体育设施 室外健身设施的配置与管理</w:t>
      </w:r>
    </w:p>
    <w:p>
      <w:pPr>
        <w:spacing w:line="360" w:lineRule="auto"/>
        <w:ind w:firstLine="560" w:firstLineChars="200"/>
        <w:jc w:val="left"/>
        <w:rPr>
          <w:rFonts w:ascii="宋体" w:hAnsi="宋体"/>
          <w:sz w:val="28"/>
          <w:szCs w:val="28"/>
        </w:rPr>
      </w:pPr>
      <w:r>
        <w:rPr>
          <w:rFonts w:hint="eastAsia" w:ascii="宋体" w:hAnsi="宋体"/>
          <w:sz w:val="28"/>
          <w:szCs w:val="28"/>
        </w:rPr>
        <w:t>GB/T 34419  城市社区多功能公共运动场配置要求</w:t>
      </w:r>
    </w:p>
    <w:p>
      <w:pPr>
        <w:spacing w:line="360" w:lineRule="auto"/>
        <w:ind w:firstLine="560" w:firstLineChars="200"/>
        <w:jc w:val="left"/>
        <w:rPr>
          <w:rFonts w:ascii="宋体" w:hAnsi="宋体"/>
          <w:sz w:val="28"/>
          <w:szCs w:val="28"/>
        </w:rPr>
      </w:pPr>
      <w:r>
        <w:rPr>
          <w:rFonts w:hint="eastAsia" w:ascii="宋体" w:hAnsi="宋体"/>
          <w:sz w:val="28"/>
          <w:szCs w:val="28"/>
        </w:rPr>
        <w:t>GB 37488  公共场所卫生指标及限值要求</w:t>
      </w:r>
    </w:p>
    <w:p>
      <w:pPr>
        <w:spacing w:line="360" w:lineRule="auto"/>
        <w:ind w:firstLine="560" w:firstLineChars="200"/>
        <w:jc w:val="left"/>
        <w:rPr>
          <w:rFonts w:ascii="宋体" w:hAnsi="宋体"/>
          <w:sz w:val="28"/>
          <w:szCs w:val="28"/>
        </w:rPr>
      </w:pPr>
      <w:r>
        <w:rPr>
          <w:rFonts w:hint="eastAsia" w:ascii="宋体" w:hAnsi="宋体"/>
          <w:sz w:val="28"/>
          <w:szCs w:val="28"/>
        </w:rPr>
        <w:t>GB 50016  建筑设计防火规范</w:t>
      </w:r>
    </w:p>
    <w:p>
      <w:pPr>
        <w:spacing w:line="360" w:lineRule="auto"/>
        <w:ind w:firstLine="560" w:firstLineChars="200"/>
        <w:jc w:val="left"/>
        <w:rPr>
          <w:rFonts w:ascii="宋体" w:hAnsi="宋体"/>
          <w:sz w:val="28"/>
          <w:szCs w:val="28"/>
        </w:rPr>
      </w:pPr>
      <w:r>
        <w:rPr>
          <w:rFonts w:hint="eastAsia" w:ascii="宋体" w:hAnsi="宋体"/>
          <w:sz w:val="28"/>
          <w:szCs w:val="28"/>
        </w:rPr>
        <w:t>GB 50055  通用用电设备配电设计规范</w:t>
      </w:r>
    </w:p>
    <w:p>
      <w:pPr>
        <w:spacing w:line="360" w:lineRule="auto"/>
        <w:ind w:firstLine="560" w:firstLineChars="200"/>
        <w:jc w:val="left"/>
        <w:rPr>
          <w:rFonts w:ascii="宋体" w:hAnsi="宋体"/>
          <w:sz w:val="28"/>
          <w:szCs w:val="28"/>
        </w:rPr>
      </w:pPr>
      <w:r>
        <w:rPr>
          <w:rFonts w:hint="eastAsia" w:ascii="宋体" w:hAnsi="宋体"/>
          <w:sz w:val="28"/>
          <w:szCs w:val="28"/>
        </w:rPr>
        <w:t>GB 50057  建筑物防雷设计 规范</w:t>
      </w:r>
    </w:p>
    <w:p>
      <w:pPr>
        <w:spacing w:line="360" w:lineRule="auto"/>
        <w:ind w:firstLine="560" w:firstLineChars="200"/>
        <w:jc w:val="left"/>
        <w:rPr>
          <w:rFonts w:ascii="宋体" w:hAnsi="宋体"/>
          <w:sz w:val="28"/>
          <w:szCs w:val="28"/>
        </w:rPr>
      </w:pPr>
      <w:r>
        <w:rPr>
          <w:rFonts w:hint="eastAsia" w:ascii="宋体" w:hAnsi="宋体"/>
          <w:sz w:val="28"/>
          <w:szCs w:val="28"/>
        </w:rPr>
        <w:t>GB 50180  城市居住区规划设计标准</w:t>
      </w:r>
    </w:p>
    <w:p>
      <w:pPr>
        <w:spacing w:line="360" w:lineRule="auto"/>
        <w:ind w:firstLine="560" w:firstLineChars="200"/>
        <w:jc w:val="left"/>
        <w:rPr>
          <w:rFonts w:ascii="宋体" w:hAnsi="宋体"/>
          <w:sz w:val="28"/>
          <w:szCs w:val="28"/>
        </w:rPr>
      </w:pPr>
      <w:r>
        <w:rPr>
          <w:rFonts w:hint="eastAsia" w:ascii="宋体" w:hAnsi="宋体"/>
          <w:sz w:val="28"/>
          <w:szCs w:val="28"/>
        </w:rPr>
        <w:t>GB 50763  无障碍设计规范</w:t>
      </w:r>
    </w:p>
    <w:p>
      <w:pPr>
        <w:spacing w:line="360" w:lineRule="auto"/>
        <w:ind w:firstLine="560" w:firstLineChars="200"/>
        <w:jc w:val="left"/>
        <w:rPr>
          <w:rFonts w:ascii="宋体" w:hAnsi="宋体"/>
          <w:sz w:val="28"/>
          <w:szCs w:val="28"/>
        </w:rPr>
      </w:pPr>
      <w:r>
        <w:rPr>
          <w:rFonts w:hint="eastAsia" w:ascii="宋体" w:hAnsi="宋体"/>
          <w:sz w:val="28"/>
          <w:szCs w:val="28"/>
        </w:rPr>
        <w:t>GB 51192  公园设计规范</w:t>
      </w:r>
    </w:p>
    <w:p>
      <w:pPr>
        <w:spacing w:line="360" w:lineRule="auto"/>
        <w:ind w:firstLine="560" w:firstLineChars="200"/>
        <w:jc w:val="left"/>
        <w:rPr>
          <w:rFonts w:ascii="宋体" w:hAnsi="宋体"/>
          <w:sz w:val="28"/>
          <w:szCs w:val="28"/>
        </w:rPr>
      </w:pPr>
      <w:r>
        <w:rPr>
          <w:rFonts w:hint="eastAsia" w:ascii="宋体" w:hAnsi="宋体"/>
          <w:sz w:val="28"/>
          <w:szCs w:val="28"/>
        </w:rPr>
        <w:t>CJJ 14  城市公共厕所规划和设计标准</w:t>
      </w:r>
    </w:p>
    <w:p>
      <w:pPr>
        <w:spacing w:line="360" w:lineRule="auto"/>
        <w:ind w:firstLine="560" w:firstLineChars="200"/>
        <w:jc w:val="left"/>
        <w:rPr>
          <w:rFonts w:ascii="宋体" w:hAnsi="宋体"/>
          <w:sz w:val="28"/>
          <w:szCs w:val="28"/>
        </w:rPr>
      </w:pPr>
      <w:r>
        <w:rPr>
          <w:rFonts w:hint="eastAsia" w:ascii="宋体" w:hAnsi="宋体"/>
          <w:sz w:val="28"/>
          <w:szCs w:val="28"/>
        </w:rPr>
        <w:t>JC/T 1050  地面石材防滑性能等级划分及试验方法</w:t>
      </w:r>
    </w:p>
    <w:p>
      <w:pPr>
        <w:spacing w:line="360" w:lineRule="auto"/>
        <w:ind w:firstLine="560" w:firstLineChars="200"/>
        <w:jc w:val="left"/>
        <w:rPr>
          <w:rFonts w:ascii="宋体" w:hAnsi="宋体"/>
          <w:sz w:val="28"/>
          <w:szCs w:val="28"/>
        </w:rPr>
      </w:pPr>
      <w:r>
        <w:rPr>
          <w:rFonts w:hint="eastAsia" w:ascii="宋体" w:hAnsi="宋体"/>
          <w:sz w:val="28"/>
          <w:szCs w:val="28"/>
        </w:rPr>
        <w:t>JG/T 191  城市社区体育设施技术要求</w:t>
      </w:r>
    </w:p>
    <w:p>
      <w:pPr>
        <w:spacing w:line="360" w:lineRule="auto"/>
        <w:ind w:firstLine="560" w:firstLineChars="200"/>
        <w:jc w:val="left"/>
        <w:rPr>
          <w:rFonts w:ascii="宋体" w:hAnsi="宋体"/>
          <w:sz w:val="28"/>
          <w:szCs w:val="28"/>
        </w:rPr>
      </w:pPr>
      <w:r>
        <w:rPr>
          <w:rFonts w:hint="eastAsia" w:ascii="宋体" w:hAnsi="宋体"/>
          <w:sz w:val="28"/>
          <w:szCs w:val="28"/>
        </w:rPr>
        <w:t>JGJ 153  体育场馆照明设计及检测标准</w:t>
      </w:r>
    </w:p>
    <w:p>
      <w:pPr>
        <w:spacing w:line="360" w:lineRule="auto"/>
        <w:ind w:firstLine="560" w:firstLineChars="200"/>
        <w:jc w:val="left"/>
        <w:rPr>
          <w:rFonts w:ascii="宋体" w:hAnsi="宋体"/>
          <w:sz w:val="28"/>
          <w:szCs w:val="28"/>
        </w:rPr>
      </w:pPr>
      <w:r>
        <w:rPr>
          <w:rFonts w:hint="eastAsia" w:ascii="宋体" w:hAnsi="宋体"/>
          <w:sz w:val="28"/>
          <w:szCs w:val="28"/>
        </w:rPr>
        <w:t>JTG F40  公路沥青路面施工技术规范</w:t>
      </w:r>
    </w:p>
    <w:p>
      <w:pPr>
        <w:spacing w:line="360" w:lineRule="auto"/>
        <w:ind w:firstLine="560" w:firstLineChars="200"/>
        <w:jc w:val="left"/>
        <w:rPr>
          <w:rFonts w:ascii="宋体" w:hAnsi="宋体"/>
          <w:sz w:val="28"/>
          <w:szCs w:val="28"/>
        </w:rPr>
      </w:pPr>
      <w:r>
        <w:rPr>
          <w:rFonts w:hint="eastAsia" w:ascii="宋体" w:hAnsi="宋体"/>
          <w:sz w:val="28"/>
          <w:szCs w:val="28"/>
        </w:rPr>
        <w:t>JY/T 0627  小篮球场地建设与器材配备规范</w:t>
      </w:r>
    </w:p>
    <w:p>
      <w:pPr>
        <w:pStyle w:val="2"/>
        <w:spacing w:line="360" w:lineRule="auto"/>
        <w:ind w:firstLine="562" w:firstLineChars="200"/>
        <w:rPr>
          <w:sz w:val="28"/>
          <w:szCs w:val="28"/>
        </w:rPr>
      </w:pPr>
      <w:r>
        <w:rPr>
          <w:rFonts w:hint="eastAsia"/>
          <w:sz w:val="28"/>
          <w:szCs w:val="28"/>
        </w:rPr>
        <w:t>三、主要条款的说明，主要技术指标、参数和试验验证分析</w:t>
      </w:r>
    </w:p>
    <w:p>
      <w:pPr>
        <w:spacing w:line="360" w:lineRule="auto"/>
        <w:ind w:firstLine="560" w:firstLineChars="200"/>
        <w:jc w:val="left"/>
        <w:rPr>
          <w:rFonts w:ascii="宋体" w:hAnsi="宋体" w:cs="仿宋"/>
          <w:sz w:val="28"/>
          <w:szCs w:val="28"/>
        </w:rPr>
      </w:pPr>
      <w:r>
        <w:rPr>
          <w:rFonts w:hint="eastAsia" w:ascii="宋体" w:hAnsi="宋体" w:cs="仿宋"/>
          <w:sz w:val="28"/>
          <w:szCs w:val="28"/>
        </w:rPr>
        <w:t>体育公园的分级分类按照《关于推进体育公园建设的指导意见》（发改社会〔2021〕1497号）（下简称《指导意见》）中要求，将体育公园按照其面积规模分为“不低于10万平方米的体育公园”、“不低于6万平方米的体育公园”和“不低于4万平方米的体育公园”。为扩大标准的适用范围，在《指导意见》文件要求的基础上，对“4万平方米以下的体育公园”进行了兼顾，共分为微型、小型、中型、大型4类体育公园。</w:t>
      </w:r>
    </w:p>
    <w:p>
      <w:pPr>
        <w:spacing w:line="360" w:lineRule="auto"/>
        <w:ind w:firstLine="560" w:firstLineChars="200"/>
        <w:jc w:val="left"/>
        <w:rPr>
          <w:rFonts w:ascii="宋体" w:hAnsi="宋体" w:cs="仿宋"/>
          <w:sz w:val="28"/>
          <w:szCs w:val="28"/>
        </w:rPr>
      </w:pPr>
      <w:r>
        <w:rPr>
          <w:rFonts w:hint="eastAsia" w:ascii="宋体" w:hAnsi="宋体" w:cs="仿宋"/>
          <w:sz w:val="28"/>
          <w:szCs w:val="28"/>
        </w:rPr>
        <w:t>体育公园的绿化用地面积占比指标，综合《指导意见》与《公园设计规范》（GB 51192-2016）的规定，保障体育公园建设的可行性，采用体育公园绿化用地占公园陆地面积的比例应不低于65%。</w:t>
      </w:r>
    </w:p>
    <w:p>
      <w:pPr>
        <w:spacing w:line="360" w:lineRule="auto"/>
        <w:ind w:firstLine="560" w:firstLineChars="200"/>
        <w:jc w:val="left"/>
        <w:rPr>
          <w:rFonts w:ascii="宋体" w:hAnsi="宋体" w:cs="仿宋"/>
          <w:sz w:val="28"/>
          <w:szCs w:val="28"/>
        </w:rPr>
      </w:pPr>
      <w:r>
        <w:rPr>
          <w:rFonts w:hint="eastAsia" w:ascii="宋体" w:hAnsi="宋体" w:cs="仿宋"/>
          <w:sz w:val="28"/>
          <w:szCs w:val="28"/>
        </w:rPr>
        <w:t>为解决体育公园中健身设施用地占比与体育公园的园路及铺装场地面积占比的矛盾冲突，标准中提出了各运动项目在自然场地上开展活动的要求，鼓励在自然场地上开展运动，在健身广场、健身步道、常规球类运动场地等铺装场地上开展多项运动，多功能复用场地，合理建设铺装运动场地，充分利用体育公园的空间资源，为运动群众提供更为丰富的体育设施。</w:t>
      </w:r>
    </w:p>
    <w:p>
      <w:pPr>
        <w:spacing w:line="360" w:lineRule="auto"/>
        <w:ind w:firstLine="560" w:firstLineChars="200"/>
        <w:jc w:val="left"/>
        <w:rPr>
          <w:rFonts w:ascii="宋体" w:hAnsi="宋体" w:cs="仿宋"/>
          <w:sz w:val="28"/>
          <w:szCs w:val="28"/>
        </w:rPr>
      </w:pPr>
      <w:r>
        <w:rPr>
          <w:rFonts w:ascii="宋体" w:hAnsi="宋体" w:cs="仿宋"/>
          <w:sz w:val="28"/>
          <w:szCs w:val="28"/>
        </w:rPr>
        <w:t>体育公园建设过程中应注重体育元素与公园风貌的互适性</w:t>
      </w:r>
      <w:r>
        <w:rPr>
          <w:rFonts w:hint="eastAsia" w:ascii="宋体" w:hAnsi="宋体" w:cs="仿宋"/>
          <w:sz w:val="28"/>
          <w:szCs w:val="28"/>
        </w:rPr>
        <w:t>，使体育运动与公园景观融合自然协调，公园景观环境应为体育活动的参与者提供舒适的自然环境、连续且优美的景观观赏面、良好的遮阴环境、必要的日照条件、必要的服务设施、适宜的夜间照明及夜景环境，以保障公园景观不受影响且体育活动参与者在进行体育运动时可保持精神放松、愉悦。</w:t>
      </w:r>
    </w:p>
    <w:p>
      <w:pPr>
        <w:spacing w:line="360" w:lineRule="auto"/>
        <w:ind w:firstLine="560" w:firstLineChars="200"/>
        <w:jc w:val="left"/>
        <w:rPr>
          <w:rFonts w:ascii="宋体" w:hAnsi="宋体" w:cs="仿宋"/>
          <w:sz w:val="28"/>
          <w:szCs w:val="28"/>
        </w:rPr>
      </w:pPr>
      <w:r>
        <w:rPr>
          <w:rFonts w:hint="eastAsia" w:ascii="宋体" w:hAnsi="宋体" w:cs="仿宋"/>
          <w:sz w:val="28"/>
          <w:szCs w:val="28"/>
        </w:rPr>
        <w:t>除体育公园的硬件设施配置外，体育公园内还应开展体育相关赛事活动、文化宣教等活动，提高体育公园的服务水平。标准中对体育公园中开展体育赛事进行了要求。体育公园的建设改造过程中应合理规划用于举办群众性赛事或竞技赛事的场地、配套设施，并对不同级别的体育公园每年应开展体育赛事的次数进行了规定。为保障体育赛事在体育公园中安全、顺利开展，体育公园运营方应检查申办赛事主体的资质条件，并按照相关组织管理要求对体育赛事进行监督检查。</w:t>
      </w:r>
    </w:p>
    <w:p>
      <w:pPr>
        <w:spacing w:line="360" w:lineRule="auto"/>
        <w:ind w:firstLine="560" w:firstLineChars="200"/>
        <w:jc w:val="left"/>
        <w:rPr>
          <w:rFonts w:ascii="宋体" w:hAnsi="宋体" w:cs="仿宋"/>
          <w:sz w:val="28"/>
          <w:szCs w:val="28"/>
        </w:rPr>
      </w:pPr>
      <w:r>
        <w:rPr>
          <w:rFonts w:hint="eastAsia" w:ascii="宋体" w:hAnsi="宋体" w:cs="仿宋"/>
          <w:sz w:val="28"/>
          <w:szCs w:val="28"/>
        </w:rPr>
        <w:t>同时标准对租用体育公园场地开展培训活动的青少年体育俱乐部提出了要求，依据《课外体育培训行为规范的要求》的要求，青少年体育俱乐部应具备俱乐部开办资质、场地人均面积、执教人员资质、培训材料等条件，体育公园运营方应做好俱乐部资质条件的审查工作，避免不符合要求的俱乐部在体育公园中开展活动，保障参与培训人员的权益。</w:t>
      </w:r>
    </w:p>
    <w:p>
      <w:pPr>
        <w:spacing w:line="360" w:lineRule="auto"/>
        <w:ind w:firstLine="560" w:firstLineChars="200"/>
        <w:jc w:val="left"/>
        <w:rPr>
          <w:rFonts w:ascii="宋体" w:hAnsi="宋体" w:cs="仿宋"/>
          <w:sz w:val="28"/>
          <w:szCs w:val="28"/>
        </w:rPr>
      </w:pPr>
      <w:r>
        <w:rPr>
          <w:rFonts w:hint="eastAsia" w:ascii="宋体" w:hAnsi="宋体" w:cs="仿宋"/>
          <w:sz w:val="28"/>
          <w:szCs w:val="28"/>
        </w:rPr>
        <w:t>为积极响应体教融合政策，配合体育中高考改革，为中小学生提供日常健身、训练、备考的场地，标准要求体育公园使用固定的时间段，划分固定区域，为服务半径内的中、小学生提供长短跑、引体向上、仰卧起坐、实心球、足球、篮球、排球等对应项目的活动场地。</w:t>
      </w:r>
    </w:p>
    <w:p>
      <w:pPr>
        <w:spacing w:line="360" w:lineRule="auto"/>
        <w:ind w:firstLine="560" w:firstLineChars="200"/>
        <w:jc w:val="left"/>
        <w:rPr>
          <w:rFonts w:ascii="宋体" w:hAnsi="宋体" w:cs="仿宋"/>
          <w:sz w:val="28"/>
          <w:szCs w:val="28"/>
        </w:rPr>
      </w:pPr>
      <w:r>
        <w:rPr>
          <w:rFonts w:hint="eastAsia" w:ascii="宋体" w:hAnsi="宋体" w:cs="仿宋"/>
          <w:sz w:val="28"/>
          <w:szCs w:val="28"/>
        </w:rPr>
        <w:t>体育公园的建设要体现体育文化元素，体现地域性、民族性以及我国传统文化特征。标准参考国家湿地公园宣教工作，对体育公园的体育文化宣教提出了系统要求。鼓励体育公园建立体育文化宣传教育体系，确立体育文化宣教主题。</w:t>
      </w:r>
    </w:p>
    <w:p>
      <w:pPr>
        <w:spacing w:line="360" w:lineRule="auto"/>
        <w:ind w:firstLine="560" w:firstLineChars="200"/>
        <w:jc w:val="left"/>
        <w:rPr>
          <w:rFonts w:ascii="宋体" w:hAnsi="宋体" w:cs="仿宋"/>
          <w:sz w:val="28"/>
          <w:szCs w:val="28"/>
        </w:rPr>
      </w:pPr>
      <w:r>
        <w:rPr>
          <w:rFonts w:hint="eastAsia" w:ascii="宋体" w:hAnsi="宋体" w:cs="仿宋"/>
          <w:sz w:val="28"/>
          <w:szCs w:val="28"/>
        </w:rPr>
        <w:t>体育公园的建设还应注重智慧化建设，包括智慧化体育设施、智慧化管理设施的建设。鼓励公园建立信息化公共服务平台，实现场地预定、电子导航、健身指导、运动分析、体质监测、交流互动、赛事参与等功能，提升体育公园综合服务水平。</w:t>
      </w:r>
    </w:p>
    <w:p>
      <w:pPr>
        <w:spacing w:line="360" w:lineRule="auto"/>
        <w:ind w:firstLine="560" w:firstLineChars="200"/>
        <w:jc w:val="left"/>
        <w:rPr>
          <w:rFonts w:ascii="宋体" w:hAnsi="宋体" w:cs="仿宋"/>
          <w:sz w:val="28"/>
          <w:szCs w:val="28"/>
        </w:rPr>
      </w:pPr>
      <w:r>
        <w:rPr>
          <w:rFonts w:hint="eastAsia" w:ascii="宋体" w:hAnsi="宋体" w:cs="仿宋"/>
          <w:sz w:val="28"/>
          <w:szCs w:val="28"/>
        </w:rPr>
        <w:t>体育公园的运动人群数量是评价体育公园在“体育”功能中发挥效能的重要指标，标准要求体育公园应建立健全信息化管理制度，对公园的入园人数、用地面积、运营管理等数据进行基础统计工作，且重视数据安全的管理。体育公园的运动人群数量统计可以通过数学统计分析或实时监测的方式实现。标准中给出了运动人群数量数学统计分析的方法。</w:t>
      </w:r>
    </w:p>
    <w:p>
      <w:pPr>
        <w:pStyle w:val="2"/>
        <w:spacing w:line="360" w:lineRule="auto"/>
        <w:ind w:firstLine="562" w:firstLineChars="200"/>
        <w:rPr>
          <w:kern w:val="0"/>
          <w:sz w:val="28"/>
          <w:szCs w:val="28"/>
        </w:rPr>
      </w:pPr>
      <w:r>
        <w:rPr>
          <w:kern w:val="0"/>
          <w:sz w:val="28"/>
          <w:szCs w:val="28"/>
        </w:rPr>
        <w:t>四、本标准采用国际</w:t>
      </w:r>
      <w:r>
        <w:rPr>
          <w:rFonts w:hint="eastAsia"/>
          <w:kern w:val="0"/>
          <w:sz w:val="28"/>
          <w:szCs w:val="28"/>
        </w:rPr>
        <w:t>和国外先进标准的，说明采标程度，以及与国内外同类标准水平的对比情况。</w:t>
      </w:r>
    </w:p>
    <w:p>
      <w:pPr>
        <w:widowControl/>
        <w:spacing w:line="360" w:lineRule="auto"/>
        <w:ind w:firstLine="560" w:firstLineChars="200"/>
        <w:jc w:val="left"/>
        <w:rPr>
          <w:rFonts w:ascii="宋体" w:hAnsi="宋体"/>
          <w:kern w:val="0"/>
          <w:sz w:val="28"/>
          <w:szCs w:val="28"/>
        </w:rPr>
      </w:pPr>
      <w:r>
        <w:rPr>
          <w:rFonts w:hint="eastAsia" w:ascii="宋体" w:hAnsi="宋体"/>
          <w:kern w:val="0"/>
          <w:sz w:val="28"/>
          <w:szCs w:val="28"/>
        </w:rPr>
        <w:t>本标准为首次自主制定，未采用国际和国外标准，不涉及国际国外标准采标情况。</w:t>
      </w:r>
    </w:p>
    <w:p>
      <w:pPr>
        <w:pStyle w:val="2"/>
        <w:spacing w:line="360" w:lineRule="auto"/>
        <w:ind w:firstLine="562" w:firstLineChars="200"/>
        <w:rPr>
          <w:kern w:val="0"/>
          <w:sz w:val="28"/>
          <w:szCs w:val="28"/>
        </w:rPr>
      </w:pPr>
      <w:r>
        <w:rPr>
          <w:kern w:val="0"/>
          <w:sz w:val="28"/>
          <w:szCs w:val="28"/>
        </w:rPr>
        <w:t>五、与有关的现行法律、法规和强制性国家标准的关系</w:t>
      </w:r>
    </w:p>
    <w:p>
      <w:pPr>
        <w:widowControl/>
        <w:spacing w:line="360" w:lineRule="auto"/>
        <w:ind w:firstLine="560" w:firstLineChars="200"/>
        <w:jc w:val="left"/>
        <w:rPr>
          <w:rFonts w:ascii="宋体" w:hAnsi="宋体"/>
          <w:kern w:val="0"/>
          <w:sz w:val="28"/>
          <w:szCs w:val="28"/>
        </w:rPr>
      </w:pPr>
      <w:r>
        <w:rPr>
          <w:rFonts w:hint="eastAsia" w:ascii="宋体" w:hAnsi="宋体"/>
          <w:kern w:val="0"/>
          <w:sz w:val="28"/>
          <w:szCs w:val="28"/>
        </w:rPr>
        <w:t>本标准内容符合国家现行法律、法规要求，并与参照采用的相关标准有一定的对应关系。</w:t>
      </w:r>
    </w:p>
    <w:p>
      <w:pPr>
        <w:pStyle w:val="2"/>
        <w:spacing w:line="360" w:lineRule="auto"/>
        <w:ind w:firstLine="562" w:firstLineChars="200"/>
        <w:rPr>
          <w:kern w:val="0"/>
          <w:sz w:val="28"/>
          <w:szCs w:val="28"/>
        </w:rPr>
      </w:pPr>
      <w:r>
        <w:rPr>
          <w:kern w:val="0"/>
          <w:sz w:val="28"/>
          <w:szCs w:val="28"/>
        </w:rPr>
        <w:t>六、重大分歧意见的处理经过和依据</w:t>
      </w:r>
    </w:p>
    <w:p>
      <w:pPr>
        <w:spacing w:line="360" w:lineRule="auto"/>
        <w:ind w:firstLine="560" w:firstLineChars="200"/>
        <w:rPr>
          <w:sz w:val="28"/>
          <w:szCs w:val="28"/>
        </w:rPr>
      </w:pPr>
      <w:r>
        <w:rPr>
          <w:rFonts w:hint="eastAsia" w:ascii="宋体" w:hAnsi="宋体"/>
          <w:kern w:val="0"/>
          <w:sz w:val="28"/>
          <w:szCs w:val="28"/>
        </w:rPr>
        <w:t>本标准的制定过程中未出现重大的分歧意见。</w:t>
      </w:r>
    </w:p>
    <w:p>
      <w:pPr>
        <w:pStyle w:val="2"/>
        <w:spacing w:line="360" w:lineRule="auto"/>
        <w:ind w:firstLine="562" w:firstLineChars="200"/>
        <w:rPr>
          <w:sz w:val="28"/>
          <w:szCs w:val="28"/>
        </w:rPr>
      </w:pPr>
      <w:r>
        <w:rPr>
          <w:rFonts w:hint="eastAsia"/>
          <w:sz w:val="28"/>
          <w:szCs w:val="28"/>
        </w:rPr>
        <w:t>七、作为强制性标准或推荐性标准的建议及其理由</w:t>
      </w:r>
    </w:p>
    <w:p>
      <w:pPr>
        <w:spacing w:line="360" w:lineRule="auto"/>
        <w:ind w:firstLine="560" w:firstLineChars="200"/>
        <w:rPr>
          <w:rFonts w:ascii="宋体" w:hAnsi="宋体"/>
          <w:kern w:val="0"/>
          <w:sz w:val="28"/>
          <w:szCs w:val="28"/>
        </w:rPr>
      </w:pPr>
      <w:r>
        <w:rPr>
          <w:rFonts w:hint="eastAsia" w:ascii="宋体" w:hAnsi="宋体"/>
          <w:kern w:val="0"/>
          <w:sz w:val="28"/>
          <w:szCs w:val="28"/>
        </w:rPr>
        <w:t>本标准作为国家标准，建议作为推荐性标准发布实施。</w:t>
      </w:r>
    </w:p>
    <w:p>
      <w:pPr>
        <w:pStyle w:val="2"/>
        <w:spacing w:line="360" w:lineRule="auto"/>
        <w:ind w:firstLine="562" w:firstLineChars="200"/>
        <w:rPr>
          <w:sz w:val="28"/>
          <w:szCs w:val="28"/>
        </w:rPr>
      </w:pPr>
      <w:r>
        <w:rPr>
          <w:sz w:val="28"/>
          <w:szCs w:val="28"/>
        </w:rPr>
        <w:t>八、贯彻标准的要求措施建议（包括</w:t>
      </w:r>
      <w:r>
        <w:rPr>
          <w:rFonts w:hint="eastAsia"/>
          <w:sz w:val="28"/>
          <w:szCs w:val="28"/>
        </w:rPr>
        <w:t>政策措施、</w:t>
      </w:r>
      <w:r>
        <w:rPr>
          <w:sz w:val="28"/>
          <w:szCs w:val="28"/>
        </w:rPr>
        <w:t>组织措施、技术措施、过渡办法</w:t>
      </w:r>
      <w:r>
        <w:rPr>
          <w:rFonts w:hint="eastAsia"/>
          <w:sz w:val="28"/>
          <w:szCs w:val="28"/>
        </w:rPr>
        <w:t>、宣贯培训、试点示范和配套资金</w:t>
      </w:r>
      <w:r>
        <w:rPr>
          <w:sz w:val="28"/>
          <w:szCs w:val="28"/>
        </w:rPr>
        <w:t>等内容）</w:t>
      </w:r>
    </w:p>
    <w:p>
      <w:pPr>
        <w:spacing w:line="360" w:lineRule="auto"/>
        <w:ind w:firstLine="560" w:firstLineChars="200"/>
        <w:rPr>
          <w:rFonts w:ascii="宋体" w:hAnsi="宋体"/>
          <w:kern w:val="0"/>
          <w:sz w:val="28"/>
          <w:szCs w:val="28"/>
        </w:rPr>
      </w:pPr>
      <w:r>
        <w:rPr>
          <w:rFonts w:hint="eastAsia" w:ascii="宋体" w:hAnsi="宋体"/>
          <w:kern w:val="0"/>
          <w:sz w:val="28"/>
          <w:szCs w:val="28"/>
        </w:rPr>
        <w:t>1、组织措施：本标准为首次针对体育公园制定的国家标准，为推荐性标准，在组织措施上建议在全国体育标准化技术委员会、国家体育总局、各地方体育局的组织协调下，以标准化工作组成员为主，成立宣贯小组，宣贯实施。</w:t>
      </w:r>
    </w:p>
    <w:p>
      <w:pPr>
        <w:spacing w:line="360" w:lineRule="auto"/>
        <w:ind w:firstLine="560" w:firstLineChars="200"/>
        <w:rPr>
          <w:rFonts w:ascii="宋体" w:hAnsi="宋体"/>
          <w:kern w:val="0"/>
          <w:sz w:val="28"/>
          <w:szCs w:val="28"/>
        </w:rPr>
      </w:pPr>
      <w:r>
        <w:rPr>
          <w:rFonts w:hint="eastAsia" w:ascii="宋体" w:hAnsi="宋体"/>
          <w:kern w:val="0"/>
          <w:sz w:val="28"/>
          <w:szCs w:val="28"/>
        </w:rPr>
        <w:t>2、技术措施：组织编写标准实施的宣贯教材及标准释义图集，积极开展标准的宣贯培训。在标准实施过程中，按照本标准中的各项要求开展体育公园的新建、改扩建工作。</w:t>
      </w:r>
    </w:p>
    <w:p>
      <w:pPr>
        <w:spacing w:line="360" w:lineRule="auto"/>
        <w:ind w:firstLine="560" w:firstLineChars="200"/>
        <w:rPr>
          <w:rFonts w:ascii="宋体" w:hAnsi="宋体"/>
          <w:kern w:val="0"/>
          <w:sz w:val="28"/>
          <w:szCs w:val="28"/>
        </w:rPr>
      </w:pPr>
      <w:r>
        <w:rPr>
          <w:rFonts w:hint="eastAsia" w:ascii="宋体" w:hAnsi="宋体"/>
          <w:kern w:val="0"/>
          <w:sz w:val="28"/>
          <w:szCs w:val="28"/>
        </w:rPr>
        <w:t>3、过渡办法：前期主要针对小型、中型、大型的体育公园应用实施，并逐渐对社区型和微型的体育公园实施本标准。并将实施过程中出现的问题和好的改进建议反馈工作组以便进一步对本标准的修订和完善。</w:t>
      </w:r>
    </w:p>
    <w:p>
      <w:pPr>
        <w:pStyle w:val="2"/>
        <w:spacing w:line="360" w:lineRule="auto"/>
        <w:ind w:firstLine="562" w:firstLineChars="200"/>
        <w:rPr>
          <w:sz w:val="28"/>
          <w:szCs w:val="28"/>
        </w:rPr>
      </w:pPr>
      <w:r>
        <w:rPr>
          <w:sz w:val="28"/>
          <w:szCs w:val="28"/>
        </w:rPr>
        <w:t>九、废止现行有关标准的建议</w:t>
      </w:r>
    </w:p>
    <w:p>
      <w:pPr>
        <w:spacing w:line="360" w:lineRule="auto"/>
        <w:ind w:firstLine="560" w:firstLineChars="200"/>
        <w:rPr>
          <w:rFonts w:ascii="宋体" w:hAnsi="宋体"/>
          <w:sz w:val="28"/>
          <w:szCs w:val="28"/>
        </w:rPr>
      </w:pPr>
      <w:r>
        <w:rPr>
          <w:rFonts w:hint="eastAsia" w:ascii="宋体" w:hAnsi="宋体"/>
          <w:sz w:val="28"/>
          <w:szCs w:val="28"/>
        </w:rPr>
        <w:t>不存在可废除的对应标准。</w:t>
      </w:r>
    </w:p>
    <w:p>
      <w:pPr>
        <w:pStyle w:val="2"/>
        <w:spacing w:line="360" w:lineRule="auto"/>
        <w:ind w:firstLine="562" w:firstLineChars="200"/>
        <w:rPr>
          <w:kern w:val="0"/>
          <w:sz w:val="28"/>
          <w:szCs w:val="28"/>
        </w:rPr>
      </w:pPr>
      <w:r>
        <w:rPr>
          <w:sz w:val="28"/>
          <w:szCs w:val="28"/>
        </w:rPr>
        <w:t>十</w:t>
      </w:r>
      <w:r>
        <w:rPr>
          <w:rFonts w:hint="eastAsia"/>
          <w:sz w:val="28"/>
          <w:szCs w:val="28"/>
        </w:rPr>
        <w:t>、</w:t>
      </w:r>
      <w:r>
        <w:rPr>
          <w:rFonts w:hint="eastAsia"/>
          <w:kern w:val="0"/>
          <w:sz w:val="28"/>
          <w:szCs w:val="28"/>
        </w:rPr>
        <w:t>本标准编制说明的附件</w:t>
      </w:r>
    </w:p>
    <w:p>
      <w:pPr>
        <w:spacing w:line="360" w:lineRule="auto"/>
        <w:ind w:firstLine="560" w:firstLineChars="200"/>
        <w:rPr>
          <w:rFonts w:ascii="宋体" w:hAnsi="宋体"/>
          <w:kern w:val="0"/>
          <w:sz w:val="28"/>
          <w:szCs w:val="28"/>
        </w:rPr>
      </w:pPr>
      <w:r>
        <w:rPr>
          <w:rFonts w:ascii="宋体" w:hAnsi="宋体"/>
          <w:kern w:val="0"/>
          <w:sz w:val="28"/>
          <w:szCs w:val="28"/>
        </w:rPr>
        <w:t>无</w:t>
      </w:r>
    </w:p>
    <w:sectPr>
      <w:pgSz w:w="11906" w:h="16838"/>
      <w:pgMar w:top="1134" w:right="1134" w:bottom="1134" w:left="1134"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255D19"/>
    <w:multiLevelType w:val="multilevel"/>
    <w:tmpl w:val="2B255D19"/>
    <w:lvl w:ilvl="0" w:tentative="0">
      <w:start w:val="1"/>
      <w:numFmt w:val="decimal"/>
      <w:pStyle w:val="22"/>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pStyle w:val="26"/>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44C50F90"/>
    <w:multiLevelType w:val="multilevel"/>
    <w:tmpl w:val="44C50F90"/>
    <w:lvl w:ilvl="0" w:tentative="0">
      <w:start w:val="1"/>
      <w:numFmt w:val="lowerLetter"/>
      <w:pStyle w:val="2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7"/>
      <w:lvlText w:val="[%2]"/>
      <w:lvlJc w:val="left"/>
      <w:pPr>
        <w:tabs>
          <w:tab w:val="left" w:pos="1260"/>
        </w:tabs>
        <w:ind w:left="1259" w:hanging="419"/>
      </w:pPr>
      <w:rPr>
        <w:rFonts w:hint="eastAsia"/>
      </w:rPr>
    </w:lvl>
    <w:lvl w:ilvl="2" w:tentative="0">
      <w:start w:val="1"/>
      <w:numFmt w:val="decimal"/>
      <w:pStyle w:val="29"/>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557C2AF5"/>
    <w:multiLevelType w:val="multilevel"/>
    <w:tmpl w:val="557C2AF5"/>
    <w:lvl w:ilvl="0" w:tentative="0">
      <w:start w:val="1"/>
      <w:numFmt w:val="decimal"/>
      <w:pStyle w:val="2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46260FA"/>
    <w:multiLevelType w:val="multilevel"/>
    <w:tmpl w:val="646260FA"/>
    <w:lvl w:ilvl="0" w:tentative="0">
      <w:start w:val="1"/>
      <w:numFmt w:val="decimal"/>
      <w:pStyle w:val="23"/>
      <w:suff w:val="nothing"/>
      <w:lvlText w:val="表%1　"/>
      <w:lvlJc w:val="left"/>
      <w:pPr>
        <w:ind w:left="2835" w:firstLine="0"/>
      </w:pPr>
      <w:rPr>
        <w:rFonts w:hint="eastAsia" w:ascii="黑体" w:hAnsi="Times New Roman" w:eastAsia="黑体"/>
        <w:b w:val="0"/>
        <w:i w:val="0"/>
        <w:sz w:val="21"/>
      </w:rPr>
    </w:lvl>
    <w:lvl w:ilvl="1" w:tentative="0">
      <w:start w:val="1"/>
      <w:numFmt w:val="decimal"/>
      <w:lvlText w:val="%1.%2"/>
      <w:lvlJc w:val="left"/>
      <w:pPr>
        <w:tabs>
          <w:tab w:val="left" w:pos="3827"/>
        </w:tabs>
        <w:ind w:left="3827" w:hanging="567"/>
      </w:pPr>
      <w:rPr>
        <w:rFonts w:hint="eastAsia"/>
      </w:rPr>
    </w:lvl>
    <w:lvl w:ilvl="2" w:tentative="0">
      <w:start w:val="1"/>
      <w:numFmt w:val="decimal"/>
      <w:lvlText w:val="%1.%2.%3"/>
      <w:lvlJc w:val="left"/>
      <w:pPr>
        <w:tabs>
          <w:tab w:val="left" w:pos="4253"/>
        </w:tabs>
        <w:ind w:left="4253" w:hanging="567"/>
      </w:pPr>
      <w:rPr>
        <w:rFonts w:hint="eastAsia"/>
      </w:rPr>
    </w:lvl>
    <w:lvl w:ilvl="3" w:tentative="0">
      <w:start w:val="1"/>
      <w:numFmt w:val="decimal"/>
      <w:lvlText w:val="%1.%2.%3.%4"/>
      <w:lvlJc w:val="left"/>
      <w:pPr>
        <w:tabs>
          <w:tab w:val="left" w:pos="4819"/>
        </w:tabs>
        <w:ind w:left="4819" w:hanging="708"/>
      </w:pPr>
      <w:rPr>
        <w:rFonts w:hint="eastAsia"/>
      </w:rPr>
    </w:lvl>
    <w:lvl w:ilvl="4" w:tentative="0">
      <w:start w:val="1"/>
      <w:numFmt w:val="decimal"/>
      <w:lvlText w:val="%1.%2.%3.%4.%5"/>
      <w:lvlJc w:val="left"/>
      <w:pPr>
        <w:tabs>
          <w:tab w:val="left" w:pos="5386"/>
        </w:tabs>
        <w:ind w:left="5386" w:hanging="850"/>
      </w:pPr>
      <w:rPr>
        <w:rFonts w:hint="eastAsia"/>
      </w:rPr>
    </w:lvl>
    <w:lvl w:ilvl="5" w:tentative="0">
      <w:start w:val="1"/>
      <w:numFmt w:val="decimal"/>
      <w:lvlText w:val="%1.%2.%3.%4.%5.%6"/>
      <w:lvlJc w:val="left"/>
      <w:pPr>
        <w:tabs>
          <w:tab w:val="left" w:pos="6095"/>
        </w:tabs>
        <w:ind w:left="6095" w:hanging="1134"/>
      </w:pPr>
      <w:rPr>
        <w:rFonts w:hint="eastAsia"/>
      </w:rPr>
    </w:lvl>
    <w:lvl w:ilvl="6" w:tentative="0">
      <w:start w:val="1"/>
      <w:numFmt w:val="decimal"/>
      <w:lvlText w:val="%1.%2.%3.%4.%5.%6.%7"/>
      <w:lvlJc w:val="left"/>
      <w:pPr>
        <w:tabs>
          <w:tab w:val="left" w:pos="6662"/>
        </w:tabs>
        <w:ind w:left="6662" w:hanging="1276"/>
      </w:pPr>
      <w:rPr>
        <w:rFonts w:hint="eastAsia"/>
      </w:rPr>
    </w:lvl>
    <w:lvl w:ilvl="7" w:tentative="0">
      <w:start w:val="1"/>
      <w:numFmt w:val="decimal"/>
      <w:lvlText w:val="%1.%2.%3.%4.%5.%6.%7.%8"/>
      <w:lvlJc w:val="left"/>
      <w:pPr>
        <w:tabs>
          <w:tab w:val="left" w:pos="7229"/>
        </w:tabs>
        <w:ind w:left="7229" w:hanging="1418"/>
      </w:pPr>
      <w:rPr>
        <w:rFonts w:hint="eastAsia"/>
      </w:rPr>
    </w:lvl>
    <w:lvl w:ilvl="8" w:tentative="0">
      <w:start w:val="1"/>
      <w:numFmt w:val="decimal"/>
      <w:lvlText w:val="%1.%2.%3.%4.%5.%6.%7.%8.%9"/>
      <w:lvlJc w:val="left"/>
      <w:pPr>
        <w:tabs>
          <w:tab w:val="left" w:pos="7937"/>
        </w:tabs>
        <w:ind w:left="7937" w:hanging="1700"/>
      </w:pPr>
      <w:rPr>
        <w:rFonts w:hint="eastAsia"/>
      </w:rPr>
    </w:lvl>
  </w:abstractNum>
  <w:num w:numId="1">
    <w:abstractNumId w:val="0"/>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B39"/>
    <w:rsid w:val="000023A8"/>
    <w:rsid w:val="00002698"/>
    <w:rsid w:val="00014062"/>
    <w:rsid w:val="000151BD"/>
    <w:rsid w:val="00015AA0"/>
    <w:rsid w:val="000A08CD"/>
    <w:rsid w:val="000A0EEF"/>
    <w:rsid w:val="000A716E"/>
    <w:rsid w:val="000B1E0A"/>
    <w:rsid w:val="000C7E91"/>
    <w:rsid w:val="000D781E"/>
    <w:rsid w:val="000F0B35"/>
    <w:rsid w:val="000F5982"/>
    <w:rsid w:val="00135BCE"/>
    <w:rsid w:val="00143D13"/>
    <w:rsid w:val="001507F8"/>
    <w:rsid w:val="00160225"/>
    <w:rsid w:val="00167647"/>
    <w:rsid w:val="0018689B"/>
    <w:rsid w:val="001873E4"/>
    <w:rsid w:val="001A7685"/>
    <w:rsid w:val="001F28F5"/>
    <w:rsid w:val="001F2D20"/>
    <w:rsid w:val="00202955"/>
    <w:rsid w:val="0020771E"/>
    <w:rsid w:val="002466F4"/>
    <w:rsid w:val="0025428F"/>
    <w:rsid w:val="00263F61"/>
    <w:rsid w:val="0027009F"/>
    <w:rsid w:val="00275268"/>
    <w:rsid w:val="00277C61"/>
    <w:rsid w:val="002A0D02"/>
    <w:rsid w:val="002A1598"/>
    <w:rsid w:val="002C0530"/>
    <w:rsid w:val="002C5C19"/>
    <w:rsid w:val="002D5052"/>
    <w:rsid w:val="002E2658"/>
    <w:rsid w:val="002E5395"/>
    <w:rsid w:val="002F7BA8"/>
    <w:rsid w:val="0030165D"/>
    <w:rsid w:val="00323146"/>
    <w:rsid w:val="003430BD"/>
    <w:rsid w:val="003512D6"/>
    <w:rsid w:val="003520C5"/>
    <w:rsid w:val="003738FD"/>
    <w:rsid w:val="003804AF"/>
    <w:rsid w:val="003B0109"/>
    <w:rsid w:val="003B2439"/>
    <w:rsid w:val="003D1659"/>
    <w:rsid w:val="003F7F13"/>
    <w:rsid w:val="00422F95"/>
    <w:rsid w:val="00433EC5"/>
    <w:rsid w:val="0044404E"/>
    <w:rsid w:val="00467B05"/>
    <w:rsid w:val="004742CA"/>
    <w:rsid w:val="004746DD"/>
    <w:rsid w:val="00481A23"/>
    <w:rsid w:val="00482389"/>
    <w:rsid w:val="00497D5C"/>
    <w:rsid w:val="004A2F86"/>
    <w:rsid w:val="004A6A63"/>
    <w:rsid w:val="004B6A38"/>
    <w:rsid w:val="004E13B8"/>
    <w:rsid w:val="00510404"/>
    <w:rsid w:val="005156FC"/>
    <w:rsid w:val="005261AB"/>
    <w:rsid w:val="00541088"/>
    <w:rsid w:val="005539F4"/>
    <w:rsid w:val="00560988"/>
    <w:rsid w:val="005619CA"/>
    <w:rsid w:val="00562024"/>
    <w:rsid w:val="00583943"/>
    <w:rsid w:val="005970BE"/>
    <w:rsid w:val="005A2AB1"/>
    <w:rsid w:val="00602D5F"/>
    <w:rsid w:val="006110D5"/>
    <w:rsid w:val="006144D3"/>
    <w:rsid w:val="0063118C"/>
    <w:rsid w:val="00633D33"/>
    <w:rsid w:val="0064191A"/>
    <w:rsid w:val="0065446C"/>
    <w:rsid w:val="00660637"/>
    <w:rsid w:val="00680DF4"/>
    <w:rsid w:val="006B1F78"/>
    <w:rsid w:val="006C7C3C"/>
    <w:rsid w:val="006D2640"/>
    <w:rsid w:val="006E6A9A"/>
    <w:rsid w:val="00702264"/>
    <w:rsid w:val="00704116"/>
    <w:rsid w:val="007206C1"/>
    <w:rsid w:val="0072273D"/>
    <w:rsid w:val="007260CE"/>
    <w:rsid w:val="00747C40"/>
    <w:rsid w:val="00781FB3"/>
    <w:rsid w:val="00795469"/>
    <w:rsid w:val="007A2156"/>
    <w:rsid w:val="007B0484"/>
    <w:rsid w:val="008105AF"/>
    <w:rsid w:val="00810856"/>
    <w:rsid w:val="00833230"/>
    <w:rsid w:val="00885C3D"/>
    <w:rsid w:val="008974E8"/>
    <w:rsid w:val="008B6FA7"/>
    <w:rsid w:val="008C37EC"/>
    <w:rsid w:val="008C4FFB"/>
    <w:rsid w:val="00907FC8"/>
    <w:rsid w:val="009173C5"/>
    <w:rsid w:val="00917F55"/>
    <w:rsid w:val="0093499E"/>
    <w:rsid w:val="00956B39"/>
    <w:rsid w:val="00961932"/>
    <w:rsid w:val="0099451C"/>
    <w:rsid w:val="009A0D9F"/>
    <w:rsid w:val="009B5974"/>
    <w:rsid w:val="009D30E4"/>
    <w:rsid w:val="009E4100"/>
    <w:rsid w:val="00A07531"/>
    <w:rsid w:val="00A32B11"/>
    <w:rsid w:val="00A5002A"/>
    <w:rsid w:val="00A503FA"/>
    <w:rsid w:val="00A60DCF"/>
    <w:rsid w:val="00A65063"/>
    <w:rsid w:val="00A735BE"/>
    <w:rsid w:val="00A94E0B"/>
    <w:rsid w:val="00AA626B"/>
    <w:rsid w:val="00AA77E0"/>
    <w:rsid w:val="00AB7FFE"/>
    <w:rsid w:val="00AF0ED0"/>
    <w:rsid w:val="00AF5CA7"/>
    <w:rsid w:val="00B01D7A"/>
    <w:rsid w:val="00B01F5F"/>
    <w:rsid w:val="00B079ED"/>
    <w:rsid w:val="00B10F13"/>
    <w:rsid w:val="00B53A2D"/>
    <w:rsid w:val="00B54A00"/>
    <w:rsid w:val="00B5577F"/>
    <w:rsid w:val="00B60097"/>
    <w:rsid w:val="00B60306"/>
    <w:rsid w:val="00C32893"/>
    <w:rsid w:val="00C4607A"/>
    <w:rsid w:val="00C46DEB"/>
    <w:rsid w:val="00C5264F"/>
    <w:rsid w:val="00C65659"/>
    <w:rsid w:val="00C65ACC"/>
    <w:rsid w:val="00C84380"/>
    <w:rsid w:val="00C942B4"/>
    <w:rsid w:val="00C94514"/>
    <w:rsid w:val="00CB1FA7"/>
    <w:rsid w:val="00CB2EC9"/>
    <w:rsid w:val="00D00432"/>
    <w:rsid w:val="00D13D8B"/>
    <w:rsid w:val="00D228CD"/>
    <w:rsid w:val="00D3730A"/>
    <w:rsid w:val="00D55AD2"/>
    <w:rsid w:val="00D94776"/>
    <w:rsid w:val="00DD0445"/>
    <w:rsid w:val="00DD3AB6"/>
    <w:rsid w:val="00DE5717"/>
    <w:rsid w:val="00DF23B9"/>
    <w:rsid w:val="00E11D3C"/>
    <w:rsid w:val="00E2044A"/>
    <w:rsid w:val="00E41705"/>
    <w:rsid w:val="00E51E2D"/>
    <w:rsid w:val="00E57298"/>
    <w:rsid w:val="00E60A47"/>
    <w:rsid w:val="00E615C4"/>
    <w:rsid w:val="00E957A7"/>
    <w:rsid w:val="00EB6D02"/>
    <w:rsid w:val="00ED2566"/>
    <w:rsid w:val="00ED7C91"/>
    <w:rsid w:val="00F10EB9"/>
    <w:rsid w:val="00F30F3B"/>
    <w:rsid w:val="00F92B74"/>
    <w:rsid w:val="00FA0861"/>
    <w:rsid w:val="00FB3D3F"/>
    <w:rsid w:val="00FC7438"/>
    <w:rsid w:val="00FC7E83"/>
    <w:rsid w:val="00FE16B5"/>
    <w:rsid w:val="00FF115F"/>
    <w:rsid w:val="00FF5CFE"/>
    <w:rsid w:val="7FBF4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keepNext/>
      <w:outlineLvl w:val="0"/>
    </w:pPr>
    <w:rPr>
      <w:rFonts w:ascii="宋体" w:hAnsi="宋体"/>
      <w:b/>
      <w:bCs/>
      <w:sz w:val="24"/>
    </w:rPr>
  </w:style>
  <w:style w:type="paragraph" w:styleId="3">
    <w:name w:val="heading 4"/>
    <w:basedOn w:val="1"/>
    <w:next w:val="1"/>
    <w:link w:val="3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4">
    <w:name w:val="heading 6"/>
    <w:basedOn w:val="1"/>
    <w:next w:val="1"/>
    <w:link w:val="16"/>
    <w:semiHidden/>
    <w:unhideWhenUsed/>
    <w:qFormat/>
    <w:uiPriority w:val="0"/>
    <w:pPr>
      <w:keepNext/>
      <w:keepLines/>
      <w:spacing w:before="240" w:after="64" w:line="320" w:lineRule="auto"/>
      <w:outlineLvl w:val="5"/>
    </w:pPr>
    <w:rPr>
      <w:rFonts w:ascii="Cambria" w:hAnsi="Cambria"/>
      <w:b/>
      <w:bCs/>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0"/>
    <w:qFormat/>
    <w:uiPriority w:val="0"/>
    <w:pPr>
      <w:spacing w:after="120"/>
    </w:pPr>
  </w:style>
  <w:style w:type="paragraph" w:styleId="6">
    <w:name w:val="footer"/>
    <w:basedOn w:val="1"/>
    <w:link w:val="14"/>
    <w:unhideWhenUsed/>
    <w:qFormat/>
    <w:uiPriority w:val="0"/>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1"/>
    <w:link w:val="21"/>
    <w:qFormat/>
    <w:uiPriority w:val="0"/>
    <w:pPr>
      <w:ind w:firstLine="200" w:firstLineChars="200"/>
    </w:pPr>
  </w:style>
  <w:style w:type="table" w:styleId="10">
    <w:name w:val="Table Grid"/>
    <w:basedOn w:val="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unhideWhenUsed/>
    <w:qFormat/>
    <w:uiPriority w:val="0"/>
    <w:rPr>
      <w:color w:val="0000FF"/>
      <w:u w:val="single"/>
    </w:rPr>
  </w:style>
  <w:style w:type="character" w:customStyle="1" w:styleId="13">
    <w:name w:val="页眉 字符"/>
    <w:link w:val="7"/>
    <w:qFormat/>
    <w:uiPriority w:val="0"/>
    <w:rPr>
      <w:sz w:val="18"/>
      <w:szCs w:val="18"/>
    </w:rPr>
  </w:style>
  <w:style w:type="character" w:customStyle="1" w:styleId="14">
    <w:name w:val="页脚 字符"/>
    <w:link w:val="6"/>
    <w:qFormat/>
    <w:uiPriority w:val="0"/>
    <w:rPr>
      <w:sz w:val="18"/>
      <w:szCs w:val="18"/>
    </w:rPr>
  </w:style>
  <w:style w:type="character" w:customStyle="1" w:styleId="15">
    <w:name w:val="标题 1 字符"/>
    <w:link w:val="2"/>
    <w:qFormat/>
    <w:uiPriority w:val="0"/>
    <w:rPr>
      <w:rFonts w:ascii="宋体" w:hAnsi="宋体" w:eastAsia="宋体" w:cs="Times New Roman"/>
      <w:b/>
      <w:bCs/>
      <w:sz w:val="24"/>
      <w:szCs w:val="24"/>
    </w:rPr>
  </w:style>
  <w:style w:type="character" w:customStyle="1" w:styleId="16">
    <w:name w:val="标题 6 字符"/>
    <w:link w:val="4"/>
    <w:semiHidden/>
    <w:qFormat/>
    <w:uiPriority w:val="0"/>
    <w:rPr>
      <w:rFonts w:ascii="Cambria" w:hAnsi="Cambria" w:eastAsia="宋体" w:cs="Times New Roman"/>
      <w:b/>
      <w:bCs/>
      <w:sz w:val="24"/>
      <w:szCs w:val="24"/>
    </w:rPr>
  </w:style>
  <w:style w:type="paragraph" w:customStyle="1" w:styleId="17">
    <w:name w:val="目次、标准名称标题"/>
    <w:basedOn w:val="1"/>
    <w:next w:val="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8">
    <w:name w:val="段"/>
    <w:link w:val="1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9">
    <w:name w:val="段 Char"/>
    <w:link w:val="18"/>
    <w:qFormat/>
    <w:uiPriority w:val="0"/>
    <w:rPr>
      <w:rFonts w:ascii="宋体" w:hAnsi="Times New Roman"/>
      <w:sz w:val="21"/>
      <w:lang w:val="en-US" w:eastAsia="zh-CN" w:bidi="ar-SA"/>
    </w:rPr>
  </w:style>
  <w:style w:type="character" w:customStyle="1" w:styleId="20">
    <w:name w:val="正文文本 字符"/>
    <w:link w:val="5"/>
    <w:qFormat/>
    <w:uiPriority w:val="0"/>
    <w:rPr>
      <w:rFonts w:ascii="Times New Roman" w:hAnsi="Times New Roman" w:eastAsia="宋体" w:cs="Times New Roman"/>
      <w:szCs w:val="24"/>
    </w:rPr>
  </w:style>
  <w:style w:type="character" w:customStyle="1" w:styleId="21">
    <w:name w:val="正文文本首行缩进 字符"/>
    <w:basedOn w:val="20"/>
    <w:link w:val="8"/>
    <w:qFormat/>
    <w:uiPriority w:val="0"/>
    <w:rPr>
      <w:rFonts w:ascii="Times New Roman" w:hAnsi="Times New Roman" w:eastAsia="宋体" w:cs="Times New Roman"/>
      <w:szCs w:val="24"/>
    </w:rPr>
  </w:style>
  <w:style w:type="paragraph" w:customStyle="1" w:styleId="22">
    <w:name w:val="正文表标题"/>
    <w:next w:val="18"/>
    <w:qFormat/>
    <w:uiPriority w:val="0"/>
    <w:pPr>
      <w:numPr>
        <w:ilvl w:val="0"/>
        <w:numId w:val="1"/>
      </w:numPr>
      <w:spacing w:beforeLines="50" w:afterLines="50"/>
      <w:jc w:val="center"/>
    </w:pPr>
    <w:rPr>
      <w:rFonts w:ascii="黑体" w:hAnsi="Times New Roman" w:eastAsia="黑体" w:cs="Times New Roman"/>
      <w:sz w:val="21"/>
      <w:lang w:val="en-US" w:eastAsia="zh-CN" w:bidi="ar-SA"/>
    </w:rPr>
  </w:style>
  <w:style w:type="paragraph" w:customStyle="1" w:styleId="23">
    <w:name w:val="正文图标题"/>
    <w:next w:val="18"/>
    <w:qFormat/>
    <w:uiPriority w:val="0"/>
    <w:pPr>
      <w:numPr>
        <w:ilvl w:val="0"/>
        <w:numId w:val="2"/>
      </w:numPr>
      <w:tabs>
        <w:tab w:val="left" w:pos="360"/>
      </w:tabs>
      <w:spacing w:beforeLines="50" w:afterLines="50"/>
      <w:ind w:left="0"/>
      <w:jc w:val="center"/>
    </w:pPr>
    <w:rPr>
      <w:rFonts w:ascii="黑体" w:hAnsi="Times New Roman" w:eastAsia="黑体" w:cs="Times New Roman"/>
      <w:sz w:val="21"/>
      <w:lang w:val="en-US" w:eastAsia="zh-CN" w:bidi="ar-SA"/>
    </w:rPr>
  </w:style>
  <w:style w:type="paragraph" w:customStyle="1" w:styleId="24">
    <w:name w:val="其他发布日期"/>
    <w:basedOn w:val="1"/>
    <w:qFormat/>
    <w:uiPriority w:val="0"/>
    <w:pPr>
      <w:framePr w:w="3997" w:h="471" w:hRule="exact" w:vSpace="181" w:wrap="around" w:vAnchor="page" w:hAnchor="page" w:x="1419" w:y="14097" w:anchorLock="1"/>
      <w:widowControl/>
      <w:numPr>
        <w:ilvl w:val="0"/>
        <w:numId w:val="3"/>
      </w:numPr>
      <w:jc w:val="left"/>
    </w:pPr>
    <w:rPr>
      <w:rFonts w:eastAsia="黑体"/>
      <w:kern w:val="0"/>
      <w:sz w:val="28"/>
      <w:szCs w:val="20"/>
    </w:rPr>
  </w:style>
  <w:style w:type="character" w:customStyle="1" w:styleId="25">
    <w:name w:val="已访问的超链接1"/>
    <w:semiHidden/>
    <w:unhideWhenUsed/>
    <w:qFormat/>
    <w:uiPriority w:val="99"/>
    <w:rPr>
      <w:color w:val="800080"/>
      <w:u w:val="single"/>
    </w:rPr>
  </w:style>
  <w:style w:type="paragraph" w:customStyle="1" w:styleId="26">
    <w:name w:val="二级无"/>
    <w:basedOn w:val="1"/>
    <w:qFormat/>
    <w:uiPriority w:val="0"/>
    <w:pPr>
      <w:widowControl/>
      <w:numPr>
        <w:ilvl w:val="2"/>
        <w:numId w:val="4"/>
      </w:numPr>
      <w:tabs>
        <w:tab w:val="left" w:pos="2160"/>
      </w:tabs>
      <w:jc w:val="left"/>
      <w:outlineLvl w:val="3"/>
    </w:pPr>
    <w:rPr>
      <w:rFonts w:ascii="宋体"/>
      <w:kern w:val="0"/>
      <w:szCs w:val="21"/>
    </w:rPr>
  </w:style>
  <w:style w:type="paragraph" w:customStyle="1" w:styleId="27">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2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29">
    <w:name w:val="编号列项（三级）"/>
    <w:qFormat/>
    <w:uiPriority w:val="0"/>
    <w:pPr>
      <w:numPr>
        <w:ilvl w:val="2"/>
        <w:numId w:val="5"/>
      </w:numPr>
    </w:pPr>
    <w:rPr>
      <w:rFonts w:ascii="宋体" w:hAnsi="Times New Roman" w:eastAsia="宋体" w:cs="Times New Roman"/>
      <w:sz w:val="21"/>
      <w:lang w:val="en-US" w:eastAsia="zh-CN" w:bidi="ar-SA"/>
    </w:rPr>
  </w:style>
  <w:style w:type="paragraph" w:styleId="30">
    <w:name w:val="List Paragraph"/>
    <w:basedOn w:val="1"/>
    <w:qFormat/>
    <w:uiPriority w:val="34"/>
    <w:pPr>
      <w:ind w:firstLine="420" w:firstLineChars="200"/>
    </w:pPr>
    <w:rPr>
      <w:rFonts w:ascii="Calibri" w:hAnsi="Calibri"/>
      <w:szCs w:val="22"/>
    </w:rPr>
  </w:style>
  <w:style w:type="character" w:customStyle="1" w:styleId="31">
    <w:name w:val="标题 4 字符"/>
    <w:basedOn w:val="11"/>
    <w:link w:val="3"/>
    <w:semiHidden/>
    <w:qFormat/>
    <w:uiPriority w:val="9"/>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sunshuwei/C:\Users\hai'xing\Desktop\2.&#12298;&#20908;&#23395;&#20004;&#39033;&#36816;&#21160;&#36187;&#20107;&#27963;&#21160;&#32452;&#32455;&#35268;&#33539;&#12299;&#22269;&#23478;&#26631;&#20934;&#32534;&#21046;&#35828;&#2612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2.《冬季两项运动赛事活动组织规范》国家标准编制说明</Template>
  <Company>Sky123.Org</Company>
  <Pages>1</Pages>
  <Words>725</Words>
  <Characters>4137</Characters>
  <Lines>34</Lines>
  <Paragraphs>9</Paragraphs>
  <TotalTime>360</TotalTime>
  <ScaleCrop>false</ScaleCrop>
  <LinksUpToDate>false</LinksUpToDate>
  <CharactersWithSpaces>4853</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2022-06-08T15:29:00Z</dcterms:created>
  <dc:creator>hai'xing</dc:creator>
  <cp:lastModifiedBy>sunshuwei</cp:lastModifiedBy>
  <cp:lastPrinted>2022-07-11T15:07:36Z</cp:lastPrinted>
  <dcterms:modified xsi:type="dcterms:W3CDTF">2022-07-11T15:07:41Z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