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Hlk54265489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仿宋"/>
          <w:b/>
          <w:bCs/>
          <w:sz w:val="36"/>
          <w:szCs w:val="36"/>
        </w:rPr>
      </w:pPr>
      <w:r>
        <w:rPr>
          <w:rFonts w:hint="eastAsia" w:ascii="宋体" w:hAnsi="宋体" w:eastAsia="宋体" w:cs="仿宋"/>
          <w:b/>
          <w:bCs/>
          <w:sz w:val="36"/>
          <w:szCs w:val="36"/>
        </w:rPr>
        <w:t>2021年公共体育场馆管理服务暨信息化建设线上培训班报名表</w:t>
      </w:r>
    </w:p>
    <w:p>
      <w:pPr>
        <w:jc w:val="center"/>
        <w:rPr>
          <w:rFonts w:hint="eastAsia" w:ascii="宋体" w:hAnsi="宋体" w:eastAsia="宋体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省、自治区、直辖市、计划单列市、新疆生产建设兵团体育行政部门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13"/>
          <w:szCs w:val="13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" w:eastAsia="zh-CN"/>
        </w:rPr>
        <w:t>本地区报名参加培训总人数：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620"/>
        <w:gridCol w:w="3465"/>
        <w:gridCol w:w="2010"/>
        <w:gridCol w:w="222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职务（职称）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346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3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346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3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346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3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……</w:t>
            </w:r>
          </w:p>
        </w:tc>
        <w:tc>
          <w:tcPr>
            <w:tcW w:w="16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……</w:t>
            </w:r>
          </w:p>
        </w:tc>
        <w:tc>
          <w:tcPr>
            <w:tcW w:w="346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……</w:t>
            </w:r>
          </w:p>
        </w:tc>
        <w:tc>
          <w:tcPr>
            <w:tcW w:w="201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……</w:t>
            </w:r>
          </w:p>
        </w:tc>
        <w:tc>
          <w:tcPr>
            <w:tcW w:w="22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……</w:t>
            </w:r>
          </w:p>
        </w:tc>
        <w:tc>
          <w:tcPr>
            <w:tcW w:w="3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……</w:t>
            </w:r>
          </w:p>
        </w:tc>
      </w:tr>
    </w:tbl>
    <w:p>
      <w:pPr>
        <w:spacing w:line="240" w:lineRule="auto"/>
        <w:jc w:val="left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/>
          <w:b/>
          <w:bCs/>
          <w:sz w:val="24"/>
          <w:szCs w:val="24"/>
          <w:lang w:eastAsia="zh-CN"/>
        </w:rPr>
        <w:t>本表</w:t>
      </w:r>
      <w:r>
        <w:rPr>
          <w:rFonts w:hint="eastAsia"/>
          <w:b/>
          <w:bCs/>
          <w:sz w:val="24"/>
          <w:szCs w:val="24"/>
        </w:rPr>
        <w:t>由各省、自治区、直辖市、计划单列市、新疆生产建设兵团体育行政部门</w:t>
      </w:r>
      <w:r>
        <w:rPr>
          <w:rFonts w:hint="eastAsia"/>
          <w:b/>
          <w:bCs/>
          <w:sz w:val="24"/>
          <w:szCs w:val="24"/>
          <w:lang w:eastAsia="zh-CN"/>
        </w:rPr>
        <w:t>对本地区</w:t>
      </w:r>
      <w:r>
        <w:rPr>
          <w:rFonts w:hint="eastAsia"/>
          <w:b/>
          <w:bCs/>
          <w:sz w:val="24"/>
          <w:szCs w:val="24"/>
        </w:rPr>
        <w:t>所有参培人员名单</w:t>
      </w:r>
      <w:r>
        <w:rPr>
          <w:rFonts w:hint="eastAsia"/>
          <w:b/>
          <w:bCs/>
          <w:sz w:val="24"/>
          <w:szCs w:val="24"/>
          <w:lang w:eastAsia="zh-CN"/>
        </w:rPr>
        <w:t>进行汇总并填写</w:t>
      </w:r>
      <w:r>
        <w:rPr>
          <w:rFonts w:hint="eastAsia"/>
          <w:b/>
          <w:bCs/>
          <w:sz w:val="24"/>
          <w:szCs w:val="24"/>
        </w:rPr>
        <w:t>。务必将表格内容填写清晰，如表格行数不够，可按照相同样式自行添加人员相关信息。</w:t>
      </w:r>
    </w:p>
    <w:bookmarkEnd w:id="0"/>
    <w:p>
      <w:pPr>
        <w:tabs>
          <w:tab w:val="left" w:pos="4267"/>
        </w:tabs>
        <w:bidi w:val="0"/>
        <w:jc w:val="left"/>
        <w:rPr>
          <w:rFonts w:hint="default"/>
          <w:lang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0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621C"/>
    <w:rsid w:val="7E43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2021-12-08T10:34:00Z</dcterms:created>
  <dc:creator>songyunshu</dc:creator>
  <cp:lastModifiedBy>songyunshu</cp:lastModifiedBy>
  <dcterms:modified xsi:type="dcterms:W3CDTF">2021-12-08T10:36:35Z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