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CD2C5" w14:textId="690407A7" w:rsidR="008F2CB7" w:rsidRPr="008660CB" w:rsidRDefault="008660CB" w:rsidP="008660CB">
      <w:pPr>
        <w:spacing w:line="560" w:lineRule="exact"/>
        <w:jc w:val="center"/>
        <w:rPr>
          <w:rFonts w:ascii="方正小标宋简体" w:eastAsia="方正小标宋简体"/>
          <w:sz w:val="44"/>
          <w:szCs w:val="44"/>
        </w:rPr>
      </w:pPr>
      <w:r w:rsidRPr="008660CB">
        <w:rPr>
          <w:rFonts w:ascii="方正小标宋简体" w:eastAsia="方正小标宋简体" w:hint="eastAsia"/>
          <w:sz w:val="44"/>
          <w:szCs w:val="44"/>
        </w:rPr>
        <w:t>国际跳棋赛事活动参赛指南</w:t>
      </w:r>
    </w:p>
    <w:p w14:paraId="1C4C0816" w14:textId="77777777" w:rsidR="008660CB" w:rsidRDefault="008660CB" w:rsidP="008660CB">
      <w:pPr>
        <w:spacing w:line="560" w:lineRule="exact"/>
        <w:ind w:firstLineChars="200" w:firstLine="624"/>
      </w:pPr>
    </w:p>
    <w:p w14:paraId="5253DAF0" w14:textId="3CAEE320" w:rsidR="008F2CB7" w:rsidRPr="008660CB" w:rsidRDefault="008660CB" w:rsidP="008660CB">
      <w:pPr>
        <w:spacing w:line="560" w:lineRule="exact"/>
        <w:ind w:firstLineChars="200" w:firstLine="624"/>
      </w:pPr>
      <w:r w:rsidRPr="008660CB">
        <w:rPr>
          <w:rFonts w:hint="eastAsia"/>
        </w:rPr>
        <w:t>国际跳棋赛事活动参赛指南是国际跳棋爱好者参与国际跳棋赛事活动前需要了解的事项，涵盖赛前、赛中、赛后三个时间段的主要注意事项。希望通过参赛指南，能够帮助爱好者更加便捷的参与国际跳棋赛事活动，帮助国际跳棋赛事活动的有效开展。</w:t>
      </w:r>
      <w:r w:rsidRPr="008660CB">
        <w:rPr>
          <w:rFonts w:hint="eastAsia"/>
          <w:bCs/>
          <w:color w:val="000000"/>
        </w:rPr>
        <w:t>本指南是根据现阶段国内国际跳棋赛事的通用办赛惯例编写，赛事各个阶段的实际要求应以赛事主办方发布的竞赛规程、补充通知和最终解释为准。</w:t>
      </w:r>
    </w:p>
    <w:p w14:paraId="760303C6" w14:textId="77777777" w:rsidR="008F2CB7" w:rsidRPr="008660CB" w:rsidRDefault="008660CB">
      <w:pPr>
        <w:spacing w:line="560" w:lineRule="exact"/>
        <w:ind w:firstLineChars="200" w:firstLine="626"/>
        <w:rPr>
          <w:b/>
        </w:rPr>
      </w:pPr>
      <w:r w:rsidRPr="008660CB">
        <w:rPr>
          <w:rFonts w:hint="eastAsia"/>
          <w:b/>
        </w:rPr>
        <w:t>一、赛前准备</w:t>
      </w:r>
    </w:p>
    <w:p w14:paraId="6CB4B3EB" w14:textId="77777777" w:rsidR="008F2CB7" w:rsidRPr="008660CB" w:rsidRDefault="008660CB">
      <w:pPr>
        <w:spacing w:line="560" w:lineRule="exact"/>
        <w:ind w:firstLineChars="200" w:firstLine="624"/>
        <w:rPr>
          <w:bCs/>
        </w:rPr>
      </w:pPr>
      <w:r w:rsidRPr="008660CB">
        <w:rPr>
          <w:rFonts w:hint="eastAsia"/>
          <w:bCs/>
        </w:rPr>
        <w:t>（一）阅读竞赛规程</w:t>
      </w:r>
    </w:p>
    <w:p w14:paraId="6B673B46" w14:textId="77777777" w:rsidR="008F2CB7" w:rsidRPr="008660CB" w:rsidRDefault="008660CB">
      <w:pPr>
        <w:spacing w:line="560" w:lineRule="exact"/>
        <w:ind w:firstLineChars="200" w:firstLine="624"/>
      </w:pPr>
      <w:r w:rsidRPr="008660CB">
        <w:rPr>
          <w:rFonts w:hint="eastAsia"/>
        </w:rPr>
        <w:t>竞赛规程是组委会举办比赛的纲领性文件，主要包括竞赛名称，主办、承办和协办单位，举办时间和地点，竞赛项目，竞赛办法，参赛办法，食宿条件和奖励办法等。竞赛规程一般会在官方网站上提前公布，使参赛者根据规程合理安排时间，积极作好参赛准备。</w:t>
      </w:r>
    </w:p>
    <w:p w14:paraId="7259E4D6" w14:textId="77777777" w:rsidR="008F2CB7" w:rsidRPr="008660CB" w:rsidRDefault="008660CB">
      <w:pPr>
        <w:spacing w:line="560" w:lineRule="exact"/>
        <w:ind w:firstLineChars="200" w:firstLine="624"/>
        <w:rPr>
          <w:iCs/>
        </w:rPr>
      </w:pPr>
      <w:r w:rsidRPr="008660CB">
        <w:rPr>
          <w:rFonts w:hint="eastAsia"/>
          <w:iCs/>
        </w:rPr>
        <w:t>获取竞赛规程的主要方式：</w:t>
      </w:r>
    </w:p>
    <w:p w14:paraId="7DACE20B" w14:textId="77777777" w:rsidR="008F2CB7" w:rsidRPr="008660CB" w:rsidRDefault="008660CB">
      <w:pPr>
        <w:spacing w:line="560" w:lineRule="exact"/>
        <w:ind w:firstLineChars="200" w:firstLine="624"/>
        <w:rPr>
          <w:iCs/>
        </w:rPr>
      </w:pPr>
      <w:r w:rsidRPr="008660CB">
        <w:rPr>
          <w:rFonts w:hint="eastAsia"/>
          <w:iCs/>
        </w:rPr>
        <w:t>1.</w:t>
      </w:r>
      <w:r w:rsidRPr="008660CB">
        <w:rPr>
          <w:rFonts w:hint="eastAsia"/>
          <w:iCs/>
          <w:spacing w:val="-23"/>
        </w:rPr>
        <w:t>国家体育总局棋牌运动管理中心官网</w:t>
      </w:r>
      <w:r w:rsidRPr="008660CB">
        <w:rPr>
          <w:rFonts w:cs="仿宋_GB2312" w:hint="eastAsia"/>
          <w:iCs/>
          <w:spacing w:val="-23"/>
        </w:rPr>
        <w:t>：</w:t>
      </w:r>
      <w:r w:rsidRPr="008660CB">
        <w:t>http://www.sport.gov.cn/qpzx/</w:t>
      </w:r>
    </w:p>
    <w:p w14:paraId="6C68CD62" w14:textId="77777777" w:rsidR="008F2CB7" w:rsidRPr="008660CB" w:rsidRDefault="008660CB">
      <w:pPr>
        <w:spacing w:line="560" w:lineRule="exact"/>
        <w:ind w:firstLineChars="200" w:firstLine="624"/>
        <w:rPr>
          <w:iCs/>
        </w:rPr>
      </w:pPr>
      <w:r w:rsidRPr="008660CB">
        <w:rPr>
          <w:iCs/>
        </w:rPr>
        <w:t>2.</w:t>
      </w:r>
      <w:r w:rsidRPr="008660CB">
        <w:rPr>
          <w:rFonts w:hint="eastAsia"/>
          <w:iCs/>
        </w:rPr>
        <w:t>中国国际跳棋协会官方头条号</w:t>
      </w:r>
      <w:r w:rsidRPr="008660CB">
        <w:rPr>
          <w:rFonts w:cs="仿宋_GB2312" w:hint="eastAsia"/>
          <w:iCs/>
        </w:rPr>
        <w:t>：国际跳棋和五子棋（今日头条A</w:t>
      </w:r>
      <w:r w:rsidRPr="008660CB">
        <w:rPr>
          <w:rFonts w:cs="仿宋_GB2312"/>
          <w:iCs/>
        </w:rPr>
        <w:t>PP</w:t>
      </w:r>
      <w:r w:rsidRPr="008660CB">
        <w:rPr>
          <w:rFonts w:cs="仿宋_GB2312" w:hint="eastAsia"/>
          <w:iCs/>
        </w:rPr>
        <w:t>）</w:t>
      </w:r>
    </w:p>
    <w:p w14:paraId="0B9C1F84" w14:textId="77777777" w:rsidR="008F2CB7" w:rsidRPr="008660CB" w:rsidRDefault="008660CB">
      <w:pPr>
        <w:spacing w:line="560" w:lineRule="exact"/>
        <w:ind w:firstLineChars="200" w:firstLine="624"/>
        <w:rPr>
          <w:iCs/>
        </w:rPr>
      </w:pPr>
      <w:r w:rsidRPr="008660CB">
        <w:rPr>
          <w:iCs/>
        </w:rPr>
        <w:t>3.</w:t>
      </w:r>
      <w:r w:rsidRPr="008660CB">
        <w:rPr>
          <w:rFonts w:cs="仿宋_GB2312" w:hint="eastAsia"/>
          <w:color w:val="000000"/>
        </w:rPr>
        <w:t>各省、自治区、直辖市、计划单列市</w:t>
      </w:r>
      <w:r w:rsidRPr="008660CB">
        <w:rPr>
          <w:rFonts w:hint="eastAsia"/>
          <w:iCs/>
        </w:rPr>
        <w:t>的棋牌运动管理中心、</w:t>
      </w:r>
      <w:r w:rsidRPr="008660CB">
        <w:rPr>
          <w:rFonts w:hint="eastAsia"/>
          <w:iCs/>
        </w:rPr>
        <w:lastRenderedPageBreak/>
        <w:t>棋院、棋类协会、国际跳棋协会的官方网站也能查询当地国际跳棋赛事活动开展的活动信息和竞赛规程。</w:t>
      </w:r>
    </w:p>
    <w:p w14:paraId="7F71C89E" w14:textId="77777777" w:rsidR="008F2CB7" w:rsidRPr="008660CB" w:rsidRDefault="008660CB">
      <w:pPr>
        <w:numPr>
          <w:ilvl w:val="0"/>
          <w:numId w:val="1"/>
        </w:numPr>
        <w:spacing w:line="560" w:lineRule="exact"/>
        <w:ind w:firstLineChars="200" w:firstLine="624"/>
        <w:rPr>
          <w:bCs/>
        </w:rPr>
      </w:pPr>
      <w:r w:rsidRPr="008660CB">
        <w:rPr>
          <w:rFonts w:hint="eastAsia"/>
          <w:bCs/>
        </w:rPr>
        <w:t>明确参赛资格和要求</w:t>
      </w:r>
    </w:p>
    <w:p w14:paraId="4B2A420B" w14:textId="77777777" w:rsidR="008F2CB7" w:rsidRPr="008660CB" w:rsidRDefault="008660CB">
      <w:pPr>
        <w:spacing w:line="560" w:lineRule="exact"/>
        <w:ind w:firstLineChars="200" w:firstLine="624"/>
      </w:pPr>
      <w:r w:rsidRPr="008660CB">
        <w:rPr>
          <w:rFonts w:hint="eastAsia"/>
        </w:rPr>
        <w:t>各类各级国际跳棋赛事对参赛棋手资格的规定不同。参赛前，爱好者可根据自身情况，比照竞赛规程规定的参赛资格和要求，报名参加国际跳棋赛事。</w:t>
      </w:r>
    </w:p>
    <w:p w14:paraId="2F348886" w14:textId="77777777" w:rsidR="008F2CB7" w:rsidRPr="008660CB" w:rsidRDefault="008660CB">
      <w:pPr>
        <w:spacing w:line="560" w:lineRule="exact"/>
        <w:ind w:firstLineChars="200" w:firstLine="624"/>
        <w:rPr>
          <w:iCs/>
        </w:rPr>
      </w:pPr>
      <w:r w:rsidRPr="008660CB">
        <w:rPr>
          <w:rFonts w:hint="eastAsia"/>
          <w:iCs/>
        </w:rPr>
        <w:t>常见的参赛资格要求：</w:t>
      </w:r>
    </w:p>
    <w:p w14:paraId="0D663F12" w14:textId="77777777" w:rsidR="008F2CB7" w:rsidRPr="008660CB" w:rsidRDefault="008660CB">
      <w:pPr>
        <w:spacing w:line="560" w:lineRule="exact"/>
        <w:ind w:firstLineChars="200" w:firstLine="624"/>
        <w:rPr>
          <w:rFonts w:cs="仿宋_GB2312"/>
          <w:color w:val="000000"/>
        </w:rPr>
      </w:pPr>
      <w:r w:rsidRPr="008660CB">
        <w:rPr>
          <w:rFonts w:cs="仿宋_GB2312"/>
          <w:color w:val="000000"/>
        </w:rPr>
        <w:t>1.</w:t>
      </w:r>
      <w:r w:rsidRPr="008660CB">
        <w:rPr>
          <w:rFonts w:cs="仿宋_GB2312" w:hint="eastAsia"/>
          <w:color w:val="000000"/>
        </w:rPr>
        <w:t>对参赛棋手代表资格的要求，如根据《体育总局棋牌中心关于进行</w:t>
      </w:r>
      <w:r w:rsidRPr="008660CB">
        <w:rPr>
          <w:rFonts w:cs="仿宋_GB2312"/>
          <w:color w:val="000000"/>
        </w:rPr>
        <w:t>2021年度国际跳棋运动员注册工作的通知</w:t>
      </w:r>
      <w:r w:rsidRPr="008660CB">
        <w:rPr>
          <w:rFonts w:cs="仿宋_GB2312" w:hint="eastAsia"/>
          <w:color w:val="000000"/>
        </w:rPr>
        <w:t>》，参赛选手须通过</w:t>
      </w:r>
      <w:r w:rsidRPr="008660CB">
        <w:rPr>
          <w:rFonts w:cs="仿宋_GB2312"/>
          <w:color w:val="000000"/>
        </w:rPr>
        <w:t>20</w:t>
      </w:r>
      <w:r w:rsidRPr="008660CB">
        <w:rPr>
          <w:rFonts w:cs="仿宋_GB2312" w:hint="eastAsia"/>
          <w:color w:val="000000"/>
        </w:rPr>
        <w:t>21年运动员资格注册。</w:t>
      </w:r>
    </w:p>
    <w:p w14:paraId="268E4678" w14:textId="77777777" w:rsidR="008F2CB7" w:rsidRPr="008660CB" w:rsidRDefault="008660CB">
      <w:pPr>
        <w:spacing w:line="560" w:lineRule="exact"/>
        <w:ind w:firstLineChars="200" w:firstLine="624"/>
        <w:rPr>
          <w:iCs/>
        </w:rPr>
      </w:pPr>
      <w:r w:rsidRPr="008660CB">
        <w:rPr>
          <w:iCs/>
        </w:rPr>
        <w:t>2.</w:t>
      </w:r>
      <w:r w:rsidRPr="008660CB">
        <w:rPr>
          <w:rFonts w:hint="eastAsia"/>
          <w:iCs/>
        </w:rPr>
        <w:t>对参赛棋手年龄的要求，如青少年比赛等。</w:t>
      </w:r>
    </w:p>
    <w:p w14:paraId="3B323486" w14:textId="77777777" w:rsidR="008F2CB7" w:rsidRPr="008660CB" w:rsidRDefault="008660CB">
      <w:pPr>
        <w:spacing w:line="560" w:lineRule="exact"/>
        <w:ind w:firstLineChars="200" w:firstLine="624"/>
        <w:rPr>
          <w:iCs/>
        </w:rPr>
      </w:pPr>
      <w:r w:rsidRPr="008660CB">
        <w:rPr>
          <w:rFonts w:hint="eastAsia"/>
          <w:iCs/>
        </w:rPr>
        <w:t>3.对参赛棋手棋力的要求，如全国锦标赛、</w:t>
      </w:r>
      <w:proofErr w:type="gramStart"/>
      <w:r w:rsidRPr="008660CB">
        <w:rPr>
          <w:rFonts w:hint="eastAsia"/>
          <w:iCs/>
        </w:rPr>
        <w:t>全国智运会</w:t>
      </w:r>
      <w:proofErr w:type="gramEnd"/>
      <w:r w:rsidRPr="008660CB">
        <w:rPr>
          <w:rFonts w:hint="eastAsia"/>
          <w:iCs/>
        </w:rPr>
        <w:t>、棋士等级赛等。</w:t>
      </w:r>
    </w:p>
    <w:p w14:paraId="1015C4BC" w14:textId="77777777" w:rsidR="008F2CB7" w:rsidRPr="008660CB" w:rsidRDefault="008660CB">
      <w:pPr>
        <w:spacing w:line="560" w:lineRule="exact"/>
        <w:ind w:firstLineChars="200" w:firstLine="624"/>
        <w:rPr>
          <w:bCs/>
        </w:rPr>
      </w:pPr>
      <w:r w:rsidRPr="008660CB">
        <w:rPr>
          <w:rFonts w:hint="eastAsia"/>
          <w:bCs/>
        </w:rPr>
        <w:t>4.对参赛棋手的健康要求。国际跳棋作为一项智力运动对于身体状况的要求相对较低，但是国际跳棋赛事一般节奏快、轮次多、用时长，爱好者应在确认自身的健康状况足以满足完整参赛赛事的情况下报名参赛。如果对于自身的健康状况存有疑虑，请咨询医生并告知组委会。</w:t>
      </w:r>
    </w:p>
    <w:p w14:paraId="2E2921C9" w14:textId="77777777" w:rsidR="008F2CB7" w:rsidRPr="008660CB" w:rsidRDefault="008660CB">
      <w:pPr>
        <w:numPr>
          <w:ilvl w:val="0"/>
          <w:numId w:val="1"/>
        </w:numPr>
        <w:spacing w:line="560" w:lineRule="exact"/>
        <w:ind w:firstLineChars="200" w:firstLine="624"/>
      </w:pPr>
      <w:r w:rsidRPr="008660CB">
        <w:rPr>
          <w:rFonts w:hint="eastAsia"/>
        </w:rPr>
        <w:t>赛事报名</w:t>
      </w:r>
    </w:p>
    <w:p w14:paraId="7B01EC6A" w14:textId="77777777" w:rsidR="008F2CB7" w:rsidRPr="008660CB" w:rsidRDefault="008660CB">
      <w:pPr>
        <w:spacing w:line="560" w:lineRule="exact"/>
        <w:ind w:firstLineChars="200" w:firstLine="624"/>
      </w:pPr>
      <w:r w:rsidRPr="008660CB">
        <w:rPr>
          <w:rFonts w:hint="eastAsia"/>
        </w:rPr>
        <w:t>全国个人锦标赛、团体锦标赛和青少年锦标赛的国际</w:t>
      </w:r>
      <w:proofErr w:type="gramStart"/>
      <w:r w:rsidRPr="008660CB">
        <w:rPr>
          <w:rFonts w:hint="eastAsia"/>
        </w:rPr>
        <w:t>跳棋棋手</w:t>
      </w:r>
      <w:proofErr w:type="gramEnd"/>
      <w:r w:rsidRPr="008660CB">
        <w:rPr>
          <w:rFonts w:hint="eastAsia"/>
        </w:rPr>
        <w:t>须以各省、自治区、直辖市、计划单列市棋牌主管单位组队参赛。其它比赛根据赛事规程的要求，以棋牌主管单位、学校、俱</w:t>
      </w:r>
      <w:r w:rsidRPr="008660CB">
        <w:rPr>
          <w:rFonts w:hint="eastAsia"/>
        </w:rPr>
        <w:lastRenderedPageBreak/>
        <w:t>乐部和个人等报名参赛。</w:t>
      </w:r>
    </w:p>
    <w:p w14:paraId="13D79AE4" w14:textId="77777777" w:rsidR="008F2CB7" w:rsidRPr="008660CB" w:rsidRDefault="008660CB">
      <w:pPr>
        <w:spacing w:line="560" w:lineRule="exact"/>
        <w:ind w:firstLineChars="200" w:firstLine="624"/>
        <w:rPr>
          <w:iCs/>
        </w:rPr>
      </w:pPr>
      <w:r w:rsidRPr="008660CB">
        <w:rPr>
          <w:rFonts w:hint="eastAsia"/>
        </w:rPr>
        <w:t>除提交报名表之外，大多数国际跳棋赛事以缴纳相关费用作为报名确认的方式，建议爱好者在报名时与竞赛规程注明的联系人确认报名方式。</w:t>
      </w:r>
      <w:r w:rsidRPr="008660CB">
        <w:rPr>
          <w:rFonts w:hint="eastAsia"/>
          <w:iCs/>
        </w:rPr>
        <w:t>报名时可能需要交纳的费用包括参赛费、比赛期间的食宿费和人身意外伤害保险费等。</w:t>
      </w:r>
      <w:r w:rsidRPr="008660CB">
        <w:rPr>
          <w:rFonts w:hint="eastAsia"/>
        </w:rPr>
        <w:t>如果需要缴费确认报名的，建议提前缴费并留存缴费凭证，于赛区报到时出示。</w:t>
      </w:r>
    </w:p>
    <w:p w14:paraId="515DE462" w14:textId="77777777" w:rsidR="008F2CB7" w:rsidRPr="008660CB" w:rsidRDefault="008660CB">
      <w:pPr>
        <w:spacing w:line="560" w:lineRule="exact"/>
        <w:ind w:firstLineChars="200" w:firstLine="626"/>
        <w:rPr>
          <w:b/>
        </w:rPr>
      </w:pPr>
      <w:r w:rsidRPr="008660CB">
        <w:rPr>
          <w:rFonts w:hint="eastAsia"/>
          <w:b/>
        </w:rPr>
        <w:t>二、比赛报到</w:t>
      </w:r>
    </w:p>
    <w:p w14:paraId="1A0F6F5A" w14:textId="77777777" w:rsidR="008F2CB7" w:rsidRPr="008660CB" w:rsidRDefault="008660CB">
      <w:pPr>
        <w:spacing w:line="560" w:lineRule="exact"/>
        <w:ind w:firstLineChars="200" w:firstLine="624"/>
      </w:pPr>
      <w:r w:rsidRPr="008660CB">
        <w:rPr>
          <w:rFonts w:hint="eastAsia"/>
        </w:rPr>
        <w:t>为了确认棋手是否最终参赛，更加准确地进行轮次编排，组委会一般会安排比赛前一天于赛场所在酒店报到处安排代表队签到和办理入住手续。同时，发放棋手证件、秩序册、补充规定、餐券等文件和物品。报到日晚间，组委会一般在赛场召开技术会议。</w:t>
      </w:r>
    </w:p>
    <w:p w14:paraId="5D2F8AD0" w14:textId="77777777" w:rsidR="008F2CB7" w:rsidRPr="008660CB" w:rsidRDefault="008660CB">
      <w:pPr>
        <w:spacing w:line="560" w:lineRule="exact"/>
        <w:ind w:firstLineChars="200" w:firstLine="624"/>
      </w:pPr>
      <w:r w:rsidRPr="008660CB">
        <w:rPr>
          <w:rFonts w:hint="eastAsia"/>
        </w:rPr>
        <w:t>技术会议上需要公布的信息：参赛棋手名单、比赛轮次和用时安排、赛事补充规定、</w:t>
      </w:r>
      <w:proofErr w:type="gramStart"/>
      <w:r w:rsidRPr="008660CB">
        <w:rPr>
          <w:rFonts w:hint="eastAsia"/>
        </w:rPr>
        <w:t>仲裁组</w:t>
      </w:r>
      <w:proofErr w:type="gramEnd"/>
      <w:r w:rsidRPr="008660CB">
        <w:rPr>
          <w:rFonts w:hint="eastAsia"/>
        </w:rPr>
        <w:t>成员、开幕式和闭幕式的注意事项和赛时安全、餐饮等方面的注意事项等。</w:t>
      </w:r>
    </w:p>
    <w:p w14:paraId="03ED3378" w14:textId="434DEE9C" w:rsidR="008F2CB7" w:rsidRPr="008660CB" w:rsidRDefault="008660CB" w:rsidP="008660CB">
      <w:pPr>
        <w:spacing w:line="560" w:lineRule="exact"/>
        <w:ind w:left="643"/>
        <w:rPr>
          <w:b/>
          <w:bCs/>
        </w:rPr>
      </w:pPr>
      <w:r>
        <w:rPr>
          <w:rFonts w:hint="eastAsia"/>
          <w:b/>
          <w:bCs/>
        </w:rPr>
        <w:t>三、</w:t>
      </w:r>
      <w:r w:rsidRPr="008660CB">
        <w:rPr>
          <w:rFonts w:hint="eastAsia"/>
          <w:b/>
          <w:bCs/>
        </w:rPr>
        <w:t>参加开幕式或开棋仪式</w:t>
      </w:r>
    </w:p>
    <w:p w14:paraId="3DDC3745" w14:textId="77777777" w:rsidR="008F2CB7" w:rsidRPr="008660CB" w:rsidRDefault="008660CB">
      <w:pPr>
        <w:spacing w:line="560" w:lineRule="exact"/>
      </w:pPr>
      <w:r w:rsidRPr="008660CB">
        <w:rPr>
          <w:rFonts w:hint="eastAsia"/>
        </w:rPr>
        <w:t xml:space="preserve">    组委会可以根据赛事情况举行开幕式或开棋仪式。开幕式的主要议程是介绍出席的领导和嘉宾、奏中华人民共和国国歌、赛事承办单位领导致欢迎词、赛事主办单位领导讲话、运动员代表宣誓、裁判员代表宣誓、宣布比赛开幕等。参赛人员应着正式服装或队服，准时参加。</w:t>
      </w:r>
    </w:p>
    <w:p w14:paraId="44412024" w14:textId="77777777" w:rsidR="008F2CB7" w:rsidRPr="008660CB" w:rsidRDefault="008660CB">
      <w:pPr>
        <w:spacing w:line="560" w:lineRule="exact"/>
        <w:ind w:firstLineChars="200" w:firstLine="626"/>
        <w:rPr>
          <w:b/>
        </w:rPr>
      </w:pPr>
      <w:r w:rsidRPr="008660CB">
        <w:rPr>
          <w:rFonts w:hint="eastAsia"/>
          <w:b/>
        </w:rPr>
        <w:t>四、参加比赛</w:t>
      </w:r>
    </w:p>
    <w:p w14:paraId="117AE943" w14:textId="77777777" w:rsidR="008F2CB7" w:rsidRPr="008660CB" w:rsidRDefault="008660CB">
      <w:pPr>
        <w:spacing w:line="560" w:lineRule="exact"/>
        <w:ind w:firstLineChars="200" w:firstLine="624"/>
      </w:pPr>
      <w:r w:rsidRPr="008660CB">
        <w:rPr>
          <w:rFonts w:hint="eastAsia"/>
        </w:rPr>
        <w:lastRenderedPageBreak/>
        <w:t>棋手根据比赛规程和日程参加比赛，自觉遵守公正竞赛和公平竞争的原则，尊重对手，尊重裁判，尊重观众。代表队领队和教练作为代表队的负责人，应认真学习并执行赛事规程和细则要求，切实贯彻赛会各项决定，加强对代表队人员的管理、要求和监督。如果赛事中出现违反体育道德、弄虚作假或徇私舞弊的情况，相关赛事管理机构可依据《中国国际跳棋协会赛风赛纪管理规定》(暂行)和《中国国际跳棋赛事管理暂行办法》等文件对有关单位和个人进行处罚。</w:t>
      </w:r>
    </w:p>
    <w:p w14:paraId="33535D32" w14:textId="77777777" w:rsidR="008F2CB7" w:rsidRPr="008660CB" w:rsidRDefault="008660CB">
      <w:pPr>
        <w:spacing w:line="560" w:lineRule="exact"/>
        <w:ind w:leftChars="200" w:left="624"/>
        <w:rPr>
          <w:b/>
          <w:bCs/>
        </w:rPr>
      </w:pPr>
      <w:r w:rsidRPr="008660CB">
        <w:rPr>
          <w:rFonts w:hint="eastAsia"/>
          <w:b/>
          <w:bCs/>
        </w:rPr>
        <w:t>五、闭幕式或颁奖仪式</w:t>
      </w:r>
    </w:p>
    <w:p w14:paraId="202B274D" w14:textId="77777777" w:rsidR="008F2CB7" w:rsidRPr="008660CB" w:rsidRDefault="008660CB">
      <w:pPr>
        <w:spacing w:line="560" w:lineRule="exact"/>
        <w:ind w:firstLineChars="200" w:firstLine="624"/>
      </w:pPr>
      <w:r w:rsidRPr="008660CB">
        <w:rPr>
          <w:rFonts w:hint="eastAsia"/>
        </w:rPr>
        <w:t>组委会可以根据赛事情况举行闭幕式或颁奖仪式。闭幕式的主要议程是介绍出席的领导和嘉宾、裁判长宣布比赛成绩、颁发成绩奖项和荣誉奖项、宣布比赛闭幕等。参赛人员应着正式服装或队服，准时参加。</w:t>
      </w:r>
    </w:p>
    <w:p w14:paraId="328F6A2C" w14:textId="77777777" w:rsidR="008F2CB7" w:rsidRPr="008660CB" w:rsidRDefault="008660CB">
      <w:pPr>
        <w:spacing w:line="560" w:lineRule="exact"/>
        <w:ind w:firstLineChars="200" w:firstLine="626"/>
        <w:rPr>
          <w:b/>
          <w:bCs/>
        </w:rPr>
      </w:pPr>
      <w:r w:rsidRPr="008660CB">
        <w:rPr>
          <w:rFonts w:hint="eastAsia"/>
          <w:b/>
          <w:bCs/>
        </w:rPr>
        <w:t>六、棋手技术等级证书的申办</w:t>
      </w:r>
    </w:p>
    <w:p w14:paraId="42E8F27A" w14:textId="77777777" w:rsidR="008F2CB7" w:rsidRPr="008660CB" w:rsidRDefault="008660CB">
      <w:pPr>
        <w:spacing w:line="560" w:lineRule="exact"/>
        <w:ind w:firstLineChars="200" w:firstLine="624"/>
      </w:pPr>
      <w:r w:rsidRPr="008660CB">
        <w:rPr>
          <w:rFonts w:hint="eastAsia"/>
        </w:rPr>
        <w:t>棋手技术等级称号目前分为：国家特级大师、国家大师、棋协大师、候补棋协大师、棋协一级至九级棋士。技术等级证书由中国国际跳棋协会统一印制，技术等级称号实行分级管理。中国国际跳棋协会主要对国家特级大师、国家大师、棋协大师和候补棋协大师等级称号进行审核和管理。省级国际跳棋协会及相应社会组织对一级至九级棋士等级称号进行审核和管理。具体实施参见《中国国际跳棋协会棋手技术等级管理暂行办法》和《全国国际跳棋比赛技术等级称号标准》。</w:t>
      </w:r>
    </w:p>
    <w:p w14:paraId="23385283" w14:textId="1FC7A280" w:rsidR="008F2CB7" w:rsidRPr="008660CB" w:rsidRDefault="008660CB" w:rsidP="008660CB">
      <w:pPr>
        <w:spacing w:line="560" w:lineRule="exact"/>
        <w:ind w:firstLineChars="200" w:firstLine="626"/>
        <w:rPr>
          <w:b/>
          <w:bCs/>
        </w:rPr>
      </w:pPr>
      <w:r w:rsidRPr="008660CB">
        <w:rPr>
          <w:rFonts w:hint="eastAsia"/>
          <w:b/>
          <w:bCs/>
        </w:rPr>
        <w:lastRenderedPageBreak/>
        <w:t>七、本指南解释权属于国家体育总局棋牌运动管理中心和中国国际跳棋协会。</w:t>
      </w:r>
    </w:p>
    <w:sectPr w:rsidR="008F2CB7" w:rsidRPr="008660CB" w:rsidSect="004704AD">
      <w:footerReference w:type="even" r:id="rId8"/>
      <w:footerReference w:type="default" r:id="rId9"/>
      <w:pgSz w:w="11906" w:h="16838" w:code="9"/>
      <w:pgMar w:top="2098" w:right="1588" w:bottom="1985" w:left="1588" w:header="851" w:footer="992" w:gutter="0"/>
      <w:cols w:space="425"/>
      <w:docGrid w:type="linesAndChars" w:linePitch="579"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B9135" w14:textId="77777777" w:rsidR="000B0E9F" w:rsidRDefault="000B0E9F" w:rsidP="004704AD">
      <w:r>
        <w:separator/>
      </w:r>
    </w:p>
  </w:endnote>
  <w:endnote w:type="continuationSeparator" w:id="0">
    <w:p w14:paraId="268B3F7E" w14:textId="77777777" w:rsidR="000B0E9F" w:rsidRDefault="000B0E9F" w:rsidP="004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09979"/>
    </w:sdtPr>
    <w:sdtEndPr>
      <w:rPr>
        <w:sz w:val="28"/>
        <w:szCs w:val="28"/>
      </w:rPr>
    </w:sdtEndPr>
    <w:sdtContent>
      <w:p w14:paraId="2F752B69" w14:textId="3D254FAD" w:rsidR="004704AD" w:rsidRPr="004704AD" w:rsidRDefault="004704AD" w:rsidP="004704AD">
        <w:pPr>
          <w:pStyle w:val="a3"/>
          <w:ind w:right="360" w:firstLineChars="200" w:firstLine="360"/>
          <w:rPr>
            <w:sz w:val="28"/>
            <w:szCs w:val="28"/>
          </w:rPr>
        </w:pPr>
        <w:r w:rsidRPr="00691F07">
          <w:rPr>
            <w:rFonts w:cstheme="majorBidi" w:hint="eastAsia"/>
            <w:sz w:val="28"/>
            <w:szCs w:val="28"/>
            <w:lang w:val="zh-CN"/>
          </w:rPr>
          <w:t>—</w:t>
        </w:r>
        <w:r w:rsidRPr="00691F07">
          <w:rPr>
            <w:rFonts w:cstheme="majorBidi"/>
            <w:sz w:val="28"/>
            <w:szCs w:val="28"/>
            <w:lang w:val="zh-CN"/>
          </w:rPr>
          <w:t xml:space="preserve"> </w:t>
        </w:r>
        <w:r w:rsidRPr="00691F07">
          <w:rPr>
            <w:rFonts w:cstheme="minorBidi"/>
            <w:sz w:val="28"/>
            <w:szCs w:val="28"/>
          </w:rPr>
          <w:fldChar w:fldCharType="begin"/>
        </w:r>
        <w:r w:rsidRPr="00691F07">
          <w:rPr>
            <w:sz w:val="28"/>
            <w:szCs w:val="28"/>
          </w:rPr>
          <w:instrText>PAGE    \* MERGEFORMAT</w:instrText>
        </w:r>
        <w:r w:rsidRPr="00691F07">
          <w:rPr>
            <w:rFonts w:cstheme="minorBidi"/>
            <w:sz w:val="28"/>
            <w:szCs w:val="28"/>
          </w:rPr>
          <w:fldChar w:fldCharType="separate"/>
        </w:r>
        <w:r>
          <w:rPr>
            <w:sz w:val="28"/>
            <w:szCs w:val="28"/>
          </w:rPr>
          <w:t>1</w:t>
        </w:r>
        <w:r w:rsidRPr="00691F07">
          <w:rPr>
            <w:rFonts w:cstheme="majorBidi"/>
            <w:sz w:val="28"/>
            <w:szCs w:val="28"/>
          </w:rPr>
          <w:fldChar w:fldCharType="end"/>
        </w:r>
        <w:r w:rsidRPr="00691F07">
          <w:rPr>
            <w:rFonts w:cstheme="majorBidi"/>
            <w:sz w:val="28"/>
            <w:szCs w:val="28"/>
            <w:lang w:val="zh-CN"/>
          </w:rPr>
          <w:t xml:space="preserve"> </w:t>
        </w:r>
        <w:r w:rsidRPr="00691F07">
          <w:rPr>
            <w:rFonts w:cstheme="majorBidi" w:hint="eastAsia"/>
            <w:sz w:val="28"/>
            <w:szCs w:val="28"/>
            <w:lang w:val="zh-CN"/>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829150"/>
    </w:sdtPr>
    <w:sdtEndPr>
      <w:rPr>
        <w:sz w:val="28"/>
        <w:szCs w:val="28"/>
      </w:rPr>
    </w:sdtEndPr>
    <w:sdtContent>
      <w:p w14:paraId="0842FDD2" w14:textId="25ACC22A" w:rsidR="004704AD" w:rsidRPr="004704AD" w:rsidRDefault="004704AD" w:rsidP="004704AD">
        <w:pPr>
          <w:pStyle w:val="a3"/>
          <w:ind w:right="360"/>
          <w:jc w:val="right"/>
          <w:rPr>
            <w:sz w:val="28"/>
            <w:szCs w:val="28"/>
          </w:rPr>
        </w:pPr>
        <w:r w:rsidRPr="00691F07">
          <w:rPr>
            <w:rFonts w:cstheme="majorBidi" w:hint="eastAsia"/>
            <w:sz w:val="28"/>
            <w:szCs w:val="28"/>
            <w:lang w:val="zh-CN"/>
          </w:rPr>
          <w:t>—</w:t>
        </w:r>
        <w:r w:rsidRPr="00691F07">
          <w:rPr>
            <w:rFonts w:cstheme="majorBidi"/>
            <w:sz w:val="28"/>
            <w:szCs w:val="28"/>
            <w:lang w:val="zh-CN"/>
          </w:rPr>
          <w:t xml:space="preserve"> </w:t>
        </w:r>
        <w:r w:rsidRPr="00691F07">
          <w:rPr>
            <w:rFonts w:cstheme="minorBidi"/>
            <w:sz w:val="28"/>
            <w:szCs w:val="28"/>
          </w:rPr>
          <w:fldChar w:fldCharType="begin"/>
        </w:r>
        <w:r w:rsidRPr="00691F07">
          <w:rPr>
            <w:sz w:val="28"/>
            <w:szCs w:val="28"/>
          </w:rPr>
          <w:instrText>PAGE    \* MERGEFORMAT</w:instrText>
        </w:r>
        <w:r w:rsidRPr="00691F07">
          <w:rPr>
            <w:rFonts w:cstheme="minorBidi"/>
            <w:sz w:val="28"/>
            <w:szCs w:val="28"/>
          </w:rPr>
          <w:fldChar w:fldCharType="separate"/>
        </w:r>
        <w:r>
          <w:rPr>
            <w:sz w:val="28"/>
            <w:szCs w:val="28"/>
          </w:rPr>
          <w:t>1</w:t>
        </w:r>
        <w:r w:rsidRPr="00691F07">
          <w:rPr>
            <w:rFonts w:cstheme="majorBidi"/>
            <w:sz w:val="28"/>
            <w:szCs w:val="28"/>
          </w:rPr>
          <w:fldChar w:fldCharType="end"/>
        </w:r>
        <w:r w:rsidRPr="00691F07">
          <w:rPr>
            <w:rFonts w:cstheme="majorBidi"/>
            <w:sz w:val="28"/>
            <w:szCs w:val="28"/>
            <w:lang w:val="zh-CN"/>
          </w:rPr>
          <w:t xml:space="preserve"> </w:t>
        </w:r>
        <w:r w:rsidRPr="00691F07">
          <w:rPr>
            <w:rFonts w:cstheme="majorBidi" w:hint="eastAsia"/>
            <w:sz w:val="28"/>
            <w:szCs w:val="28"/>
            <w:lang w:val="zh-C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09A8B" w14:textId="77777777" w:rsidR="000B0E9F" w:rsidRDefault="000B0E9F" w:rsidP="004704AD">
      <w:r>
        <w:separator/>
      </w:r>
    </w:p>
  </w:footnote>
  <w:footnote w:type="continuationSeparator" w:id="0">
    <w:p w14:paraId="6C98B9D8" w14:textId="77777777" w:rsidR="000B0E9F" w:rsidRDefault="000B0E9F" w:rsidP="00470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A98E"/>
    <w:multiLevelType w:val="singleLevel"/>
    <w:tmpl w:val="0428A98E"/>
    <w:lvl w:ilvl="0">
      <w:start w:val="3"/>
      <w:numFmt w:val="chineseCounting"/>
      <w:suff w:val="nothing"/>
      <w:lvlText w:val="%1、"/>
      <w:lvlJc w:val="left"/>
      <w:rPr>
        <w:rFonts w:hint="eastAsia"/>
      </w:rPr>
    </w:lvl>
  </w:abstractNum>
  <w:abstractNum w:abstractNumId="1" w15:restartNumberingAfterBreak="0">
    <w:nsid w:val="34D0D662"/>
    <w:multiLevelType w:val="singleLevel"/>
    <w:tmpl w:val="34D0D662"/>
    <w:lvl w:ilvl="0">
      <w:start w:val="2"/>
      <w:numFmt w:val="chineseCounting"/>
      <w:suff w:val="nothing"/>
      <w:lvlText w:val="（%1）"/>
      <w:lvlJc w:val="left"/>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evenAndOddHeaders/>
  <w:drawingGridHorizontalSpacing w:val="156"/>
  <w:drawingGridVerticalSpacing w:val="57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0F8"/>
    <w:rsid w:val="0007321E"/>
    <w:rsid w:val="000B0E9F"/>
    <w:rsid w:val="00161A13"/>
    <w:rsid w:val="00236873"/>
    <w:rsid w:val="002F40F8"/>
    <w:rsid w:val="00381587"/>
    <w:rsid w:val="0044108B"/>
    <w:rsid w:val="004704AD"/>
    <w:rsid w:val="004F74AB"/>
    <w:rsid w:val="0060756D"/>
    <w:rsid w:val="006B42F4"/>
    <w:rsid w:val="008660CB"/>
    <w:rsid w:val="008A2611"/>
    <w:rsid w:val="008F2CB7"/>
    <w:rsid w:val="00A7199A"/>
    <w:rsid w:val="00BA66D4"/>
    <w:rsid w:val="09570734"/>
    <w:rsid w:val="184822CA"/>
    <w:rsid w:val="1D2512DD"/>
    <w:rsid w:val="39014BD6"/>
    <w:rsid w:val="3FFA054E"/>
    <w:rsid w:val="4D3306A9"/>
    <w:rsid w:val="5E2873B2"/>
    <w:rsid w:val="744331EA"/>
    <w:rsid w:val="7B926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0FE31"/>
  <w15:docId w15:val="{B2C6CA88-D01F-4362-BC5A-0F5B4E37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 w:eastAsia="仿宋" w:hAnsi="仿宋"/>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qFormat/>
    <w:rPr>
      <w:rFonts w:cs="Times New Roman"/>
      <w:color w:val="0563C1"/>
      <w:u w:val="single"/>
    </w:rPr>
  </w:style>
  <w:style w:type="character" w:customStyle="1" w:styleId="a6">
    <w:name w:val="页眉 字符"/>
    <w:basedOn w:val="a0"/>
    <w:link w:val="a5"/>
    <w:qFormat/>
    <w:rPr>
      <w:rFonts w:ascii="仿宋" w:eastAsia="仿宋" w:hAnsi="仿宋"/>
      <w:kern w:val="2"/>
      <w:sz w:val="18"/>
      <w:szCs w:val="18"/>
    </w:rPr>
  </w:style>
  <w:style w:type="character" w:customStyle="1" w:styleId="a4">
    <w:name w:val="页脚 字符"/>
    <w:basedOn w:val="a0"/>
    <w:link w:val="a3"/>
    <w:qFormat/>
    <w:rPr>
      <w:rFonts w:ascii="仿宋" w:eastAsia="仿宋" w:hAnsi="仿宋"/>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dc:creator>
  <cp:lastModifiedBy>Z H</cp:lastModifiedBy>
  <cp:revision>4</cp:revision>
  <cp:lastPrinted>2018-12-30T03:15:00Z</cp:lastPrinted>
  <dcterms:created xsi:type="dcterms:W3CDTF">2021-11-02T06:53:00Z</dcterms:created>
  <dcterms:modified xsi:type="dcterms:W3CDTF">2021-11-03T08:03:00Z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