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500" w:lineRule="atLeast"/>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年全国排舞冠军赛</w:t>
      </w:r>
      <w:r>
        <w:rPr>
          <w:rFonts w:hint="eastAsia" w:ascii="仿宋" w:hAnsi="仿宋" w:eastAsia="仿宋" w:cs="仿宋"/>
          <w:b w:val="0"/>
          <w:bCs w:val="0"/>
          <w:color w:val="auto"/>
          <w:sz w:val="32"/>
          <w:szCs w:val="32"/>
          <w:highlight w:val="none"/>
        </w:rPr>
        <w:t>竞赛规程</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val="0"/>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、竞赛日期和地点：</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（一）比赛时间：</w:t>
      </w:r>
      <w:r>
        <w:rPr>
          <w:rFonts w:hint="eastAsia" w:ascii="仿宋" w:hAnsi="仿宋" w:eastAsia="仿宋" w:cs="仿宋"/>
          <w:color w:val="auto"/>
          <w:sz w:val="28"/>
          <w:szCs w:val="28"/>
          <w:highlight w:val="none"/>
          <w:lang w:val="en-US" w:eastAsia="zh-CN"/>
        </w:rPr>
        <w:t>2021年*月**日-**日</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（二）比赛地点：</w:t>
      </w:r>
      <w:r>
        <w:rPr>
          <w:rFonts w:hint="eastAsia" w:ascii="仿宋" w:hAnsi="仿宋" w:eastAsia="仿宋" w:cs="仿宋"/>
          <w:color w:val="auto"/>
          <w:sz w:val="28"/>
          <w:szCs w:val="28"/>
          <w:highlight w:val="none"/>
          <w:lang w:val="en-US" w:eastAsia="zh-CN"/>
        </w:rPr>
        <w:t>***</w:t>
      </w:r>
    </w:p>
    <w:p>
      <w:pPr>
        <w:keepNext w:val="0"/>
        <w:keepLines w:val="0"/>
        <w:pageBreakBefore w:val="0"/>
        <w:widowControl/>
        <w:kinsoku/>
        <w:wordWrap/>
        <w:overflowPunct/>
        <w:topLinePunct w:val="0"/>
        <w:autoSpaceDE/>
        <w:autoSpaceDN w:val="0"/>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二、参赛单位：</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各幼儿园、大中小学校、各级工会组织、各企事业单位、各级排舞协会、老年大学、各社区排舞队（团）、健身俱乐部及其他排舞爱好者。</w:t>
      </w:r>
    </w:p>
    <w:p>
      <w:pPr>
        <w:keepNext w:val="0"/>
        <w:keepLines w:val="0"/>
        <w:pageBreakBefore w:val="0"/>
        <w:widowControl/>
        <w:numPr>
          <w:ilvl w:val="0"/>
          <w:numId w:val="0"/>
        </w:numPr>
        <w:kinsoku/>
        <w:wordWrap/>
        <w:overflowPunct/>
        <w:topLinePunct w:val="0"/>
        <w:autoSpaceDE/>
        <w:autoSpaceDN w:val="0"/>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三、竞赛组别：</w:t>
      </w:r>
    </w:p>
    <w:p>
      <w:pPr>
        <w:keepNext w:val="0"/>
        <w:keepLines w:val="0"/>
        <w:pageBreakBefore w:val="0"/>
        <w:widowControl/>
        <w:numPr>
          <w:ilvl w:val="0"/>
          <w:numId w:val="0"/>
        </w:numPr>
        <w:kinsoku/>
        <w:wordWrap/>
        <w:overflowPunct/>
        <w:topLinePunct w:val="0"/>
        <w:autoSpaceDE/>
        <w:bidi w:val="0"/>
        <w:adjustRightInd/>
        <w:snapToGrid w:val="0"/>
        <w:spacing w:after="0" w:line="360" w:lineRule="auto"/>
        <w:ind w:left="15" w:leftChars="7" w:right="0" w:rightChars="0" w:firstLine="618" w:firstLineChars="221"/>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一</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学校组</w:t>
      </w:r>
    </w:p>
    <w:p>
      <w:pPr>
        <w:keepNext w:val="0"/>
        <w:keepLines w:val="0"/>
        <w:pageBreakBefore w:val="0"/>
        <w:widowControl/>
        <w:numPr>
          <w:ilvl w:val="0"/>
          <w:numId w:val="0"/>
        </w:numPr>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学生</w:t>
      </w:r>
      <w:r>
        <w:rPr>
          <w:rFonts w:hint="eastAsia" w:ascii="仿宋" w:hAnsi="仿宋" w:eastAsia="仿宋" w:cs="仿宋"/>
          <w:b w:val="0"/>
          <w:bCs w:val="0"/>
          <w:color w:val="auto"/>
          <w:sz w:val="28"/>
          <w:szCs w:val="28"/>
          <w:highlight w:val="none"/>
          <w:lang w:val="en-US" w:eastAsia="zh-CN"/>
        </w:rPr>
        <w:t>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幼儿组（＜7岁）</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（2）小学生乙组</w:t>
      </w:r>
      <w:r>
        <w:rPr>
          <w:rFonts w:hint="eastAsia" w:ascii="仿宋" w:hAnsi="仿宋" w:eastAsia="仿宋" w:cs="仿宋"/>
          <w:color w:val="auto"/>
          <w:sz w:val="28"/>
          <w:szCs w:val="28"/>
          <w:highlight w:val="none"/>
          <w:lang w:eastAsia="zh-CN"/>
        </w:rPr>
        <w:t>（1—3年级）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小学生甲组（4—6年级）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（4）中学生</w:t>
      </w:r>
      <w:r>
        <w:rPr>
          <w:rFonts w:hint="eastAsia" w:ascii="仿宋" w:hAnsi="仿宋" w:eastAsia="仿宋" w:cs="仿宋"/>
          <w:color w:val="auto"/>
          <w:sz w:val="28"/>
          <w:szCs w:val="28"/>
          <w:highlight w:val="none"/>
          <w:lang w:eastAsia="zh-CN"/>
        </w:rPr>
        <w:t>乙组（7—9年级）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中学生甲组（</w:t>
      </w:r>
      <w:r>
        <w:rPr>
          <w:rFonts w:hint="eastAsia" w:ascii="仿宋" w:hAnsi="仿宋" w:eastAsia="仿宋" w:cs="仿宋"/>
          <w:color w:val="auto"/>
          <w:sz w:val="28"/>
          <w:szCs w:val="28"/>
          <w:highlight w:val="none"/>
          <w:lang w:val="en-US" w:eastAsia="zh-CN"/>
        </w:rPr>
        <w:t>10-12年级）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（6）职业中专组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（7）高职高专组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普通院校组（含独立学院、职业学院）</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专业院校组（含体育学院、艺术院校组）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（10）特教学校</w:t>
      </w:r>
      <w:r>
        <w:rPr>
          <w:rFonts w:hint="eastAsia" w:ascii="仿宋" w:hAnsi="仿宋" w:eastAsia="仿宋" w:cs="仿宋"/>
          <w:color w:val="auto"/>
          <w:sz w:val="28"/>
          <w:szCs w:val="28"/>
          <w:highlight w:val="none"/>
          <w:lang w:eastAsia="zh-CN"/>
        </w:rPr>
        <w:t>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2.师生组</w:t>
      </w:r>
      <w:r>
        <w:rPr>
          <w:rFonts w:hint="eastAsia" w:ascii="仿宋" w:hAnsi="仿宋" w:eastAsia="仿宋" w:cs="仿宋"/>
          <w:sz w:val="28"/>
          <w:szCs w:val="28"/>
        </w:rPr>
        <w:t>（学生比例为</w:t>
      </w:r>
      <w:r>
        <w:rPr>
          <w:rFonts w:ascii="仿宋" w:hAnsi="仿宋" w:eastAsia="仿宋" w:cs="仿宋"/>
          <w:sz w:val="28"/>
          <w:szCs w:val="28"/>
        </w:rPr>
        <w:t>40%-70%</w:t>
      </w:r>
      <w:r>
        <w:rPr>
          <w:rFonts w:hint="eastAsia" w:ascii="仿宋" w:hAnsi="仿宋" w:eastAsia="仿宋" w:cs="仿宋"/>
          <w:sz w:val="28"/>
          <w:szCs w:val="28"/>
        </w:rPr>
        <w:t>）</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（1）幼儿组（＜7岁）</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（2）小学生乙组（1—3年级）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（3）小学生甲组（4—6年级）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（4）中学生乙组（7—9年级）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（5）中学生甲组（高中、职业中专）</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（6）高校组（高职高专、普通院校、专业院校）</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3.教师组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职工组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行业体协（青年组、中年组）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产业工会（青年组、中年组）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机关工会（青年组、中年组）</w:t>
      </w:r>
    </w:p>
    <w:p>
      <w:pPr>
        <w:keepNext w:val="0"/>
        <w:keepLines w:val="0"/>
        <w:pageBreakBefore w:val="0"/>
        <w:widowControl/>
        <w:kinsoku/>
        <w:wordWrap/>
        <w:overflowPunct/>
        <w:topLinePunct w:val="0"/>
        <w:autoSpaceDE/>
        <w:bidi w:val="0"/>
        <w:adjustRightInd/>
        <w:snapToGrid w:val="0"/>
        <w:spacing w:after="0" w:line="360" w:lineRule="auto"/>
        <w:ind w:left="15" w:leftChars="0"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注：（1）青年组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平均年龄18-35岁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val="0"/>
        <w:spacing w:after="0" w:line="360" w:lineRule="auto"/>
        <w:ind w:right="0" w:rightChars="0" w:firstLine="1120" w:firstLineChars="4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（2）中年组（平均年龄36-50岁）</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（三）社会</w:t>
      </w:r>
      <w:r>
        <w:rPr>
          <w:rFonts w:hint="eastAsia" w:ascii="仿宋" w:hAnsi="仿宋" w:eastAsia="仿宋" w:cs="仿宋"/>
          <w:color w:val="auto"/>
          <w:sz w:val="28"/>
          <w:szCs w:val="28"/>
          <w:highlight w:val="none"/>
          <w:lang w:val="en-US" w:eastAsia="zh-CN"/>
        </w:rPr>
        <w:t>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1.青年组（</w:t>
      </w:r>
      <w:r>
        <w:rPr>
          <w:rFonts w:hint="eastAsia" w:ascii="仿宋" w:hAnsi="仿宋" w:eastAsia="仿宋" w:cs="仿宋"/>
          <w:color w:val="auto"/>
          <w:sz w:val="28"/>
          <w:szCs w:val="28"/>
          <w:highlight w:val="none"/>
          <w:lang w:val="en-US" w:eastAsia="zh-CN"/>
        </w:rPr>
        <w:t>平均年龄18-35岁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2.中年组（</w:t>
      </w:r>
      <w:r>
        <w:rPr>
          <w:rFonts w:hint="eastAsia" w:ascii="仿宋" w:hAnsi="仿宋" w:eastAsia="仿宋" w:cs="仿宋"/>
          <w:color w:val="auto"/>
          <w:sz w:val="28"/>
          <w:szCs w:val="28"/>
          <w:highlight w:val="none"/>
          <w:lang w:val="en-US" w:eastAsia="zh-CN"/>
        </w:rPr>
        <w:t>平均年龄36-50岁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3.常青组（</w:t>
      </w:r>
      <w:r>
        <w:rPr>
          <w:rFonts w:hint="eastAsia" w:ascii="仿宋" w:hAnsi="仿宋" w:eastAsia="仿宋" w:cs="仿宋"/>
          <w:color w:val="auto"/>
          <w:sz w:val="28"/>
          <w:szCs w:val="28"/>
          <w:highlight w:val="none"/>
          <w:lang w:val="en-US" w:eastAsia="zh-CN"/>
        </w:rPr>
        <w:t>平均年龄51-65岁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）家庭组（具有亲属关系）</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精英组（不限年龄、组别、性别）</w:t>
      </w:r>
    </w:p>
    <w:p>
      <w:pPr>
        <w:keepNext w:val="0"/>
        <w:keepLines w:val="0"/>
        <w:pageBreakBefore w:val="0"/>
        <w:widowControl/>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（六）其他说明：</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精英组参赛资格：在“舞动中国-排舞联赛”分站赛/总决赛、全国排舞锦标赛、中国杯国际排舞公开赛、全国残疾人排舞公开赛中获得各组别各单项特等奖的参赛运动员有资格报名参加精英</w:t>
      </w:r>
      <w:r>
        <w:rPr>
          <w:rFonts w:ascii="仿宋" w:hAnsi="仿宋" w:eastAsia="仿宋" w:cs="仿宋"/>
          <w:sz w:val="28"/>
          <w:szCs w:val="28"/>
        </w:rPr>
        <w:t>组</w:t>
      </w:r>
      <w:r>
        <w:rPr>
          <w:rFonts w:hint="eastAsia" w:ascii="仿宋" w:hAnsi="仿宋" w:eastAsia="仿宋" w:cs="仿宋"/>
          <w:sz w:val="28"/>
          <w:szCs w:val="28"/>
        </w:rPr>
        <w:t>，报名参加精英组的运动员均可兼报学校组、职工组、社会组、家庭组的比赛；</w:t>
      </w:r>
    </w:p>
    <w:p>
      <w:pPr>
        <w:snapToGrid w:val="0"/>
        <w:spacing w:line="360" w:lineRule="auto"/>
        <w:ind w:left="15" w:leftChars="7" w:firstLine="618" w:firstLineChars="221"/>
        <w:rPr>
          <w:rFonts w:ascii="仿宋" w:hAnsi="仿宋" w:eastAsia="仿宋" w:cs="仿宋"/>
          <w:sz w:val="28"/>
          <w:szCs w:val="28"/>
        </w:rPr>
      </w:pPr>
      <w:r>
        <w:rPr>
          <w:rFonts w:ascii="仿宋" w:hAnsi="仿宋" w:eastAsia="仿宋" w:cs="仿宋"/>
          <w:sz w:val="28"/>
          <w:szCs w:val="28"/>
        </w:rPr>
        <w:t>参加精英</w:t>
      </w:r>
      <w:r>
        <w:rPr>
          <w:rFonts w:hint="eastAsia" w:ascii="仿宋" w:hAnsi="仿宋" w:eastAsia="仿宋" w:cs="仿宋"/>
          <w:sz w:val="28"/>
          <w:szCs w:val="28"/>
        </w:rPr>
        <w:t>组</w:t>
      </w:r>
      <w:r>
        <w:rPr>
          <w:rFonts w:ascii="仿宋" w:hAnsi="仿宋" w:eastAsia="仿宋" w:cs="仿宋"/>
          <w:sz w:val="28"/>
          <w:szCs w:val="28"/>
        </w:rPr>
        <w:t>比赛的大集体项目允许更换不超过三名运动员，小集体项目允许更换不超过两名运动员；单人和双人项目不得更换运动员；根据《排舞项目运动员技术等级标准（试行）》，取得相应成绩的运动员可申请通级。</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竞赛项目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项目设置见附件一，</w:t>
      </w:r>
      <w:r>
        <w:rPr>
          <w:rFonts w:hint="eastAsia" w:ascii="仿宋" w:hAnsi="仿宋" w:eastAsia="仿宋" w:cs="仿宋"/>
          <w:strike w:val="0"/>
          <w:dstrike w:val="0"/>
          <w:color w:val="auto"/>
          <w:sz w:val="28"/>
          <w:szCs w:val="28"/>
          <w:highlight w:val="none"/>
          <w:lang w:val="en-US" w:eastAsia="zh-CN"/>
        </w:rPr>
        <w:t>规定曲目列表见附件二</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单人项目：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1.单人初级（两曲）：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（1）初级男生组；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（2）初级女生组；</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单人中级（三曲）：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（1）中级男生组；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（2）中级女生组；</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单人高级（四曲）：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（1）高级男生组；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（2）高级女生组。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（二）混双项目：华尔兹、夜总会、恰恰、桑巴。</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shd w:val="clear" w:color="auto" w:fill="auto"/>
        </w:rPr>
        <w:t>集体项目</w:t>
      </w:r>
      <w:r>
        <w:rPr>
          <w:rFonts w:hint="eastAsia" w:ascii="仿宋" w:hAnsi="仿宋" w:eastAsia="仿宋" w:cs="仿宋"/>
          <w:color w:val="auto"/>
          <w:sz w:val="28"/>
          <w:szCs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集体规定项目；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集体自选项目（以中心推广曲目为限，不得选择本组规定曲目以及中心历年民族采风曲目）：平滑类、律动类、升降起伏类、古巴类、街舞类、舞台类、曳步舞、民族类；</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.集体串烧</w:t>
      </w:r>
      <w:r>
        <w:rPr>
          <w:rFonts w:hint="eastAsia" w:ascii="仿宋" w:hAnsi="仿宋" w:eastAsia="仿宋" w:cs="仿宋"/>
          <w:color w:val="auto"/>
          <w:sz w:val="28"/>
          <w:szCs w:val="28"/>
          <w:highlight w:val="none"/>
          <w:lang w:val="en-US" w:eastAsia="zh-CN"/>
        </w:rPr>
        <w:t>项目（以中心推广曲目和UCWDC本年度推广的高级曲目为限，不得选择本组规定曲目）：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（1）初级串烧（两首初级类曲目串烧）：时长为3＇00″-4＇00″；</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（2）中级串烧（三首中级类曲目串烧）：时长为4＇00″-5＇00″；</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shd w:val="clear" w:color="auto" w:fill="auto"/>
          <w:lang w:val="en-US" w:eastAsia="zh-CN"/>
        </w:rPr>
        <w:t>（3）高级串烧（四首高级类曲目串烧）：时长为5＇00″-6＇30″；</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民族采风项目（曲目列表详见附件三）。</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shd w:val="clear" w:color="auto" w:fill="auto"/>
          <w:lang w:val="en-US" w:eastAsia="zh-CN"/>
        </w:rPr>
        <w:t>原创</w:t>
      </w:r>
      <w:r>
        <w:rPr>
          <w:rFonts w:hint="eastAsia" w:ascii="仿宋" w:hAnsi="仿宋" w:eastAsia="仿宋" w:cs="仿宋"/>
          <w:color w:val="auto"/>
          <w:sz w:val="28"/>
          <w:szCs w:val="28"/>
          <w:highlight w:val="none"/>
          <w:shd w:val="clear" w:color="auto" w:fill="auto"/>
        </w:rPr>
        <w:t>项目</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音乐时长不超过</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4′30″</w:t>
      </w:r>
      <w:r>
        <w:rPr>
          <w:rFonts w:hint="eastAsia" w:ascii="仿宋" w:hAnsi="仿宋" w:eastAsia="仿宋" w:cs="仿宋"/>
          <w:color w:val="auto"/>
          <w:sz w:val="28"/>
          <w:szCs w:val="28"/>
          <w:highlight w:val="none"/>
          <w:shd w:val="clear" w:color="auto" w:fill="auto"/>
          <w:lang w:eastAsia="zh-CN"/>
        </w:rPr>
        <w:t>）：</w:t>
      </w:r>
    </w:p>
    <w:p>
      <w:pPr>
        <w:keepNext w:val="0"/>
        <w:keepLines w:val="0"/>
        <w:pageBreakBefore w:val="0"/>
        <w:widowControl w:val="0"/>
        <w:numPr>
          <w:ilvl w:val="-1"/>
          <w:numId w:val="0"/>
        </w:numPr>
        <w:tabs>
          <w:tab w:val="left" w:pos="420"/>
        </w:tabs>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1.初级原创：</w:t>
      </w:r>
      <w:r>
        <w:rPr>
          <w:rFonts w:hint="eastAsia" w:ascii="仿宋" w:hAnsi="仿宋" w:eastAsia="仿宋" w:cs="仿宋"/>
          <w:sz w:val="28"/>
          <w:szCs w:val="28"/>
          <w:lang w:eastAsia="zh-Hans"/>
        </w:rPr>
        <w:t>至少</w:t>
      </w:r>
      <w:r>
        <w:rPr>
          <w:rFonts w:hint="eastAsia" w:ascii="仿宋" w:hAnsi="仿宋" w:eastAsia="仿宋" w:cs="仿宋"/>
          <w:sz w:val="28"/>
          <w:szCs w:val="28"/>
        </w:rPr>
        <w:t>含4个排舞舞步，拍数在32-48拍之间，旋转不超过18</w:t>
      </w:r>
      <w:r>
        <w:rPr>
          <w:rFonts w:hint="eastAsia" w:ascii="仿宋" w:hAnsi="仿宋" w:eastAsia="仿宋" w:cs="仿宋"/>
          <w:sz w:val="28"/>
          <w:szCs w:val="28"/>
          <w:lang w:val="en-US" w:eastAsia="zh-CN"/>
        </w:rPr>
        <w:t>0</w:t>
      </w:r>
      <w:r>
        <w:rPr>
          <w:rFonts w:hint="eastAsia" w:ascii="仿宋" w:hAnsi="仿宋" w:eastAsia="仿宋" w:cs="仿宋"/>
          <w:sz w:val="28"/>
          <w:szCs w:val="28"/>
        </w:rPr>
        <w:t>°，间奏不超过1个8拍</w:t>
      </w:r>
      <w:r>
        <w:rPr>
          <w:rFonts w:hint="eastAsia" w:ascii="仿宋" w:hAnsi="仿宋" w:eastAsia="仿宋" w:cs="仿宋"/>
          <w:sz w:val="28"/>
          <w:szCs w:val="28"/>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2.中级原创：</w:t>
      </w:r>
      <w:r>
        <w:rPr>
          <w:rFonts w:hint="eastAsia" w:ascii="仿宋" w:hAnsi="仿宋" w:eastAsia="仿宋" w:cs="仿宋"/>
          <w:color w:val="auto"/>
          <w:sz w:val="28"/>
          <w:szCs w:val="28"/>
          <w:highlight w:val="none"/>
          <w:shd w:val="clear" w:color="auto" w:fill="auto"/>
          <w:lang w:eastAsia="zh-CN"/>
        </w:rPr>
        <w:t>至少含8</w:t>
      </w:r>
      <w:r>
        <w:rPr>
          <w:rFonts w:hint="eastAsia" w:ascii="仿宋" w:hAnsi="仿宋" w:eastAsia="仿宋" w:cs="仿宋"/>
          <w:color w:val="auto"/>
          <w:sz w:val="28"/>
          <w:szCs w:val="28"/>
          <w:highlight w:val="none"/>
          <w:shd w:val="clear" w:color="auto" w:fill="auto"/>
        </w:rPr>
        <w:t>个排舞舞步，拍数在64拍以上，旋转不超过36</w:t>
      </w:r>
      <w:r>
        <w:rPr>
          <w:rFonts w:hint="eastAsia" w:ascii="仿宋" w:hAnsi="仿宋" w:eastAsia="仿宋" w:cs="仿宋"/>
          <w:color w:val="auto"/>
          <w:sz w:val="28"/>
          <w:szCs w:val="28"/>
          <w:highlight w:val="none"/>
          <w:shd w:val="clear" w:color="auto" w:fill="auto"/>
          <w:lang w:val="en-US" w:eastAsia="zh-CN"/>
        </w:rPr>
        <w:t>0</w:t>
      </w:r>
      <w:r>
        <w:rPr>
          <w:rFonts w:hint="eastAsia" w:ascii="仿宋" w:hAnsi="仿宋" w:eastAsia="仿宋" w:cs="仿宋"/>
          <w:color w:val="auto"/>
          <w:sz w:val="28"/>
          <w:szCs w:val="28"/>
          <w:highlight w:val="none"/>
          <w:shd w:val="clear" w:color="auto" w:fill="auto"/>
        </w:rPr>
        <w:t>°，4个八拍及以上间奏</w:t>
      </w:r>
      <w:r>
        <w:rPr>
          <w:rFonts w:hint="eastAsia" w:ascii="仿宋" w:hAnsi="仿宋" w:eastAsia="仿宋" w:cs="仿宋"/>
          <w:color w:val="auto"/>
          <w:sz w:val="28"/>
          <w:szCs w:val="28"/>
          <w:highlight w:val="none"/>
          <w:shd w:val="clear" w:color="auto" w:fill="auto"/>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3.高级原创：</w:t>
      </w:r>
      <w:r>
        <w:rPr>
          <w:rFonts w:hint="eastAsia" w:ascii="仿宋" w:hAnsi="仿宋" w:eastAsia="仿宋" w:cs="仿宋"/>
          <w:sz w:val="28"/>
          <w:szCs w:val="28"/>
          <w:lang w:eastAsia="zh-Hans"/>
        </w:rPr>
        <w:t>至少含12</w:t>
      </w:r>
      <w:r>
        <w:rPr>
          <w:rFonts w:hint="eastAsia" w:ascii="仿宋" w:hAnsi="仿宋" w:eastAsia="仿宋" w:cs="仿宋"/>
          <w:sz w:val="28"/>
          <w:szCs w:val="28"/>
        </w:rPr>
        <w:t>个排舞舞步，拍数在96-128拍之间，旋转</w:t>
      </w:r>
      <w:r>
        <w:rPr>
          <w:rFonts w:hint="eastAsia" w:ascii="仿宋" w:hAnsi="仿宋" w:eastAsia="仿宋" w:cs="仿宋"/>
          <w:sz w:val="28"/>
          <w:szCs w:val="28"/>
          <w:lang w:val="en-US" w:eastAsia="zh-CN"/>
        </w:rPr>
        <w:t>450</w:t>
      </w:r>
      <w:r>
        <w:rPr>
          <w:rFonts w:hint="eastAsia" w:ascii="仿宋" w:hAnsi="仿宋" w:eastAsia="仿宋" w:cs="仿宋"/>
          <w:sz w:val="28"/>
          <w:szCs w:val="28"/>
        </w:rPr>
        <w:t>°以上，可有连续&amp;拍动作，允许地面翻滚或小技巧动作，多个组合、间奏及段落重复。</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479" w:leftChars="228" w:firstLine="0" w:firstLineChars="0"/>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shd w:val="clear" w:color="auto" w:fill="auto"/>
          <w:lang w:val="en-US" w:eastAsia="zh-CN"/>
        </w:rPr>
        <w:t>（五）开放</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shd w:val="clear" w:color="auto" w:fill="auto"/>
          <w:lang w:val="en-US" w:eastAsia="zh-CN"/>
        </w:rPr>
        <w:t>表演形式不限，音乐时长不超过6′00″</w:t>
      </w:r>
      <w:r>
        <w:rPr>
          <w:rFonts w:hint="eastAsia" w:ascii="仿宋" w:hAnsi="仿宋" w:eastAsia="仿宋" w:cs="仿宋"/>
          <w:color w:val="auto"/>
          <w:sz w:val="28"/>
          <w:szCs w:val="28"/>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479" w:leftChars="228"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1.年龄组：按照竞赛组别分组；</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479" w:leftChars="228" w:firstLine="0" w:firstLineChars="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2.公开年龄组：年龄不限。</w:t>
      </w:r>
    </w:p>
    <w:p>
      <w:pPr>
        <w:numPr>
          <w:ilvl w:val="255"/>
          <w:numId w:val="0"/>
        </w:numPr>
        <w:snapToGrid w:val="0"/>
        <w:spacing w:line="360" w:lineRule="auto"/>
        <w:ind w:left="479" w:leftChars="228"/>
        <w:rPr>
          <w:rFonts w:ascii="仿宋" w:hAnsi="仿宋" w:eastAsia="仿宋" w:cs="仿宋"/>
          <w:sz w:val="28"/>
          <w:szCs w:val="28"/>
        </w:rPr>
      </w:pPr>
      <w:r>
        <w:rPr>
          <w:rFonts w:hint="eastAsia" w:ascii="仿宋" w:hAnsi="仿宋" w:eastAsia="仿宋" w:cs="仿宋"/>
          <w:sz w:val="28"/>
          <w:szCs w:val="28"/>
        </w:rPr>
        <w:t>（六）精英组：</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1.单人高级（四曲）；</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2.初级串烧（两首初级类曲目串烧）：时长为3＇00″-4＇00″；</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3.中级串烧（三首中级类曲目串烧）：时长为4＇00″-5＇00″；</w:t>
      </w:r>
    </w:p>
    <w:p>
      <w:pPr>
        <w:numPr>
          <w:ilvl w:val="255"/>
          <w:numId w:val="0"/>
        </w:numPr>
        <w:snapToGrid w:val="0"/>
        <w:spacing w:line="360" w:lineRule="auto"/>
        <w:ind w:firstLine="560" w:firstLineChars="200"/>
        <w:rPr>
          <w:rFonts w:ascii="仿宋" w:hAnsi="仿宋" w:eastAsia="仿宋" w:cs="仿宋"/>
          <w:strike/>
          <w:sz w:val="28"/>
          <w:szCs w:val="28"/>
        </w:rPr>
      </w:pPr>
      <w:r>
        <w:rPr>
          <w:rFonts w:hint="eastAsia" w:ascii="仿宋" w:hAnsi="仿宋" w:eastAsia="仿宋" w:cs="仿宋"/>
          <w:sz w:val="28"/>
          <w:szCs w:val="28"/>
        </w:rPr>
        <w:t>4.高级串烧（四首高级类曲目串烧）：时长为5＇00″-6＇30″。</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五、参赛资格：</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（一）参赛运动员不得跨队（师生混合组除外）、不得跨年龄组（家庭组、开放项目的公开年龄组除外）报名；同一名运动员最多可兼报</w:t>
      </w:r>
      <w:r>
        <w:rPr>
          <w:rFonts w:ascii="仿宋" w:hAnsi="仿宋" w:eastAsia="仿宋" w:cs="仿宋"/>
          <w:sz w:val="28"/>
          <w:szCs w:val="28"/>
        </w:rPr>
        <w:t>4</w:t>
      </w:r>
      <w:r>
        <w:rPr>
          <w:rFonts w:hint="eastAsia" w:ascii="仿宋" w:hAnsi="仿宋" w:eastAsia="仿宋" w:cs="仿宋"/>
          <w:sz w:val="28"/>
          <w:szCs w:val="28"/>
        </w:rPr>
        <w:t>项（单人、混双、规定、自选、串烧、民族采风、原创、开放，</w:t>
      </w:r>
      <w:r>
        <w:rPr>
          <w:rFonts w:ascii="仿宋" w:hAnsi="仿宋" w:eastAsia="仿宋" w:cs="仿宋"/>
          <w:sz w:val="28"/>
          <w:szCs w:val="28"/>
        </w:rPr>
        <w:t>8</w:t>
      </w:r>
      <w:r>
        <w:rPr>
          <w:rFonts w:hint="eastAsia" w:ascii="仿宋" w:hAnsi="仿宋" w:eastAsia="仿宋" w:cs="仿宋"/>
          <w:sz w:val="28"/>
          <w:szCs w:val="28"/>
        </w:rPr>
        <w:t>项可选</w:t>
      </w:r>
      <w:r>
        <w:rPr>
          <w:rFonts w:ascii="仿宋" w:hAnsi="仿宋" w:eastAsia="仿宋" w:cs="仿宋"/>
          <w:sz w:val="28"/>
          <w:szCs w:val="28"/>
        </w:rPr>
        <w:t>4</w:t>
      </w:r>
      <w:r>
        <w:rPr>
          <w:rFonts w:hint="eastAsia" w:ascii="仿宋" w:hAnsi="仿宋" w:eastAsia="仿宋" w:cs="仿宋"/>
          <w:sz w:val="28"/>
          <w:szCs w:val="28"/>
        </w:rPr>
        <w:t>项）。</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（二）同一支队伍最多可兼报</w:t>
      </w:r>
      <w:r>
        <w:rPr>
          <w:rFonts w:ascii="仿宋" w:hAnsi="仿宋" w:eastAsia="仿宋" w:cs="仿宋"/>
          <w:sz w:val="28"/>
          <w:szCs w:val="28"/>
        </w:rPr>
        <w:t>6</w:t>
      </w:r>
      <w:r>
        <w:rPr>
          <w:rFonts w:hint="eastAsia" w:ascii="仿宋" w:hAnsi="仿宋" w:eastAsia="仿宋" w:cs="仿宋"/>
          <w:sz w:val="28"/>
          <w:szCs w:val="28"/>
        </w:rPr>
        <w:t>项（单人、混双、规定、自选、串烧、民族采风、原创、开放，</w:t>
      </w:r>
      <w:r>
        <w:rPr>
          <w:rFonts w:ascii="仿宋" w:hAnsi="仿宋" w:eastAsia="仿宋" w:cs="仿宋"/>
          <w:sz w:val="28"/>
          <w:szCs w:val="28"/>
        </w:rPr>
        <w:t>8</w:t>
      </w:r>
      <w:r>
        <w:rPr>
          <w:rFonts w:hint="eastAsia" w:ascii="仿宋" w:hAnsi="仿宋" w:eastAsia="仿宋" w:cs="仿宋"/>
          <w:sz w:val="28"/>
          <w:szCs w:val="28"/>
        </w:rPr>
        <w:t>项可选</w:t>
      </w:r>
      <w:r>
        <w:rPr>
          <w:rFonts w:ascii="仿宋" w:hAnsi="仿宋" w:eastAsia="仿宋" w:cs="仿宋"/>
          <w:sz w:val="28"/>
          <w:szCs w:val="28"/>
        </w:rPr>
        <w:t>6</w:t>
      </w:r>
      <w:r>
        <w:rPr>
          <w:rFonts w:hint="eastAsia" w:ascii="仿宋" w:hAnsi="仿宋" w:eastAsia="仿宋" w:cs="仿宋"/>
          <w:sz w:val="28"/>
          <w:szCs w:val="28"/>
        </w:rPr>
        <w:t>项），单人每项限报</w:t>
      </w:r>
      <w:r>
        <w:rPr>
          <w:rFonts w:ascii="仿宋" w:hAnsi="仿宋" w:eastAsia="仿宋" w:cs="仿宋"/>
          <w:sz w:val="28"/>
          <w:szCs w:val="28"/>
        </w:rPr>
        <w:t>2</w:t>
      </w:r>
      <w:r>
        <w:rPr>
          <w:rFonts w:hint="eastAsia" w:ascii="仿宋" w:hAnsi="仿宋" w:eastAsia="仿宋" w:cs="仿宋"/>
          <w:sz w:val="28"/>
          <w:szCs w:val="28"/>
        </w:rPr>
        <w:t>人，混双每项限报</w:t>
      </w:r>
      <w:r>
        <w:rPr>
          <w:rFonts w:ascii="仿宋" w:hAnsi="仿宋" w:eastAsia="仿宋" w:cs="仿宋"/>
          <w:sz w:val="28"/>
          <w:szCs w:val="28"/>
        </w:rPr>
        <w:t>2</w:t>
      </w:r>
      <w:r>
        <w:rPr>
          <w:rFonts w:hint="eastAsia" w:ascii="仿宋" w:hAnsi="仿宋" w:eastAsia="仿宋" w:cs="仿宋"/>
          <w:sz w:val="28"/>
          <w:szCs w:val="28"/>
        </w:rPr>
        <w:t>对。</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（三）在同组别中，同项目不得重复报名；同一首曲目不得重复比赛，串烧项目中用到的曲目除外。</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（四）每队可报领队1-2名，随队裁判1名（排舞国家级裁判），管理、队医等若干，每队每个项目限报教练2人，报名时需注明教练负责的项目。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（五）各参赛队报名时可报候补运动员，混双项目1人，小集体项目2人，大集体项目3人，只有报名的运动员及候补运动员才有资格参赛，不到现场的候补运动员不予报名参赛。</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（六）运动员参赛时须提交身份证件、县级以上医院出具的健康证明及比赛期间的“人身意外伤害”保险。</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六、参赛人数：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（一）集体项目：</w:t>
      </w:r>
    </w:p>
    <w:p>
      <w:pPr>
        <w:keepNext w:val="0"/>
        <w:keepLines w:val="0"/>
        <w:pageBreakBefore w:val="0"/>
        <w:widowControl/>
        <w:numPr>
          <w:ilvl w:val="-1"/>
          <w:numId w:val="0"/>
        </w:numPr>
        <w:kinsoku/>
        <w:wordWrap/>
        <w:overflowPunct/>
        <w:topLinePunct w:val="0"/>
        <w:autoSpaceDE/>
        <w:autoSpaceDN w:val="0"/>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1.集体</w:t>
      </w:r>
      <w:r>
        <w:rPr>
          <w:rFonts w:hint="eastAsia" w:ascii="仿宋" w:hAnsi="仿宋" w:eastAsia="仿宋" w:cs="仿宋"/>
          <w:color w:val="auto"/>
          <w:sz w:val="28"/>
          <w:szCs w:val="28"/>
          <w:highlight w:val="none"/>
          <w:shd w:val="clear" w:color="auto" w:fill="auto"/>
          <w:lang w:val="en-US" w:eastAsia="zh-CN"/>
        </w:rPr>
        <w:t>项目设置详见附件一：《</w:t>
      </w:r>
      <w:r>
        <w:rPr>
          <w:rFonts w:hint="eastAsia" w:ascii="仿宋" w:hAnsi="仿宋" w:eastAsia="仿宋" w:cs="仿宋"/>
          <w:b w:val="0"/>
          <w:bCs w:val="0"/>
          <w:color w:val="auto"/>
          <w:sz w:val="30"/>
          <w:szCs w:val="30"/>
          <w:highlight w:val="none"/>
          <w:lang w:val="en-US" w:eastAsia="zh-CN"/>
        </w:rPr>
        <w:t>2021年“舞动中国-排舞联赛”总决赛项目组别一览表》</w:t>
      </w:r>
      <w:r>
        <w:rPr>
          <w:rFonts w:hint="eastAsia" w:ascii="仿宋" w:hAnsi="仿宋" w:eastAsia="仿宋" w:cs="仿宋"/>
          <w:color w:val="auto"/>
          <w:sz w:val="28"/>
          <w:szCs w:val="28"/>
          <w:highlight w:val="none"/>
          <w:shd w:val="clear" w:color="auto" w:fil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2.小集体6-12人（含12人）；</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3.大集体13人及以上。</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w:t>
      </w:r>
      <w:r>
        <w:rPr>
          <w:rFonts w:hint="eastAsia" w:ascii="仿宋" w:hAnsi="仿宋" w:eastAsia="仿宋" w:cs="仿宋"/>
          <w:color w:val="auto"/>
          <w:sz w:val="28"/>
          <w:szCs w:val="28"/>
          <w:highlight w:val="none"/>
          <w:lang w:val="en-US" w:eastAsia="zh-CN"/>
        </w:rPr>
        <w:t>原创项目：人数不限。</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shd w:val="clear" w:color="auto" w:fill="auto"/>
          <w:lang w:val="en-US" w:eastAsia="zh-CN"/>
        </w:rPr>
        <w:t>（三）开放项目：</w:t>
      </w:r>
      <w:r>
        <w:rPr>
          <w:rFonts w:hint="eastAsia" w:ascii="仿宋" w:hAnsi="仿宋" w:eastAsia="仿宋" w:cs="仿宋"/>
          <w:color w:val="auto"/>
          <w:sz w:val="28"/>
          <w:szCs w:val="28"/>
          <w:highlight w:val="none"/>
          <w:lang w:val="en-US" w:eastAsia="zh-CN"/>
        </w:rPr>
        <w:t>12人及以上。</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（四）家庭组：2人及以上。</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七、竞赛办法：</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（一）评分规则：采用国家体育总局体操运动管理中心审定的《2021-2024年全国排舞竞赛评分规则》。</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（二）比赛音乐和原创作品要求：</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除串烧、原创、开放项目参赛音乐由各参赛队自备外，其他音乐均由组委会提供；</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由参赛队伍提供的音乐，需提前15天上交（曲目音乐为mp3格式，128K以上，文件名包含项目、组别、参赛单位名称等基本信息）至邮箱：</w:t>
      </w:r>
      <w:r>
        <w:rPr>
          <w:rFonts w:hint="eastAsia" w:ascii="仿宋" w:hAnsi="仿宋" w:eastAsia="仿宋" w:cs="仿宋"/>
          <w:color w:val="auto"/>
          <w:sz w:val="28"/>
          <w:szCs w:val="28"/>
          <w:highlight w:val="none"/>
          <w:shd w:val="clear" w:color="auto" w:fill="auto"/>
          <w:lang w:val="en-US" w:eastAsia="zh-CN"/>
        </w:rPr>
        <w:fldChar w:fldCharType="begin"/>
      </w:r>
      <w:r>
        <w:rPr>
          <w:rFonts w:hint="eastAsia" w:ascii="仿宋" w:hAnsi="仿宋" w:eastAsia="仿宋" w:cs="仿宋"/>
          <w:color w:val="auto"/>
          <w:sz w:val="28"/>
          <w:szCs w:val="28"/>
          <w:highlight w:val="none"/>
          <w:shd w:val="clear" w:color="auto" w:fill="auto"/>
          <w:lang w:val="en-US" w:eastAsia="zh-CN"/>
        </w:rPr>
        <w:instrText xml:space="preserve"> HYPERLINK "mailto:paiwu@linedancechina.com；" </w:instrText>
      </w:r>
      <w:r>
        <w:rPr>
          <w:rFonts w:hint="eastAsia" w:ascii="仿宋" w:hAnsi="仿宋" w:eastAsia="仿宋" w:cs="仿宋"/>
          <w:color w:val="auto"/>
          <w:sz w:val="28"/>
          <w:szCs w:val="28"/>
          <w:highlight w:val="none"/>
          <w:shd w:val="clear" w:color="auto" w:fill="auto"/>
          <w:lang w:val="en-US" w:eastAsia="zh-CN"/>
        </w:rPr>
        <w:fldChar w:fldCharType="separate"/>
      </w:r>
      <w:r>
        <w:rPr>
          <w:rStyle w:val="5"/>
          <w:rFonts w:hint="eastAsia" w:ascii="仿宋" w:hAnsi="仿宋" w:eastAsia="仿宋" w:cs="仿宋"/>
          <w:sz w:val="28"/>
          <w:szCs w:val="28"/>
          <w:highlight w:val="none"/>
          <w:shd w:val="clear" w:color="auto" w:fill="auto"/>
          <w:lang w:val="en-US" w:eastAsia="zh-CN"/>
        </w:rPr>
        <w:t>paiwu@linedancechina.com</w:t>
      </w:r>
      <w:r>
        <w:rPr>
          <w:rStyle w:val="5"/>
          <w:rFonts w:hint="eastAsia" w:ascii="仿宋" w:hAnsi="仿宋" w:eastAsia="仿宋" w:cs="仿宋"/>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fldChar w:fldCharType="end"/>
      </w:r>
      <w:r>
        <w:rPr>
          <w:rFonts w:hint="eastAsia" w:ascii="仿宋" w:hAnsi="仿宋" w:eastAsia="仿宋" w:cs="仿宋"/>
          <w:color w:val="auto"/>
          <w:sz w:val="28"/>
          <w:szCs w:val="28"/>
          <w:highlight w:val="none"/>
          <w:shd w:val="clear" w:color="auto" w:fill="auto"/>
          <w:lang w:val="en-US" w:eastAsia="zh-CN"/>
        </w:rPr>
        <w:t>参加原创项目的队伍需提交原创作品舞谱和视频，组委会审核为首次原创作品后方可参加该项目的比赛。</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（三）比赛场地：比赛场地为不低于16*16平方米的平整场地。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（四）出场顺序：比赛出场顺序由大赛组委会抽签决定。</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录取名次与奖励</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（一）单项奖：</w:t>
      </w:r>
    </w:p>
    <w:p>
      <w:pPr>
        <w:keepNext w:val="0"/>
        <w:keepLines w:val="0"/>
        <w:pageBreakBefore w:val="0"/>
        <w:widowControl/>
        <w:numPr>
          <w:ilvl w:val="0"/>
          <w:numId w:val="0"/>
        </w:numPr>
        <w:kinsoku/>
        <w:wordWrap/>
        <w:overflowPunct/>
        <w:topLinePunct w:val="0"/>
        <w:autoSpaceDE/>
        <w:bidi w:val="0"/>
        <w:adjustRightInd/>
        <w:snapToGrid w:val="0"/>
        <w:spacing w:line="360" w:lineRule="auto"/>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按不同项目和组别</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ascii="仿宋" w:hAnsi="仿宋" w:eastAsia="仿宋" w:cs="仿宋"/>
          <w:color w:val="auto"/>
          <w:sz w:val="28"/>
          <w:szCs w:val="28"/>
        </w:rPr>
        <w:t>3</w:t>
      </w:r>
      <w:r>
        <w:rPr>
          <w:rFonts w:hint="eastAsia" w:ascii="仿宋" w:hAnsi="仿宋" w:eastAsia="仿宋" w:cs="仿宋"/>
          <w:color w:val="auto"/>
          <w:sz w:val="28"/>
          <w:szCs w:val="28"/>
        </w:rPr>
        <w:t>：</w:t>
      </w:r>
      <w:r>
        <w:rPr>
          <w:rFonts w:ascii="仿宋" w:hAnsi="仿宋" w:eastAsia="仿宋" w:cs="仿宋"/>
          <w:color w:val="auto"/>
          <w:sz w:val="28"/>
          <w:szCs w:val="28"/>
        </w:rPr>
        <w:t>4</w:t>
      </w:r>
      <w:r>
        <w:rPr>
          <w:rFonts w:hint="eastAsia" w:ascii="仿宋" w:hAnsi="仿宋" w:eastAsia="仿宋" w:cs="仿宋"/>
          <w:color w:val="auto"/>
          <w:sz w:val="28"/>
          <w:szCs w:val="28"/>
        </w:rPr>
        <w:t>比例录取特</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、一、二</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等奖，颁发证书；</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2.精英</w:t>
      </w:r>
      <w:r>
        <w:rPr>
          <w:rFonts w:ascii="仿宋" w:hAnsi="仿宋" w:eastAsia="仿宋" w:cs="仿宋"/>
          <w:color w:val="auto"/>
          <w:sz w:val="28"/>
          <w:szCs w:val="28"/>
        </w:rPr>
        <w:t>组</w:t>
      </w:r>
      <w:r>
        <w:rPr>
          <w:rFonts w:hint="eastAsia" w:ascii="仿宋" w:hAnsi="仿宋" w:eastAsia="仿宋" w:cs="仿宋"/>
          <w:sz w:val="28"/>
          <w:szCs w:val="28"/>
        </w:rPr>
        <w:t>录取办法：</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（1）单人项目：按各级别分别录取前十六名；参赛运动员不足三人时，不录取成绩；不足十八人时，递减两名录取，以此类推；</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（2）大（小）集体项目：按比赛成绩分别录取前八名；参赛队不足三队时，不录取成绩；不足十队时，递减两名录取，以此类推。</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（二）团体奖：</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计分方法：按照各组别各级别分别计分录取，规定曲目+自选或采风曲目（两项取最好成绩）+串烧曲目三项成绩之和计算团体分，得分高者名次列前，如得分相等，按照串烧、规定、自选（或采风）顺序排列，得分高者名次列前；</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2.各组别团体奖按得分高低录取前八名。</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（三）设特别奖若干：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优秀教练员（获得各项目特等奖的教练员）；</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优秀裁判员（裁判组投票产生）；</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优秀组织奖（</w:t>
      </w:r>
      <w:r>
        <w:rPr>
          <w:rFonts w:hint="eastAsia" w:ascii="仿宋" w:eastAsia="仿宋" w:cs="仿宋"/>
          <w:b w:val="0"/>
          <w:bCs w:val="0"/>
          <w:color w:val="auto"/>
          <w:sz w:val="28"/>
          <w:szCs w:val="28"/>
          <w:lang w:bidi="ar-SA"/>
        </w:rPr>
        <w:t>参赛人数</w:t>
      </w:r>
      <w:r>
        <w:rPr>
          <w:rFonts w:hint="eastAsia" w:ascii="仿宋" w:eastAsia="仿宋" w:cs="仿宋"/>
          <w:b w:val="0"/>
          <w:bCs w:val="0"/>
          <w:color w:val="auto"/>
          <w:sz w:val="28"/>
          <w:szCs w:val="28"/>
          <w:lang w:eastAsia="zh-CN" w:bidi="ar-SA"/>
        </w:rPr>
        <w:t>超过</w:t>
      </w:r>
      <w:r>
        <w:rPr>
          <w:rFonts w:hint="eastAsia" w:ascii="仿宋" w:eastAsia="仿宋" w:cs="仿宋"/>
          <w:b w:val="0"/>
          <w:bCs w:val="0"/>
          <w:color w:val="auto"/>
          <w:sz w:val="28"/>
          <w:szCs w:val="28"/>
          <w:lang w:val="en-US" w:eastAsia="zh-CN" w:bidi="ar-SA"/>
        </w:rPr>
        <w:t>30</w:t>
      </w:r>
      <w:r>
        <w:rPr>
          <w:rFonts w:hint="eastAsia" w:ascii="仿宋" w:eastAsia="仿宋" w:cs="仿宋"/>
          <w:b w:val="0"/>
          <w:bCs w:val="0"/>
          <w:color w:val="auto"/>
          <w:sz w:val="28"/>
          <w:szCs w:val="28"/>
          <w:lang w:bidi="ar-SA"/>
        </w:rPr>
        <w:t>人</w:t>
      </w:r>
      <w:r>
        <w:rPr>
          <w:rFonts w:hint="eastAsia" w:ascii="仿宋" w:eastAsia="仿宋" w:cs="仿宋"/>
          <w:b w:val="0"/>
          <w:bCs w:val="0"/>
          <w:color w:val="auto"/>
          <w:sz w:val="28"/>
          <w:szCs w:val="28"/>
          <w:lang w:eastAsia="zh-CN" w:bidi="ar-SA"/>
        </w:rPr>
        <w:t>，</w:t>
      </w:r>
      <w:r>
        <w:rPr>
          <w:rFonts w:hint="eastAsia" w:ascii="仿宋" w:eastAsia="仿宋" w:cs="仿宋"/>
          <w:b w:val="0"/>
          <w:bCs w:val="0"/>
          <w:color w:val="auto"/>
          <w:sz w:val="28"/>
          <w:szCs w:val="28"/>
          <w:highlight w:val="none"/>
          <w:lang w:eastAsia="zh-CN" w:bidi="ar-SA"/>
        </w:rPr>
        <w:t>且无违反赛风赛纪等规定的</w:t>
      </w:r>
      <w:r>
        <w:rPr>
          <w:rFonts w:hint="eastAsia" w:ascii="仿宋" w:hAnsi="仿宋" w:eastAsia="仿宋" w:cs="仿宋"/>
          <w:color w:val="auto"/>
          <w:sz w:val="28"/>
          <w:szCs w:val="28"/>
          <w:highlight w:val="none"/>
          <w:shd w:val="clear" w:color="auto" w:fil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4</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体育道德风尚奖（根据体育总局相关规定评选）；</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5</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优秀创编奖（自选曲目中选跳最多的曲目的创编者）。</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报名及报到</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名方式：各参赛单位统一在全国排舞广场舞推广中心官方网站（www.linedancechina.com）下载报名表,填写相关人员信息，上传报名表、全队合影照片、比赛音乐（串烧、原创、开放项目）及舞谱（原创项目）至邮箱：</w:t>
      </w:r>
      <w:r>
        <w:rPr>
          <w:rFonts w:hint="eastAsia" w:ascii="仿宋" w:hAnsi="仿宋" w:eastAsia="仿宋" w:cs="仿宋"/>
          <w:color w:val="auto"/>
          <w:sz w:val="28"/>
          <w:szCs w:val="28"/>
          <w:highlight w:val="none"/>
          <w:shd w:val="clear" w:color="auto" w:fill="auto"/>
          <w:lang w:val="en-US" w:eastAsia="zh-CN"/>
        </w:rPr>
        <w:fldChar w:fldCharType="begin"/>
      </w:r>
      <w:r>
        <w:rPr>
          <w:rFonts w:hint="eastAsia" w:ascii="仿宋" w:hAnsi="仿宋" w:eastAsia="仿宋" w:cs="仿宋"/>
          <w:color w:val="auto"/>
          <w:sz w:val="28"/>
          <w:szCs w:val="28"/>
          <w:highlight w:val="none"/>
          <w:shd w:val="clear" w:color="auto" w:fill="auto"/>
          <w:lang w:val="en-US" w:eastAsia="zh-CN"/>
        </w:rPr>
        <w:instrText xml:space="preserve"> HYPERLINK "mailto:paiwu@linedancechina.com；" </w:instrText>
      </w:r>
      <w:r>
        <w:rPr>
          <w:rFonts w:hint="eastAsia" w:ascii="仿宋" w:hAnsi="仿宋" w:eastAsia="仿宋" w:cs="仿宋"/>
          <w:color w:val="auto"/>
          <w:sz w:val="28"/>
          <w:szCs w:val="28"/>
          <w:highlight w:val="none"/>
          <w:shd w:val="clear" w:color="auto" w:fill="auto"/>
          <w:lang w:val="en-US" w:eastAsia="zh-CN"/>
        </w:rPr>
        <w:fldChar w:fldCharType="separate"/>
      </w:r>
      <w:r>
        <w:rPr>
          <w:rStyle w:val="5"/>
          <w:rFonts w:hint="eastAsia" w:ascii="仿宋" w:hAnsi="仿宋" w:eastAsia="仿宋" w:cs="仿宋"/>
          <w:sz w:val="28"/>
          <w:szCs w:val="28"/>
          <w:highlight w:val="none"/>
          <w:shd w:val="clear" w:color="auto" w:fill="auto"/>
          <w:lang w:val="en-US" w:eastAsia="zh-CN"/>
        </w:rPr>
        <w:t>paiwu@linedancechina.com</w:t>
      </w:r>
      <w:r>
        <w:rPr>
          <w:rStyle w:val="5"/>
          <w:rFonts w:hint="eastAsia" w:ascii="仿宋" w:hAnsi="仿宋" w:eastAsia="仿宋" w:cs="仿宋"/>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fldChar w:fldCharType="end"/>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报名截止日期：至2021年**月**日截止，逾期报名，不予受理。</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报名信息将在秩序册、证书等各类比赛文件中出现，确认提交后，不得擅自修改；如出现漏报、错报、多报等问题，由报名单位自行承担相关责任和费用。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报到时间和地点：2021年**月**日；******。</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报到事项：核对信息，上交健康证明、身份证复印件、保险，缴费，领取物资。</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各参赛队伍须严格按照赛事分组报名参赛，如经审核不符合参赛要求，将取消其参赛资格或比赛成绩。</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赛事组委会相关联系方式（工作时间：工作日9：00-17：30）</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1.全国排舞广场舞推广中心：</w:t>
      </w:r>
      <w:r>
        <w:rPr>
          <w:rFonts w:hint="eastAsia" w:ascii="仿宋" w:hAnsi="仿宋" w:eastAsia="仿宋" w:cs="仿宋"/>
          <w:color w:val="auto"/>
          <w:sz w:val="28"/>
          <w:szCs w:val="28"/>
          <w:highlight w:val="none"/>
          <w:shd w:val="clear" w:color="auto" w:fill="auto"/>
          <w:lang w:val="en-US" w:eastAsia="zh-CN"/>
        </w:rPr>
        <w:t>400-926-1758</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报名负责：**   ********；</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3.</w:t>
      </w:r>
      <w:r>
        <w:rPr>
          <w:rFonts w:hint="eastAsia" w:ascii="仿宋" w:hAnsi="仿宋" w:eastAsia="仿宋" w:cs="仿宋"/>
          <w:color w:val="auto"/>
          <w:sz w:val="28"/>
          <w:szCs w:val="28"/>
          <w:highlight w:val="none"/>
          <w:shd w:val="clear" w:color="auto" w:fill="auto"/>
          <w:lang w:val="en-US" w:eastAsia="zh-CN"/>
        </w:rPr>
        <w:t>赛事咨询：**   ********；</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4.</w:t>
      </w:r>
      <w:r>
        <w:rPr>
          <w:rFonts w:hint="eastAsia" w:ascii="仿宋" w:hAnsi="仿宋" w:eastAsia="仿宋" w:cs="仿宋"/>
          <w:color w:val="auto"/>
          <w:sz w:val="28"/>
          <w:szCs w:val="28"/>
          <w:highlight w:val="none"/>
          <w:shd w:val="clear" w:color="auto" w:fill="auto"/>
          <w:lang w:val="en-US" w:eastAsia="zh-CN"/>
        </w:rPr>
        <w:t>赛事联络邮箱：</w:t>
      </w:r>
      <w:r>
        <w:rPr>
          <w:rFonts w:hint="eastAsia" w:ascii="仿宋" w:hAnsi="仿宋" w:eastAsia="仿宋" w:cs="仿宋"/>
          <w:color w:val="auto"/>
          <w:sz w:val="28"/>
          <w:szCs w:val="28"/>
          <w:highlight w:val="none"/>
          <w:u w:val="none"/>
          <w:shd w:val="clear" w:color="auto" w:fill="auto"/>
          <w:lang w:val="en-US" w:eastAsia="zh-CN"/>
        </w:rPr>
        <w:fldChar w:fldCharType="begin"/>
      </w:r>
      <w:r>
        <w:rPr>
          <w:rFonts w:hint="eastAsia" w:ascii="仿宋" w:hAnsi="仿宋" w:eastAsia="仿宋" w:cs="仿宋"/>
          <w:color w:val="auto"/>
          <w:sz w:val="28"/>
          <w:szCs w:val="28"/>
          <w:highlight w:val="none"/>
          <w:u w:val="none"/>
          <w:shd w:val="clear" w:color="auto" w:fill="auto"/>
          <w:lang w:val="en-US" w:eastAsia="zh-CN"/>
        </w:rPr>
        <w:instrText xml:space="preserve"> HYPERLINK "mailto:paiwu@linedancechina.com" </w:instrText>
      </w:r>
      <w:r>
        <w:rPr>
          <w:rFonts w:hint="eastAsia" w:ascii="仿宋" w:hAnsi="仿宋" w:eastAsia="仿宋" w:cs="仿宋"/>
          <w:color w:val="auto"/>
          <w:sz w:val="28"/>
          <w:szCs w:val="28"/>
          <w:highlight w:val="none"/>
          <w:u w:val="none"/>
          <w:shd w:val="clear" w:color="auto" w:fill="auto"/>
          <w:lang w:val="en-US" w:eastAsia="zh-CN"/>
        </w:rPr>
        <w:fldChar w:fldCharType="separate"/>
      </w:r>
      <w:r>
        <w:rPr>
          <w:rStyle w:val="5"/>
          <w:rFonts w:hint="eastAsia" w:ascii="仿宋" w:hAnsi="仿宋" w:eastAsia="仿宋" w:cs="仿宋"/>
          <w:color w:val="auto"/>
          <w:sz w:val="28"/>
          <w:szCs w:val="28"/>
          <w:highlight w:val="none"/>
          <w:u w:val="none"/>
          <w:shd w:val="clear" w:color="auto" w:fill="auto"/>
          <w:lang w:val="en-US" w:eastAsia="zh-CN"/>
        </w:rPr>
        <w:t>paiwu@linedancechina.com</w:t>
      </w:r>
      <w:r>
        <w:rPr>
          <w:rFonts w:hint="eastAsia" w:ascii="仿宋" w:hAnsi="仿宋" w:eastAsia="仿宋" w:cs="仿宋"/>
          <w:color w:val="auto"/>
          <w:sz w:val="28"/>
          <w:szCs w:val="28"/>
          <w:highlight w:val="none"/>
          <w:u w:val="none"/>
          <w:shd w:val="clear" w:color="auto" w:fill="auto"/>
          <w:lang w:val="en-US" w:eastAsia="zh-CN"/>
        </w:rPr>
        <w:fldChar w:fldCharType="end"/>
      </w:r>
      <w:r>
        <w:rPr>
          <w:rFonts w:hint="eastAsia" w:ascii="仿宋" w:hAnsi="仿宋" w:eastAsia="仿宋" w:cs="仿宋"/>
          <w:color w:val="auto"/>
          <w:sz w:val="28"/>
          <w:szCs w:val="28"/>
          <w:highlight w:val="none"/>
          <w:u w:val="none"/>
          <w:shd w:val="clear" w:color="auto" w:fill="auto"/>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5.</w:t>
      </w:r>
      <w:r>
        <w:rPr>
          <w:rFonts w:hint="eastAsia" w:ascii="仿宋" w:hAnsi="仿宋" w:eastAsia="仿宋" w:cs="仿宋"/>
          <w:color w:val="auto"/>
          <w:sz w:val="28"/>
          <w:szCs w:val="28"/>
          <w:highlight w:val="none"/>
          <w:shd w:val="clear" w:color="auto" w:fill="auto"/>
          <w:lang w:val="en-US" w:eastAsia="zh-CN"/>
        </w:rPr>
        <w:t>微信订阅号：排舞中国（微信号：linedancechina）；</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6.中心小助手微信号：paiwu123。</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（八）交通指南：********。</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十、裁判：</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（一）仲裁、总裁判长和高级裁判组由国家体育总局体操运动管理中心和全国排舞广场舞推广中心根据《全国性排舞比赛裁判员管理办法》选派。</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裁判员由随队裁判员和全国排舞广场舞推广中心选调(持有排舞国家级裁判员证书者)相结合,评分裁判由大赛组委会在赛前考核确认；报名的随队裁判员须全程参与裁判工作,如有缺席,不计入裁判经历；辅助裁判由大赛组委会选调。</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（三）裁判员须自带裁判装备：</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1.男士：白色长袖衬衣、黑色或藏蓝色西服套装、深色领带、深色皮鞋；</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2.女士：白色长袖衬衣、黑色或藏蓝色西服套装（裙）、深色皮鞋。</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十一、经费：</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比赛期间参赛人员市内交通、食宿由大会统一安排，经费自理。</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参赛运动员（含替补）需缴纳赛事服务费，每人80元。</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中心选派的仲裁，总裁判长、高级裁判组成员的差旅费、食宿费由组委会负担，各队自荐随队裁判员差旅费、食宿费自理。</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赛事服务费付款方式：</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1.通过银行汇入指定账户：请在汇款单上注明参加赛事及单位名称（例：2021年排舞冠军赛***中学）</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账户名称：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银行账号：</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开户银行：</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行    号：</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2.现场刷公务卡、支付宝、微信付款；</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3.报到时不接受现金缴费。</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十二、</w:t>
      </w:r>
      <w:r>
        <w:rPr>
          <w:rFonts w:hint="eastAsia" w:ascii="仿宋" w:hAnsi="仿宋" w:eastAsia="仿宋" w:cs="仿宋"/>
          <w:color w:val="auto"/>
          <w:sz w:val="28"/>
          <w:szCs w:val="28"/>
          <w:highlight w:val="none"/>
        </w:rPr>
        <w:t>未尽事宜，另行通知。</w:t>
      </w:r>
    </w:p>
    <w:p>
      <w:pPr>
        <w:keepNext w:val="0"/>
        <w:keepLines w:val="0"/>
        <w:pageBreakBefore w:val="0"/>
        <w:kinsoku/>
        <w:wordWrap/>
        <w:overflowPunct/>
        <w:topLinePunct w:val="0"/>
        <w:autoSpaceDE/>
        <w:autoSpaceDN w:val="0"/>
        <w:bidi w:val="0"/>
        <w:adjustRightInd/>
        <w:snapToGrid w:val="0"/>
        <w:spacing w:line="360" w:lineRule="auto"/>
        <w:ind w:firstLine="560" w:firstLineChars="200"/>
        <w:textAlignment w:val="auto"/>
        <w:rPr>
          <w:rFonts w:hint="eastAsia" w:ascii="仿宋" w:eastAsia="仿宋" w:cs="仿宋"/>
          <w:color w:val="000000"/>
          <w:sz w:val="28"/>
          <w:szCs w:val="28"/>
          <w:lang w:bidi="ar-SA"/>
        </w:rPr>
      </w:pPr>
      <w:r>
        <w:rPr>
          <w:rFonts w:hint="eastAsia" w:ascii="仿宋" w:eastAsia="仿宋" w:cs="仿宋"/>
          <w:color w:val="000000"/>
          <w:sz w:val="28"/>
          <w:szCs w:val="28"/>
          <w:lang w:bidi="ar-SA"/>
        </w:rPr>
        <w:t>十</w:t>
      </w:r>
      <w:r>
        <w:rPr>
          <w:rFonts w:hint="eastAsia" w:ascii="仿宋" w:eastAsia="仿宋" w:cs="仿宋"/>
          <w:color w:val="000000"/>
          <w:sz w:val="28"/>
          <w:szCs w:val="28"/>
          <w:lang w:val="en-US" w:eastAsia="zh-CN" w:bidi="ar-SA"/>
        </w:rPr>
        <w:t>三</w:t>
      </w:r>
      <w:r>
        <w:rPr>
          <w:rFonts w:hint="eastAsia" w:ascii="仿宋" w:eastAsia="仿宋" w:cs="仿宋"/>
          <w:color w:val="000000"/>
          <w:sz w:val="28"/>
          <w:szCs w:val="28"/>
          <w:lang w:bidi="ar-SA"/>
        </w:rPr>
        <w:t>、本规程解释权属全国排舞广场舞推广中心。</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28"/>
        <w:textAlignment w:val="auto"/>
        <w:rPr>
          <w:rFonts w:hint="eastAsia" w:ascii="仿宋" w:hAnsi="仿宋" w:eastAsia="仿宋" w:cs="仿宋"/>
          <w:color w:val="auto"/>
          <w:sz w:val="28"/>
          <w:szCs w:val="28"/>
          <w:highlight w:val="none"/>
        </w:rPr>
        <w:sectPr>
          <w:pgSz w:w="11906" w:h="16838"/>
          <w:pgMar w:top="1440" w:right="1587" w:bottom="1440" w:left="1587"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附件一：</w:t>
      </w:r>
    </w:p>
    <w:p>
      <w:pPr>
        <w:autoSpaceDN w:val="0"/>
        <w:snapToGrid w:val="0"/>
        <w:spacing w:line="500" w:lineRule="atLeast"/>
        <w:jc w:val="center"/>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2021年全国排舞冠军赛项目组别一览表</w:t>
      </w:r>
    </w:p>
    <w:tbl>
      <w:tblPr>
        <w:tblStyle w:val="2"/>
        <w:tblpPr w:leftFromText="180" w:rightFromText="180" w:vertAnchor="text" w:horzAnchor="page" w:tblpX="1344" w:tblpY="917"/>
        <w:tblOverlap w:val="never"/>
        <w:tblW w:w="14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0"/>
        <w:gridCol w:w="552"/>
        <w:gridCol w:w="1153"/>
        <w:gridCol w:w="795"/>
        <w:gridCol w:w="420"/>
        <w:gridCol w:w="435"/>
        <w:gridCol w:w="465"/>
        <w:gridCol w:w="480"/>
        <w:gridCol w:w="405"/>
        <w:gridCol w:w="450"/>
        <w:gridCol w:w="465"/>
        <w:gridCol w:w="465"/>
        <w:gridCol w:w="435"/>
        <w:gridCol w:w="405"/>
        <w:gridCol w:w="450"/>
        <w:gridCol w:w="420"/>
        <w:gridCol w:w="25"/>
        <w:gridCol w:w="445"/>
        <w:gridCol w:w="25"/>
        <w:gridCol w:w="420"/>
        <w:gridCol w:w="30"/>
        <w:gridCol w:w="415"/>
        <w:gridCol w:w="5"/>
        <w:gridCol w:w="435"/>
        <w:gridCol w:w="5"/>
        <w:gridCol w:w="400"/>
        <w:gridCol w:w="45"/>
        <w:gridCol w:w="375"/>
        <w:gridCol w:w="70"/>
        <w:gridCol w:w="410"/>
        <w:gridCol w:w="35"/>
        <w:gridCol w:w="445"/>
        <w:gridCol w:w="495"/>
        <w:gridCol w:w="480"/>
        <w:gridCol w:w="433"/>
        <w:gridCol w:w="407"/>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50" w:type="dxa"/>
            <w:gridSpan w:val="4"/>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bdr w:val="single" w:color="000000" w:sz="8" w:space="0"/>
                <w:lang w:val="en-US" w:eastAsia="zh-CN" w:bidi="ar"/>
              </w:rPr>
            </w:pPr>
            <w:r>
              <w:rPr>
                <w:rFonts w:hint="eastAsia" w:ascii="宋体" w:hAnsi="宋体" w:eastAsia="宋体" w:cs="宋体"/>
                <w:i w:val="0"/>
                <w:color w:val="000000"/>
                <w:kern w:val="0"/>
                <w:sz w:val="18"/>
                <w:szCs w:val="18"/>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1945005" cy="505460"/>
                  <wp:effectExtent l="0" t="0" r="17145" b="889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5"/>
                          <a:stretch>
                            <a:fillRect/>
                          </a:stretch>
                        </pic:blipFill>
                        <pic:spPr>
                          <a:xfrm>
                            <a:off x="0" y="0"/>
                            <a:ext cx="1945005" cy="50546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5080</wp:posOffset>
                  </wp:positionV>
                  <wp:extent cx="1896745" cy="1019175"/>
                  <wp:effectExtent l="0" t="0" r="8255" b="952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6"/>
                          <a:stretch>
                            <a:fillRect/>
                          </a:stretch>
                        </pic:blipFill>
                        <pic:spPr>
                          <a:xfrm>
                            <a:off x="0" y="0"/>
                            <a:ext cx="1896745" cy="1019175"/>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lang w:val="en-US" w:eastAsia="zh-CN" w:bidi="ar"/>
              </w:rPr>
              <w:t>项目</w:t>
            </w:r>
          </w:p>
          <w:p>
            <w:pPr>
              <w:ind w:firstLine="1980" w:firstLineChars="900"/>
              <w:rPr>
                <w:rFonts w:hint="eastAsia" w:ascii="宋体" w:hAnsi="宋体" w:eastAsia="宋体" w:cs="宋体"/>
                <w:i w:val="0"/>
                <w:color w:val="000000"/>
                <w:kern w:val="0"/>
                <w:sz w:val="22"/>
                <w:szCs w:val="22"/>
                <w:u w:val="none"/>
                <w:lang w:val="en-US" w:eastAsia="zh-CN" w:bidi="ar"/>
              </w:rPr>
            </w:pPr>
          </w:p>
          <w:p>
            <w:pPr>
              <w:ind w:firstLine="1980" w:firstLineChars="90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选项</w:t>
            </w:r>
          </w:p>
          <w:p>
            <w:pPr>
              <w:ind w:firstLine="440" w:firstLineChars="200"/>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组别</w:t>
            </w:r>
          </w:p>
        </w:tc>
        <w:tc>
          <w:tcPr>
            <w:tcW w:w="1320" w:type="dxa"/>
            <w:gridSpan w:val="3"/>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单人</w:t>
            </w:r>
          </w:p>
        </w:tc>
        <w:tc>
          <w:tcPr>
            <w:tcW w:w="1800" w:type="dxa"/>
            <w:gridSpan w:val="4"/>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混双</w:t>
            </w:r>
          </w:p>
        </w:tc>
        <w:tc>
          <w:tcPr>
            <w:tcW w:w="7168" w:type="dxa"/>
            <w:gridSpan w:val="24"/>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大/小 集 体</w:t>
            </w:r>
          </w:p>
        </w:tc>
        <w:tc>
          <w:tcPr>
            <w:tcW w:w="842"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50" w:type="dxa"/>
            <w:gridSpan w:val="4"/>
            <w:vMerge w:val="continue"/>
            <w:shd w:val="clear" w:color="auto" w:fill="auto"/>
            <w:noWrap/>
            <w:tcMar>
              <w:top w:w="15" w:type="dxa"/>
              <w:left w:w="15" w:type="dxa"/>
              <w:right w:w="15" w:type="dxa"/>
            </w:tcMar>
            <w:vAlign w:val="center"/>
          </w:tcPr>
          <w:p>
            <w:pPr>
              <w:ind w:firstLine="1980" w:firstLineChars="900"/>
              <w:rPr>
                <w:rFonts w:hint="eastAsia" w:ascii="宋体" w:hAnsi="宋体" w:eastAsia="宋体" w:cs="宋体"/>
                <w:i w:val="0"/>
                <w:color w:val="000000"/>
                <w:sz w:val="22"/>
                <w:szCs w:val="22"/>
                <w:u w:val="none"/>
              </w:rPr>
            </w:pPr>
          </w:p>
        </w:tc>
        <w:tc>
          <w:tcPr>
            <w:tcW w:w="420"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初</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r>
              <w:rPr>
                <w:rFonts w:hint="eastAsia" w:ascii="宋体" w:hAnsi="宋体" w:eastAsia="宋体" w:cs="宋体"/>
                <w:i w:val="0"/>
                <w:color w:val="000000"/>
                <w:kern w:val="0"/>
                <w:sz w:val="18"/>
                <w:szCs w:val="18"/>
                <w:u w:val="none"/>
                <w:lang w:val="en-US" w:eastAsia="zh-CN" w:bidi="ar"/>
              </w:rPr>
              <w:br w:type="textWrapping"/>
            </w:r>
          </w:p>
        </w:tc>
        <w:tc>
          <w:tcPr>
            <w:tcW w:w="435"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65"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高</w:t>
            </w:r>
          </w:p>
          <w:p>
            <w:pPr>
              <w:keepNext w:val="0"/>
              <w:keepLines w:val="0"/>
              <w:widowControl/>
              <w:suppressLineNumbers w:val="0"/>
              <w:jc w:val="center"/>
              <w:textAlignment w:val="top"/>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级</w:t>
            </w:r>
            <w:r>
              <w:rPr>
                <w:rFonts w:hint="eastAsia" w:ascii="宋体" w:hAnsi="宋体" w:eastAsia="宋体" w:cs="宋体"/>
                <w:i w:val="0"/>
                <w:color w:val="000000"/>
                <w:kern w:val="0"/>
                <w:sz w:val="18"/>
                <w:szCs w:val="18"/>
                <w:u w:val="none"/>
                <w:lang w:val="en-US" w:eastAsia="zh-CN" w:bidi="ar"/>
              </w:rPr>
              <w:br w:type="textWrapping"/>
            </w:r>
          </w:p>
        </w:tc>
        <w:tc>
          <w:tcPr>
            <w:tcW w:w="480"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华</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尔</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兹</w:t>
            </w:r>
          </w:p>
        </w:tc>
        <w:tc>
          <w:tcPr>
            <w:tcW w:w="405"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夜</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w:t>
            </w:r>
          </w:p>
        </w:tc>
        <w:tc>
          <w:tcPr>
            <w:tcW w:w="450"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恰</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恰</w:t>
            </w:r>
          </w:p>
        </w:tc>
        <w:tc>
          <w:tcPr>
            <w:tcW w:w="465"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桑</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w:t>
            </w:r>
          </w:p>
        </w:tc>
        <w:tc>
          <w:tcPr>
            <w:tcW w:w="465"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w:t>
            </w:r>
          </w:p>
        </w:tc>
        <w:tc>
          <w:tcPr>
            <w:tcW w:w="1290" w:type="dxa"/>
            <w:gridSpan w:val="3"/>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串 烧</w:t>
            </w:r>
          </w:p>
        </w:tc>
        <w:tc>
          <w:tcPr>
            <w:tcW w:w="3525" w:type="dxa"/>
            <w:gridSpan w:val="15"/>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 选</w:t>
            </w:r>
          </w:p>
        </w:tc>
        <w:tc>
          <w:tcPr>
            <w:tcW w:w="480" w:type="dxa"/>
            <w:gridSpan w:val="2"/>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w:t>
            </w:r>
          </w:p>
        </w:tc>
        <w:tc>
          <w:tcPr>
            <w:tcW w:w="1408" w:type="dxa"/>
            <w:gridSpan w:val="3"/>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原创</w:t>
            </w:r>
          </w:p>
        </w:tc>
        <w:tc>
          <w:tcPr>
            <w:tcW w:w="40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龄</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组</w:t>
            </w: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rPr>
        <w:tc>
          <w:tcPr>
            <w:tcW w:w="3050" w:type="dxa"/>
            <w:gridSpan w:val="4"/>
            <w:vMerge w:val="continue"/>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420"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80"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05"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50"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3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初</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0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50"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20"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滑</w:t>
            </w:r>
          </w:p>
        </w:tc>
        <w:tc>
          <w:tcPr>
            <w:tcW w:w="495" w:type="dxa"/>
            <w:gridSpan w:val="3"/>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律</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w:t>
            </w:r>
          </w:p>
        </w:tc>
        <w:tc>
          <w:tcPr>
            <w:tcW w:w="450"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升</w:t>
            </w:r>
          </w:p>
          <w:p>
            <w:pPr>
              <w:keepNext w:val="0"/>
              <w:keepLines w:val="0"/>
              <w:widowControl/>
              <w:suppressLineNumbers w:val="0"/>
              <w:jc w:val="center"/>
              <w:textAlignment w:val="top"/>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降</w:t>
            </w:r>
          </w:p>
        </w:tc>
        <w:tc>
          <w:tcPr>
            <w:tcW w:w="420"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古</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w:t>
            </w:r>
          </w:p>
        </w:tc>
        <w:tc>
          <w:tcPr>
            <w:tcW w:w="43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w:t>
            </w:r>
          </w:p>
        </w:tc>
        <w:tc>
          <w:tcPr>
            <w:tcW w:w="405"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舞</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20"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族</w:t>
            </w:r>
          </w:p>
        </w:tc>
        <w:tc>
          <w:tcPr>
            <w:tcW w:w="480"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曳</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步</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w:t>
            </w:r>
          </w:p>
        </w:tc>
        <w:tc>
          <w:tcPr>
            <w:tcW w:w="480" w:type="dxa"/>
            <w:gridSpan w:val="2"/>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9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初</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80"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中</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33"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高</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级</w:t>
            </w:r>
          </w:p>
        </w:tc>
        <w:tc>
          <w:tcPr>
            <w:tcW w:w="4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tc>
        <w:tc>
          <w:tcPr>
            <w:tcW w:w="435"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组</w:t>
            </w:r>
            <w:bookmarkStart w:id="0" w:name="_GoBack"/>
            <w:bookmarkEnd w:id="0"/>
          </w:p>
        </w:tc>
        <w:tc>
          <w:tcPr>
            <w:tcW w:w="55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幼儿组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（＜7岁）</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小学生乙组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（1-3年级）</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小学生甲组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（4-6年级）</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中学生乙组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（7-9年级）</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中学生甲组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（10-12年级）</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职业中专组</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高职高专组</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高校普通</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院校组</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高校专业</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院校组</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特教学校</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轮椅   </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智力   </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听力   </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残疾组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融合组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师</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混</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w:t>
            </w:r>
          </w:p>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组</w:t>
            </w: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幼儿组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小学生乙组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小学生甲组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中学生乙组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bidi="ar"/>
              </w:rPr>
              <w:t>中学生甲组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高校组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00" w:type="dxa"/>
            <w:gridSpan w:val="3"/>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02" w:type="dxa"/>
            <w:gridSpan w:val="2"/>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职工组</w:t>
            </w: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行业体协</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102"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02"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产业工会</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02"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02"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机关工会</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02"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55" w:type="dxa"/>
            <w:gridSpan w:val="3"/>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w:t>
            </w:r>
            <w:r>
              <w:rPr>
                <w:rStyle w:val="7"/>
                <w:lang w:val="en-US" w:eastAsia="zh-CN" w:bidi="ar"/>
              </w:rPr>
              <w:t>组</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255" w:type="dxa"/>
            <w:gridSpan w:val="3"/>
            <w:vMerge w:val="continue"/>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255" w:type="dxa"/>
            <w:gridSpan w:val="3"/>
            <w:vMerge w:val="continue"/>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常青组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50"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525" w:type="dxa"/>
            <w:gridSpan w:val="15"/>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50"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公开年龄组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50"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精英组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4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r>
    </w:tbl>
    <w:p/>
    <w:p>
      <w:pPr>
        <w:numPr>
          <w:ilvl w:val="0"/>
          <w:numId w:val="0"/>
        </w:numPr>
        <w:shd w:val="clear" w:color="auto" w:fill="auto"/>
        <w:snapToGrid w:val="0"/>
        <w:spacing w:line="500" w:lineRule="atLeast"/>
        <w:jc w:val="left"/>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注：“*”指可选报名；“-”指不可选报名</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sectPr>
          <w:pgSz w:w="16838" w:h="11906" w:orient="landscape"/>
          <w:pgMar w:top="1304" w:right="1440" w:bottom="1304" w:left="1440"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附件二：</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2021年全国排舞冠军赛</w:t>
      </w:r>
      <w:r>
        <w:rPr>
          <w:rFonts w:hint="eastAsia" w:ascii="仿宋" w:hAnsi="仿宋" w:eastAsia="仿宋" w:cs="仿宋"/>
          <w:color w:val="auto"/>
          <w:sz w:val="30"/>
          <w:szCs w:val="30"/>
          <w:highlight w:val="none"/>
          <w:lang w:val="en-US" w:eastAsia="zh-CN"/>
        </w:rPr>
        <w:t>规定曲目一览表</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eastAsia" w:ascii="仿宋" w:hAnsi="仿宋" w:eastAsia="仿宋" w:cs="仿宋"/>
          <w:color w:val="auto"/>
          <w:sz w:val="22"/>
          <w:szCs w:val="22"/>
          <w:highlight w:val="none"/>
          <w:lang w:val="en-US" w:eastAsia="zh-CN"/>
        </w:rPr>
      </w:pPr>
    </w:p>
    <w:tbl>
      <w:tblPr>
        <w:tblStyle w:val="2"/>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2"/>
        <w:gridCol w:w="3606"/>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序号</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组别</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规定曲目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1</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幼儿组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《宝贝宝贝》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2</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小学生乙组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《美好生活》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3</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小学生甲组</w:t>
            </w:r>
          </w:p>
        </w:tc>
        <w:tc>
          <w:tcPr>
            <w:tcW w:w="3771" w:type="dxa"/>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《最靓的仔》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4</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中学生乙组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《牧马人》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5</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中学生甲组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《你最最最重要》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6</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职业中专组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《你最最最重要》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7</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高职高专组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《真棒》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8</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院校组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《真棒》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9</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轮椅公开组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《我依然奔跑在路上》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10</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智力残疾组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《晚安喵》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11</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听力残疾组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《少年郎》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12</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青年组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《西湖谣》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13</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中年组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《走咧走咧去宁夏》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14</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常青组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《祝福祖国》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15</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混双（桑巴）</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《值得跳舞》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16</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混双（恰恰）</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《绝对的》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17</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混双（夜总会）</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color w:val="auto"/>
                <w:kern w:val="0"/>
                <w:sz w:val="22"/>
                <w:szCs w:val="22"/>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《大胆行动》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18</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混双（华尔兹）</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color w:val="auto"/>
                <w:kern w:val="0"/>
                <w:sz w:val="22"/>
                <w:szCs w:val="22"/>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《双心一意》</w:t>
            </w:r>
          </w:p>
        </w:tc>
      </w:tr>
    </w:tbl>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附件三：</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全国排舞广场舞推广中心历年采风曲目一览表</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lang w:val="en-US" w:eastAsia="zh-CN"/>
        </w:rPr>
      </w:pP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343"/>
        <w:gridCol w:w="1039"/>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曲目名称</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曲目名称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《幸福羌寨》</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14</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《直尕思得》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《扎西德勒》</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15</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《摆手欢歌》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《手牵手》</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16</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《神农谷》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《太阳鼓》</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17</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《阿西里西》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《桃花源》</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18</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《千年侗歌》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《郎在高山打一望》</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19</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《欢乐火把节》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《侗乡儿女心向党》</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20</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《健康西藏动起来》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《快乐侗乡》</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21</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《美丽西藏可爱家乡》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《美丽的地方》</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《走咧走咧去宁夏》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《加林赛部落》</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《大红的日子大红的天》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《藏歌唱起来》</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《牡丹花与放羊娃》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12</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《哈达》</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25</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《听到花儿就想家》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《快乐的骑手》</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default" w:ascii="仿宋" w:hAnsi="仿宋" w:eastAsia="仿宋" w:cs="仿宋"/>
          <w:color w:val="auto"/>
          <w:sz w:val="28"/>
          <w:szCs w:val="28"/>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leftChars="228"/>
        <w:textAlignment w:val="auto"/>
        <w:rPr>
          <w:rFonts w:hint="eastAsia" w:ascii="仿宋" w:hAnsi="仿宋" w:eastAsia="仿宋" w:cs="仿宋"/>
          <w:color w:val="auto"/>
          <w:sz w:val="28"/>
          <w:szCs w:val="28"/>
          <w:highlight w:val="none"/>
        </w:rPr>
      </w:pPr>
    </w:p>
    <w:p>
      <w:pPr>
        <w:keepNext w:val="0"/>
        <w:keepLines w:val="0"/>
        <w:pageBreakBefore w:val="0"/>
        <w:widowControl/>
        <w:numPr>
          <w:ilvl w:val="0"/>
          <w:numId w:val="0"/>
        </w:numPr>
        <w:kinsoku/>
        <w:wordWrap/>
        <w:overflowPunct/>
        <w:topLinePunct w:val="0"/>
        <w:autoSpaceDE/>
        <w:autoSpaceDN/>
        <w:bidi w:val="0"/>
        <w:adjustRightInd/>
        <w:snapToGrid/>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p>
    <w:p/>
    <w:p>
      <w:pPr>
        <w:autoSpaceDN w:val="0"/>
        <w:snapToGrid w:val="0"/>
        <w:spacing w:line="500" w:lineRule="atLeast"/>
        <w:jc w:val="center"/>
        <w:rPr>
          <w:rFonts w:hint="eastAsia" w:ascii="仿宋" w:hAnsi="仿宋" w:eastAsia="仿宋" w:cs="仿宋"/>
          <w:b w:val="0"/>
          <w:bCs w:val="0"/>
          <w:color w:val="auto"/>
          <w:sz w:val="30"/>
          <w:szCs w:val="30"/>
          <w:highlight w:val="none"/>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8F834"/>
    <w:multiLevelType w:val="singleLevel"/>
    <w:tmpl w:val="8E38F834"/>
    <w:lvl w:ilvl="0" w:tentative="0">
      <w:start w:val="1"/>
      <w:numFmt w:val="chineseCounting"/>
      <w:suff w:val="nothing"/>
      <w:lvlText w:val="（%1）"/>
      <w:lvlJc w:val="left"/>
      <w:rPr>
        <w:rFonts w:hint="eastAsia"/>
      </w:rPr>
    </w:lvl>
  </w:abstractNum>
  <w:abstractNum w:abstractNumId="1">
    <w:nsid w:val="30C0EA50"/>
    <w:multiLevelType w:val="singleLevel"/>
    <w:tmpl w:val="30C0EA50"/>
    <w:lvl w:ilvl="0" w:tentative="0">
      <w:start w:val="1"/>
      <w:numFmt w:val="chineseCounting"/>
      <w:suff w:val="nothing"/>
      <w:lvlText w:val="（%1）"/>
      <w:lvlJc w:val="left"/>
      <w:rPr>
        <w:rFonts w:hint="eastAsia"/>
      </w:rPr>
    </w:lvl>
  </w:abstractNum>
  <w:abstractNum w:abstractNumId="2">
    <w:nsid w:val="7828716F"/>
    <w:multiLevelType w:val="singleLevel"/>
    <w:tmpl w:val="7828716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0453D"/>
    <w:rsid w:val="01ED2C93"/>
    <w:rsid w:val="0CA04AD3"/>
    <w:rsid w:val="122E47A4"/>
    <w:rsid w:val="1D3066B9"/>
    <w:rsid w:val="22DE5EEA"/>
    <w:rsid w:val="3080453D"/>
    <w:rsid w:val="45361067"/>
    <w:rsid w:val="631D1CE6"/>
    <w:rsid w:val="7913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paragraph" w:customStyle="1" w:styleId="6">
    <w:name w:val="样式1"/>
    <w:basedOn w:val="1"/>
    <w:qFormat/>
    <w:uiPriority w:val="0"/>
    <w:pPr>
      <w:numPr>
        <w:ilvl w:val="0"/>
        <w:numId w:val="0"/>
      </w:numPr>
      <w:tabs>
        <w:tab w:val="left" w:pos="420"/>
      </w:tabs>
      <w:ind w:left="720" w:hanging="720"/>
    </w:pPr>
  </w:style>
  <w:style w:type="character" w:customStyle="1" w:styleId="7">
    <w:name w:val="font1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2021-02-22T05:31:00Z</dcterms:created>
  <dc:creator>Administrator</dc:creator>
  <cp:lastModifiedBy>Administrator</cp:lastModifiedBy>
  <dcterms:modified xsi:type="dcterms:W3CDTF">2021-04-01T07:00:09Z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D7FA2A215B09488BB457836E4CAF34AF</vt:lpwstr>
  </property>
</Properties>
</file>