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C8" w:rsidRDefault="00FE0556">
      <w:pPr>
        <w:autoSpaceDN w:val="0"/>
        <w:snapToGrid w:val="0"/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2021年全国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步舞锦标赛竞赛规程</w:t>
      </w:r>
    </w:p>
    <w:p w:rsidR="00AE6AC8" w:rsidRDefault="00AE6AC8">
      <w:pPr>
        <w:autoSpaceDN w:val="0"/>
        <w:snapToGrid w:val="0"/>
        <w:spacing w:line="500" w:lineRule="exact"/>
        <w:ind w:firstLineChars="200" w:firstLine="400"/>
        <w:jc w:val="left"/>
        <w:rPr>
          <w:rFonts w:ascii="仿宋" w:eastAsia="仿宋" w:hAnsi="仿宋" w:cs="仿宋"/>
          <w:sz w:val="20"/>
        </w:rPr>
      </w:pP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一、竞赛日期和地点：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（一）比赛时间：2021年*月**日-**日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（二）比赛地点：***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二、参赛单位：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（一）各地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步舞协会、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步舞俱乐部（团、队）、各大中小学的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舞队伍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及运动员。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（二）各省级排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中心推荐的优秀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步舞队伍。</w:t>
      </w:r>
    </w:p>
    <w:p w:rsidR="00AE6AC8" w:rsidRDefault="00FE055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三、竞赛组别：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（一）学生组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1.幼儿组（＜7岁）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2.小学生乙组（1—3年级）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3.小学生甲组（4—6年级）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4.中学生乙组（7—9年级）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5.中学生甲组（</w:t>
      </w:r>
      <w:r w:rsidR="000E6471">
        <w:rPr>
          <w:rFonts w:ascii="仿宋" w:eastAsia="仿宋" w:hAnsi="仿宋" w:cs="仿宋" w:hint="eastAsia"/>
          <w:sz w:val="28"/>
          <w:szCs w:val="28"/>
        </w:rPr>
        <w:t>高中、职业中专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 w:rsidR="000E6471">
        <w:rPr>
          <w:rFonts w:ascii="仿宋" w:eastAsia="仿宋" w:hAnsi="仿宋" w:cs="仿宋" w:hint="eastAsia"/>
          <w:sz w:val="28"/>
          <w:szCs w:val="28"/>
        </w:rPr>
        <w:t>高校组（高职高专、普通院校、专业院校）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特教学校组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（二）社会组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1.青年组（18--40岁，含40岁）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2.中年组（30--55岁，含55岁）</w:t>
      </w:r>
    </w:p>
    <w:p w:rsidR="00AE6AC8" w:rsidRPr="00030515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四、竞赛项目（项目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设置见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附件一，规定曲目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列表见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附件</w:t>
      </w:r>
      <w:r w:rsidRPr="00030515">
        <w:rPr>
          <w:rFonts w:ascii="仿宋" w:eastAsia="仿宋" w:hAnsi="仿宋" w:cs="仿宋" w:hint="eastAsia"/>
          <w:sz w:val="28"/>
          <w:szCs w:val="28"/>
        </w:rPr>
        <w:t>二）：</w:t>
      </w:r>
    </w:p>
    <w:p w:rsidR="00AE6AC8" w:rsidRPr="00030515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030515">
        <w:rPr>
          <w:rFonts w:ascii="仿宋" w:eastAsia="仿宋" w:hAnsi="仿宋" w:cs="仿宋" w:hint="eastAsia"/>
          <w:sz w:val="28"/>
          <w:szCs w:val="28"/>
        </w:rPr>
        <w:t>（一）单人项目：曲目不限；音乐时长为1＇30″-2＇00″</w:t>
      </w:r>
      <w:r w:rsidR="00030515" w:rsidRPr="00030515">
        <w:rPr>
          <w:rFonts w:ascii="仿宋" w:eastAsia="仿宋" w:hAnsi="仿宋" w:cs="仿宋" w:hint="eastAsia"/>
          <w:sz w:val="28"/>
          <w:szCs w:val="28"/>
        </w:rPr>
        <w:t>。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（二）小组合项目：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1.小组合规定；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2.小组合自选：曲目及音乐风格不限，可单曲，也可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多曲串烧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，音乐时间为2＇00″-4＇30″。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（三）集体项目：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1.集体规定；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sz w:val="28"/>
          <w:szCs w:val="28"/>
        </w:rPr>
        <w:t>2.集体自选：曲目及音乐风格不限，可单曲，也可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多曲串烧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，音乐时间为2＇00″-4＇30″；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注：集体项目编排时最少要有3个队形变化，运动员比赛中停止时间不得超过一个八拍，自选曲目鼓励进行各种方向转换和滑步动作的舞步运用。</w:t>
      </w:r>
    </w:p>
    <w:p w:rsidR="00AE6AC8" w:rsidRDefault="00FE055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五、参赛资格：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trike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（一）参赛运动员不得跨队、跨年龄组报名；同一名运动员在同一</w:t>
      </w:r>
      <w:r w:rsidRPr="00030515">
        <w:rPr>
          <w:rFonts w:ascii="仿宋" w:eastAsia="仿宋" w:hAnsi="仿宋" w:cs="仿宋" w:hint="eastAsia"/>
          <w:sz w:val="28"/>
          <w:szCs w:val="28"/>
        </w:rPr>
        <w:t>组别中最多可兼报4项（单人、小组合规定、小组合自选、集体规定、集体自选，5项可选</w:t>
      </w:r>
      <w:r w:rsidRPr="00030515">
        <w:rPr>
          <w:rFonts w:ascii="仿宋" w:eastAsia="仿宋" w:hAnsi="仿宋" w:cs="仿宋"/>
          <w:sz w:val="28"/>
          <w:szCs w:val="28"/>
        </w:rPr>
        <w:t>4</w:t>
      </w:r>
      <w:r w:rsidRPr="00030515">
        <w:rPr>
          <w:rFonts w:ascii="仿宋" w:eastAsia="仿宋" w:hAnsi="仿宋" w:cs="仿宋" w:hint="eastAsia"/>
          <w:sz w:val="28"/>
          <w:szCs w:val="28"/>
        </w:rPr>
        <w:t>项）。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（二）同项目不得兼报大集体组和小集体组；同一首曲目不得重复比赛，串烧项目中用到的曲目除外。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（三）每队可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报领队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1-2名、随队裁判1名（全国排舞一级裁判）、管理、队医等若干，每队每个项目限报教练2人，报名时需注明教练负责的项目。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（四）各参赛队报名时可报候补运动员，小组合项目1人，小集体项目2人，大集体项目3人；只有报名的运动员及候补运动员才有资格参赛，不到现场的候补运动员不予报名参赛。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（五）运动员参赛时须提交身份证件、县级以上医院出具的健康证明及比赛期间的“人身意外伤害”保险。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六、参赛人数：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（一）小组合项目：2-5人。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（二）集体项目：小集体6-12人（含12人）；大集体13人及以上。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七、竞赛办法：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（一）评分规则：采用国家体育总局体操运动管理中心审定的《2021-2024年全国排舞竞赛评分规则》。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（二）比赛音乐：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1.规定曲目音乐由组委会提供；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2.单人曲目、自选曲目音乐由参赛队自备,各队在报名时按报名系统要求将制作好的音乐（音乐为128K以上mp3格式，文件名包含项目、组别、参赛单位名称等基本信息）上传，自选曲目须同时上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传音乐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和舞谱交至邮箱：paiwu@linedancechina.com。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（三）比赛场地：比赛场地为不低于16*16平方米的平整场地，比赛场地不得铺设地毯。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（四）出场顺序：比赛出场顺序由大赛组委会抽签决定。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八、录取名次与奖励：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（一）单项奖：按不同项目和组别1：2：3：4比例录取特等、一、二、三等奖，颁发证书。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（二）团体奖：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1.计分方法：按照各组别</w:t>
      </w:r>
      <w:r w:rsidRPr="0076748C">
        <w:rPr>
          <w:rFonts w:ascii="仿宋" w:eastAsia="仿宋" w:hAnsi="仿宋" w:cs="仿宋" w:hint="eastAsia"/>
          <w:sz w:val="28"/>
          <w:szCs w:val="28"/>
        </w:rPr>
        <w:t>单人项目+小组合</w:t>
      </w:r>
      <w:r w:rsidR="007914EE">
        <w:rPr>
          <w:rFonts w:ascii="仿宋" w:eastAsia="仿宋" w:hAnsi="仿宋" w:cs="仿宋" w:hint="eastAsia"/>
          <w:sz w:val="28"/>
          <w:szCs w:val="28"/>
        </w:rPr>
        <w:t>项目（</w:t>
      </w:r>
      <w:r w:rsidR="0076748C" w:rsidRPr="0076748C">
        <w:rPr>
          <w:rFonts w:ascii="仿宋" w:eastAsia="仿宋" w:hAnsi="仿宋" w:cs="仿宋" w:hint="eastAsia"/>
          <w:sz w:val="28"/>
          <w:szCs w:val="28"/>
        </w:rPr>
        <w:t>规定</w:t>
      </w:r>
      <w:r w:rsidRPr="0076748C">
        <w:rPr>
          <w:rFonts w:ascii="仿宋" w:eastAsia="仿宋" w:hAnsi="仿宋" w:cs="仿宋" w:hint="eastAsia"/>
          <w:sz w:val="28"/>
          <w:szCs w:val="28"/>
        </w:rPr>
        <w:t>+</w:t>
      </w:r>
      <w:r w:rsidR="0076748C" w:rsidRPr="0076748C">
        <w:rPr>
          <w:rFonts w:ascii="仿宋" w:eastAsia="仿宋" w:hAnsi="仿宋" w:cs="仿宋" w:hint="eastAsia"/>
          <w:sz w:val="28"/>
          <w:szCs w:val="28"/>
        </w:rPr>
        <w:t>自选</w:t>
      </w:r>
      <w:r w:rsidR="007914EE">
        <w:rPr>
          <w:rFonts w:ascii="仿宋" w:eastAsia="仿宋" w:hAnsi="仿宋" w:cs="仿宋" w:hint="eastAsia"/>
          <w:sz w:val="28"/>
          <w:szCs w:val="28"/>
        </w:rPr>
        <w:t>）</w:t>
      </w:r>
      <w:r w:rsidR="0076748C" w:rsidRPr="0076748C">
        <w:rPr>
          <w:rFonts w:ascii="仿宋" w:eastAsia="仿宋" w:hAnsi="仿宋" w:cs="仿宋" w:hint="eastAsia"/>
          <w:sz w:val="28"/>
          <w:szCs w:val="28"/>
        </w:rPr>
        <w:t>+集体</w:t>
      </w:r>
      <w:r w:rsidR="007914EE">
        <w:rPr>
          <w:rFonts w:ascii="仿宋" w:eastAsia="仿宋" w:hAnsi="仿宋" w:cs="仿宋" w:hint="eastAsia"/>
          <w:sz w:val="28"/>
          <w:szCs w:val="28"/>
        </w:rPr>
        <w:t>项目（</w:t>
      </w:r>
      <w:r w:rsidR="0076748C" w:rsidRPr="0076748C">
        <w:rPr>
          <w:rFonts w:ascii="仿宋" w:eastAsia="仿宋" w:hAnsi="仿宋" w:cs="仿宋" w:hint="eastAsia"/>
          <w:sz w:val="28"/>
          <w:szCs w:val="28"/>
        </w:rPr>
        <w:t>规定+自选</w:t>
      </w:r>
      <w:r w:rsidR="007914EE">
        <w:rPr>
          <w:rFonts w:ascii="仿宋" w:eastAsia="仿宋" w:hAnsi="仿宋" w:cs="仿宋" w:hint="eastAsia"/>
          <w:sz w:val="28"/>
          <w:szCs w:val="28"/>
        </w:rPr>
        <w:t>）</w:t>
      </w:r>
      <w:r w:rsidRPr="0076748C">
        <w:rPr>
          <w:rFonts w:ascii="仿宋" w:eastAsia="仿宋" w:hAnsi="仿宋" w:cs="仿宋" w:hint="eastAsia"/>
          <w:sz w:val="28"/>
          <w:szCs w:val="28"/>
        </w:rPr>
        <w:t>成绩之和计算</w:t>
      </w:r>
      <w:r>
        <w:rPr>
          <w:rFonts w:ascii="仿宋" w:eastAsia="仿宋" w:hAnsi="仿宋" w:cs="仿宋" w:hint="eastAsia"/>
          <w:sz w:val="28"/>
          <w:szCs w:val="28"/>
        </w:rPr>
        <w:t>团体分，得分高者名次列前，如得分相等，依次按照集体项目、小组合项目、单人项目得分排列，得分高者名次列前；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2.各组别团体奖按得分高低录取前八名。</w:t>
      </w:r>
    </w:p>
    <w:p w:rsidR="00AE6AC8" w:rsidRDefault="00FE055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（三）设特别奖若干：</w:t>
      </w:r>
    </w:p>
    <w:p w:rsidR="00AE6AC8" w:rsidRDefault="00FE0556">
      <w:pPr>
        <w:tabs>
          <w:tab w:val="left" w:pos="220"/>
        </w:tabs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1.优秀教练员（获得各项目特等奖的教练员）；</w:t>
      </w:r>
    </w:p>
    <w:p w:rsidR="00AE6AC8" w:rsidRDefault="00FE0556">
      <w:pPr>
        <w:tabs>
          <w:tab w:val="left" w:pos="220"/>
        </w:tabs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2.优秀裁判员（高级裁判组投票产生）；</w:t>
      </w:r>
    </w:p>
    <w:p w:rsidR="00AE6AC8" w:rsidRDefault="00FE0556">
      <w:pPr>
        <w:tabs>
          <w:tab w:val="left" w:pos="220"/>
        </w:tabs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3.优秀组织奖（</w:t>
      </w:r>
      <w:r>
        <w:rPr>
          <w:rFonts w:ascii="仿宋" w:eastAsia="仿宋" w:cs="仿宋" w:hint="eastAsia"/>
          <w:sz w:val="28"/>
          <w:szCs w:val="28"/>
        </w:rPr>
        <w:t>参赛人数超过30人，且无违反赛风赛纪等规定的</w:t>
      </w:r>
      <w:r>
        <w:rPr>
          <w:rFonts w:ascii="仿宋" w:eastAsia="仿宋" w:hAnsi="仿宋" w:cs="仿宋" w:hint="eastAsia"/>
          <w:sz w:val="28"/>
          <w:szCs w:val="28"/>
        </w:rPr>
        <w:t>）；</w:t>
      </w:r>
    </w:p>
    <w:p w:rsidR="00AE6AC8" w:rsidRDefault="00FE0556">
      <w:pPr>
        <w:tabs>
          <w:tab w:val="left" w:pos="220"/>
        </w:tabs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4.体育道德风尚奖（根据体育总局相关规定评选）。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九、报名及报到：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（一）报名方式：各参赛单位统一在全国排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中心官方网站（www.linedancechina.com）下载报名表,填写相关人员信息，上传报名表、全队合影照片、比赛音乐（单人、自选项目）及舞谱（自选项目）至邮箱：</w:t>
      </w:r>
      <w:r>
        <w:rPr>
          <w:rFonts w:hint="eastAsia"/>
        </w:rPr>
        <w:fldChar w:fldCharType="begin"/>
      </w:r>
      <w:r>
        <w:instrText xml:space="preserve"> HYPERLINK "mailto:paiwu@linedancechina.com</w:instrText>
      </w:r>
      <w:r>
        <w:instrText>；</w:instrText>
      </w:r>
      <w:r>
        <w:instrText xml:space="preserve">" </w:instrText>
      </w:r>
      <w:r>
        <w:rPr>
          <w:rFonts w:hint="eastAsia"/>
        </w:rPr>
        <w:fldChar w:fldCharType="separate"/>
      </w:r>
      <w:r>
        <w:rPr>
          <w:rStyle w:val="a4"/>
          <w:rFonts w:ascii="仿宋" w:eastAsia="仿宋" w:hAnsi="仿宋" w:cs="仿宋" w:hint="eastAsia"/>
          <w:sz w:val="28"/>
          <w:szCs w:val="28"/>
        </w:rPr>
        <w:t>paiwu@linedancechina.com</w:t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。</w:t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fldChar w:fldCharType="end"/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（二）报名截止日期：至2021年**月**日截止，逾期报名，不予受理。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（三）报名信息将在秩序册、证书等各类比赛文件中出现，确认提交后，不得擅自修改；如出现漏报、错报、多报等问题，由报名单位自行承担相关责任和费用。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（四）报到时间和地点：2021年**月**日；******。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（五）报到事项：核对信息，上交健康证明、身份证复印件、保险，缴费，领取物资。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（六）各参赛队伍须严格按照赛事分组报名参赛，如经审核不符合参赛要求，将取消其参赛资格或比赛成绩。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（七）赛事组委会相关联系方式（工作时间：工作日9：00-17：30）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中心：400-926-1758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2.报名负责：**   ********；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3.赛事咨询：**   ********；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4.赛事联络邮箱：paiwu@linedancechina.com；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微信订阅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号：排舞中国（微信号：</w:t>
      </w:r>
      <w:proofErr w:type="spellStart"/>
      <w:r>
        <w:rPr>
          <w:rFonts w:ascii="仿宋" w:eastAsia="仿宋" w:hAnsi="仿宋" w:cs="仿宋" w:hint="eastAsia"/>
          <w:sz w:val="28"/>
          <w:szCs w:val="28"/>
        </w:rPr>
        <w:t>linedancechina</w:t>
      </w:r>
      <w:proofErr w:type="spellEnd"/>
      <w:r>
        <w:rPr>
          <w:rFonts w:ascii="仿宋" w:eastAsia="仿宋" w:hAnsi="仿宋" w:cs="仿宋" w:hint="eastAsia"/>
          <w:sz w:val="28"/>
          <w:szCs w:val="28"/>
        </w:rPr>
        <w:t>）；</w:t>
      </w:r>
    </w:p>
    <w:p w:rsidR="00AE6AC8" w:rsidRDefault="00FE0556">
      <w:pPr>
        <w:numPr>
          <w:ilvl w:val="255"/>
          <w:numId w:val="0"/>
        </w:numPr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6.中心小助手微信号：paiwu123。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（八）交通指南：********。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十、仲裁委员会和裁判员：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（一）仲裁、总裁判长和高级裁判组由国家体育总局体操运动管理中心和全国排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中心根据《全国性排舞比赛裁判员管理办法》选派。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（二）裁判员由随队裁判员和全国排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舞广场舞推广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中心选调(持有一级及以上级别裁判员资格证书者)相结合,评分裁判由大赛组委会在赛前考核确认；报名的随队裁判员须全程参与裁判工作,如有缺席,不计入裁判经历；辅助裁判由大赛组委会选调。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（三）裁判员须自带裁判装备：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1.男士：白色长袖衬衣、黑色或藏蓝色西服套装、深色领带、深色皮鞋；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2.女士：白色长袖衬衣、黑色或藏蓝色西服套装（裙）、深色皮鞋。</w:t>
      </w:r>
    </w:p>
    <w:p w:rsidR="00AE6AC8" w:rsidRDefault="00FE0556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十一、经费：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（一）比赛期间参赛人员市内交通、食宿由大会统一安排，经费自理。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（二）参赛运动员（含替补）需缴纳赛事服务费，每人80元。 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（三）中心选派的仲裁、总裁判长、高级裁判组成员的差旅费、食宿费由组委会负担，各队自荐随队裁判员差旅费、食宿费自理。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（四）赛事服务费付款方式：</w:t>
      </w:r>
    </w:p>
    <w:p w:rsidR="00AE6AC8" w:rsidRDefault="00FE0556">
      <w:pPr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通过银行汇入指定账户：请在汇款单上注明参加赛事及单位名称（例：2021年全国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步舞锦标赛***中学）</w:t>
      </w:r>
    </w:p>
    <w:p w:rsidR="00AE6AC8" w:rsidRDefault="00FE0556">
      <w:pPr>
        <w:snapToGrid w:val="0"/>
        <w:spacing w:line="360" w:lineRule="auto"/>
        <w:ind w:leftChars="150" w:left="31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账户名称：</w:t>
      </w:r>
    </w:p>
    <w:p w:rsidR="00AE6AC8" w:rsidRDefault="00FE0556">
      <w:pPr>
        <w:snapToGrid w:val="0"/>
        <w:spacing w:line="360" w:lineRule="auto"/>
        <w:ind w:leftChars="150" w:left="31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银行账号：</w:t>
      </w:r>
    </w:p>
    <w:p w:rsidR="00AE6AC8" w:rsidRDefault="00FE0556">
      <w:pPr>
        <w:snapToGrid w:val="0"/>
        <w:spacing w:line="360" w:lineRule="auto"/>
        <w:ind w:leftChars="150" w:left="31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开户银行：</w:t>
      </w:r>
    </w:p>
    <w:p w:rsidR="00AE6AC8" w:rsidRDefault="00FE0556">
      <w:pPr>
        <w:snapToGrid w:val="0"/>
        <w:spacing w:line="360" w:lineRule="auto"/>
        <w:ind w:leftChars="150" w:left="315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行    号：</w:t>
      </w:r>
    </w:p>
    <w:p w:rsidR="00AE6AC8" w:rsidRDefault="00FE055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现场刷公务卡、支付宝、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微信付款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E6AC8" w:rsidRDefault="00FE055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报到时不接受现金缴费。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十二、未尽事宜，另行通知。</w:t>
      </w:r>
    </w:p>
    <w:p w:rsidR="00AE6AC8" w:rsidRDefault="00FE0556">
      <w:pPr>
        <w:autoSpaceDN w:val="0"/>
        <w:snapToGrid w:val="0"/>
        <w:spacing w:line="360" w:lineRule="auto"/>
        <w:ind w:firstLineChars="200" w:firstLine="560"/>
        <w:rPr>
          <w:rFonts w:ascii="仿宋" w:eastAsia="仿宋" w:cs="仿宋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十三、本规程解释权属全国排</w:t>
      </w:r>
      <w:proofErr w:type="gramStart"/>
      <w:r>
        <w:rPr>
          <w:rFonts w:ascii="仿宋" w:eastAsia="仿宋" w:cs="仿宋" w:hint="eastAsia"/>
          <w:color w:val="000000"/>
          <w:sz w:val="28"/>
          <w:szCs w:val="28"/>
        </w:rPr>
        <w:t>舞广场舞推广</w:t>
      </w:r>
      <w:proofErr w:type="gramEnd"/>
      <w:r>
        <w:rPr>
          <w:rFonts w:ascii="仿宋" w:eastAsia="仿宋" w:cs="仿宋" w:hint="eastAsia"/>
          <w:color w:val="000000"/>
          <w:sz w:val="28"/>
          <w:szCs w:val="28"/>
        </w:rPr>
        <w:t>中心。</w:t>
      </w:r>
    </w:p>
    <w:p w:rsidR="00AE6AC8" w:rsidRDefault="00AE6AC8">
      <w:pPr>
        <w:autoSpaceDN w:val="0"/>
        <w:snapToGrid w:val="0"/>
        <w:spacing w:line="360" w:lineRule="auto"/>
        <w:ind w:leftChars="7" w:left="15" w:firstLineChars="221" w:firstLine="619"/>
        <w:jc w:val="left"/>
        <w:rPr>
          <w:rFonts w:ascii="仿宋" w:eastAsia="仿宋" w:hAnsi="仿宋" w:cs="仿宋"/>
          <w:sz w:val="28"/>
          <w:szCs w:val="28"/>
        </w:rPr>
      </w:pPr>
    </w:p>
    <w:p w:rsidR="00AE6AC8" w:rsidRDefault="00FE0556">
      <w:pPr>
        <w:autoSpaceDN w:val="0"/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  <w:r>
        <w:rPr>
          <w:rFonts w:ascii="仿宋" w:eastAsia="仿宋" w:hAnsi="仿宋" w:cs="仿宋" w:hint="eastAsia"/>
          <w:sz w:val="28"/>
          <w:szCs w:val="28"/>
        </w:rPr>
        <w:lastRenderedPageBreak/>
        <w:t>附件一：</w:t>
      </w:r>
    </w:p>
    <w:p w:rsidR="00AE6AC8" w:rsidRDefault="00FE0556">
      <w:pPr>
        <w:autoSpaceDN w:val="0"/>
        <w:snapToGrid w:val="0"/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2021年全国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步舞锦标赛项目组别一览表</w:t>
      </w:r>
    </w:p>
    <w:tbl>
      <w:tblPr>
        <w:tblpPr w:leftFromText="180" w:rightFromText="180" w:vertAnchor="text" w:horzAnchor="page" w:tblpX="1544" w:tblpY="491"/>
        <w:tblOverlap w:val="never"/>
        <w:tblW w:w="88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514"/>
        <w:gridCol w:w="1036"/>
        <w:gridCol w:w="832"/>
        <w:gridCol w:w="982"/>
        <w:gridCol w:w="1050"/>
        <w:gridCol w:w="1009"/>
        <w:gridCol w:w="1118"/>
      </w:tblGrid>
      <w:tr w:rsidR="00AE6AC8">
        <w:trPr>
          <w:trHeight w:val="527"/>
        </w:trPr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18415</wp:posOffset>
                      </wp:positionV>
                      <wp:extent cx="2404110" cy="384175"/>
                      <wp:effectExtent l="1270" t="7620" r="13970" b="825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4110" cy="38417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88A4D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.45pt" to="190.8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" strokecolor="#739cc3" strokeweight="1.25pt"/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-2540</wp:posOffset>
                      </wp:positionV>
                      <wp:extent cx="1726565" cy="715645"/>
                      <wp:effectExtent l="3175" t="7620" r="3810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71564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3576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-.2pt" to="134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" strokecolor="#739cc3" strokeweight="1.25pt"/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项目</w:t>
            </w:r>
          </w:p>
          <w:p w:rsidR="00AE6AC8" w:rsidRDefault="00FE0556">
            <w:pPr>
              <w:spacing w:line="12" w:lineRule="atLeast"/>
              <w:ind w:firstLineChars="900" w:firstLine="162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选项</w:t>
            </w:r>
          </w:p>
          <w:p w:rsidR="00AE6AC8" w:rsidRDefault="00FE0556">
            <w:pPr>
              <w:spacing w:line="12" w:lineRule="atLeas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组别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单人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小组合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大/小 集 体</w:t>
            </w:r>
          </w:p>
        </w:tc>
      </w:tr>
      <w:tr w:rsidR="00AE6AC8">
        <w:trPr>
          <w:trHeight w:val="539"/>
        </w:trPr>
        <w:tc>
          <w:tcPr>
            <w:tcW w:w="381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自选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规定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自 选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学生组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幼儿组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−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小学生乙组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小学生甲组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中学生乙组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中学生甲组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职业中专组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高职高专组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高校普通院校组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高校专业院校组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285"/>
        </w:trPr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混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310"/>
        </w:trPr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ind w:firstLineChars="600" w:firstLine="1080"/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社会组</w:t>
            </w:r>
          </w:p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青年组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bidi="ar"/>
              </w:rPr>
              <w:t>*</w:t>
            </w:r>
          </w:p>
        </w:tc>
      </w:tr>
      <w:tr w:rsidR="00AE6AC8">
        <w:trPr>
          <w:trHeight w:hRule="exact" w:val="310"/>
        </w:trPr>
        <w:tc>
          <w:tcPr>
            <w:tcW w:w="2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AE6AC8">
            <w:pPr>
              <w:spacing w:line="12" w:lineRule="atLeas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中年组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AC8" w:rsidRDefault="00FE0556">
            <w:pPr>
              <w:spacing w:line="12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*</w:t>
            </w:r>
          </w:p>
        </w:tc>
      </w:tr>
    </w:tbl>
    <w:p w:rsidR="00AE6AC8" w:rsidRDefault="00FE0556">
      <w:pPr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注：“*”指可选报名；“-”指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可选报名。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E6AC8" w:rsidRDefault="00AE6AC8">
      <w:pPr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  <w:sectPr w:rsidR="00AE6AC8">
          <w:headerReference w:type="default" r:id="rId7"/>
          <w:pgSz w:w="11906" w:h="16838"/>
          <w:pgMar w:top="1440" w:right="1587" w:bottom="1440" w:left="1587" w:header="851" w:footer="992" w:gutter="0"/>
          <w:cols w:space="720"/>
          <w:docGrid w:type="lines" w:linePitch="317"/>
        </w:sectPr>
      </w:pPr>
    </w:p>
    <w:p w:rsidR="00AE6AC8" w:rsidRDefault="00FE0556">
      <w:pPr>
        <w:snapToGrid w:val="0"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附件二：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AE6AC8" w:rsidRDefault="00FE0556">
      <w:pPr>
        <w:snapToGrid w:val="0"/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2021年全国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步舞锦标赛规定曲目一览表</w:t>
      </w:r>
    </w:p>
    <w:p w:rsidR="00AE6AC8" w:rsidRDefault="00AE6AC8">
      <w:pPr>
        <w:snapToGrid w:val="0"/>
        <w:spacing w:line="500" w:lineRule="exact"/>
        <w:jc w:val="center"/>
        <w:rPr>
          <w:rFonts w:ascii="仿宋" w:eastAsia="仿宋" w:hAnsi="仿宋" w:cs="仿宋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690"/>
        <w:gridCol w:w="3859"/>
      </w:tblGrid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690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规定曲目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690" w:type="dxa"/>
            <w:vMerge w:val="restart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小组合</w:t>
            </w:r>
          </w:p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及集体项目</w:t>
            </w:r>
          </w:p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《中国话》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《澎湖湾》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《绿光》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中国心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阳光彩虹小白马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超级节奏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来个蹦蹦</w:t>
            </w:r>
            <w:r>
              <w:rPr>
                <w:rFonts w:ascii="仿宋" w:eastAsia="仿宋" w:hAnsi="仿宋" w:cs="仿宋" w:hint="eastAsia"/>
                <w:kern w:val="0"/>
                <w:sz w:val="22"/>
                <w:szCs w:val="22"/>
                <w:lang w:bidi="ar"/>
              </w:rPr>
              <w:t>》</w:t>
            </w:r>
          </w:p>
        </w:tc>
      </w:tr>
      <w:tr w:rsidR="00AE6AC8">
        <w:trPr>
          <w:trHeight w:hRule="exact" w:val="582"/>
        </w:trPr>
        <w:tc>
          <w:tcPr>
            <w:tcW w:w="1251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690" w:type="dxa"/>
            <w:vMerge/>
            <w:vAlign w:val="center"/>
          </w:tcPr>
          <w:p w:rsidR="00AE6AC8" w:rsidRDefault="00AE6AC8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59" w:type="dxa"/>
            <w:vAlign w:val="center"/>
          </w:tcPr>
          <w:p w:rsidR="00AE6AC8" w:rsidRDefault="00FE0556">
            <w:pPr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《激情吉特巴》</w:t>
            </w:r>
          </w:p>
        </w:tc>
      </w:tr>
    </w:tbl>
    <w:p w:rsidR="00AE6AC8" w:rsidRDefault="00AE6AC8">
      <w:pPr>
        <w:snapToGrid w:val="0"/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AE6AC8" w:rsidRDefault="00AE6AC8"/>
    <w:sectPr w:rsidR="00AE6AC8">
      <w:pgSz w:w="11906" w:h="16838"/>
      <w:pgMar w:top="1417" w:right="1417" w:bottom="1134" w:left="141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B6" w:rsidRDefault="00650DB6">
      <w:r>
        <w:separator/>
      </w:r>
    </w:p>
  </w:endnote>
  <w:endnote w:type="continuationSeparator" w:id="0">
    <w:p w:rsidR="00650DB6" w:rsidRDefault="0065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B6" w:rsidRDefault="00650DB6">
      <w:r>
        <w:separator/>
      </w:r>
    </w:p>
  </w:footnote>
  <w:footnote w:type="continuationSeparator" w:id="0">
    <w:p w:rsidR="00650DB6" w:rsidRDefault="0065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AE6AC8">
    <w:pPr>
      <w:pStyle w:val="a3"/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1B"/>
    <w:rsid w:val="00030515"/>
    <w:rsid w:val="000E6471"/>
    <w:rsid w:val="001748F0"/>
    <w:rsid w:val="0018681B"/>
    <w:rsid w:val="002D47FE"/>
    <w:rsid w:val="003D074E"/>
    <w:rsid w:val="00650DB6"/>
    <w:rsid w:val="0076748C"/>
    <w:rsid w:val="007914EE"/>
    <w:rsid w:val="00AE6AC8"/>
    <w:rsid w:val="00B665B5"/>
    <w:rsid w:val="00FE0556"/>
    <w:rsid w:val="01A1598A"/>
    <w:rsid w:val="02CC6A14"/>
    <w:rsid w:val="074D5578"/>
    <w:rsid w:val="09811B4F"/>
    <w:rsid w:val="0B050D01"/>
    <w:rsid w:val="11BB2DB6"/>
    <w:rsid w:val="15D30ED3"/>
    <w:rsid w:val="164F581C"/>
    <w:rsid w:val="1E012CEF"/>
    <w:rsid w:val="1E081E4F"/>
    <w:rsid w:val="215A084F"/>
    <w:rsid w:val="21D47FAD"/>
    <w:rsid w:val="29182AC0"/>
    <w:rsid w:val="29761C25"/>
    <w:rsid w:val="2FB17C23"/>
    <w:rsid w:val="31105196"/>
    <w:rsid w:val="33AD6384"/>
    <w:rsid w:val="344B271A"/>
    <w:rsid w:val="34F62120"/>
    <w:rsid w:val="36531798"/>
    <w:rsid w:val="3F5656E3"/>
    <w:rsid w:val="43253C3F"/>
    <w:rsid w:val="43F54C51"/>
    <w:rsid w:val="442668DE"/>
    <w:rsid w:val="46E03DCE"/>
    <w:rsid w:val="47774CCD"/>
    <w:rsid w:val="510D31FE"/>
    <w:rsid w:val="5C0B5978"/>
    <w:rsid w:val="66DA6868"/>
    <w:rsid w:val="6ADB32D9"/>
    <w:rsid w:val="6E03093A"/>
    <w:rsid w:val="6FE311C2"/>
    <w:rsid w:val="701C399B"/>
    <w:rsid w:val="70C24037"/>
    <w:rsid w:val="737F15A6"/>
    <w:rsid w:val="750C5271"/>
    <w:rsid w:val="76344C16"/>
    <w:rsid w:val="7E873AE3"/>
    <w:rsid w:val="7FBE326E"/>
    <w:rsid w:val="7FD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AF1CB9D-2352-4EB1-BC23-3FF04A3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40"/>
        <w:tab w:val="right" w:pos="8300"/>
      </w:tabs>
      <w:snapToGrid w:val="0"/>
    </w:pPr>
    <w:rPr>
      <w:sz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511</Words>
  <Characters>2918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2021-02-22T05:19:00Z</dcterms:created>
  <dcterms:modified xsi:type="dcterms:W3CDTF">2021-04-01T08:27:00Z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F95E594D71B841278B56A02092DC31CA</vt:lpwstr>
  </property>
</Properties>
</file>