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ascii="黑体" w:hAnsi="黑体" w:eastAsia="黑体" w:cs="仿宋"/>
          <w:szCs w:val="32"/>
        </w:rPr>
      </w:pPr>
      <w:r>
        <w:rPr>
          <w:rFonts w:hint="eastAsia" w:ascii="黑体" w:hAnsi="黑体" w:eastAsia="黑体" w:cs="仿宋"/>
          <w:szCs w:val="32"/>
        </w:rPr>
        <w:t>附件1</w:t>
      </w:r>
      <w:r>
        <w:rPr>
          <w:rFonts w:ascii="黑体" w:hAnsi="黑体" w:eastAsia="黑体" w:cs="仿宋"/>
          <w:szCs w:val="32"/>
        </w:rPr>
        <w:t>：</w:t>
      </w:r>
    </w:p>
    <w:p>
      <w:pPr>
        <w:rPr>
          <w:rFonts w:ascii="仿宋_GB2312" w:hAnsi="仿宋" w:cs="仿宋"/>
          <w:szCs w:val="32"/>
        </w:rPr>
      </w:pPr>
    </w:p>
    <w:p>
      <w:pPr>
        <w:jc w:val="center"/>
        <w:outlineLvl w:val="0"/>
        <w:rPr>
          <w:rFonts w:ascii="宋体" w:hAnsi="宋体" w:eastAsia="宋体" w:cs="仿宋"/>
          <w:sz w:val="36"/>
          <w:szCs w:val="32"/>
        </w:rPr>
      </w:pPr>
      <w:bookmarkStart w:id="0" w:name="_GoBack"/>
      <w:r>
        <w:rPr>
          <w:rFonts w:hint="eastAsia" w:ascii="宋体" w:hAnsi="宋体" w:eastAsia="宋体" w:cs="仿宋"/>
          <w:sz w:val="36"/>
          <w:szCs w:val="32"/>
        </w:rPr>
        <w:t>中国反兴奋剂智慧管理平台</w:t>
      </w:r>
    </w:p>
    <w:p>
      <w:pPr>
        <w:jc w:val="center"/>
        <w:outlineLvl w:val="0"/>
        <w:rPr>
          <w:rFonts w:ascii="宋体" w:hAnsi="宋体" w:eastAsia="宋体" w:cs="仿宋"/>
          <w:sz w:val="36"/>
          <w:szCs w:val="32"/>
        </w:rPr>
      </w:pPr>
      <w:r>
        <w:rPr>
          <w:rFonts w:hint="eastAsia" w:ascii="宋体" w:hAnsi="宋体" w:eastAsia="宋体" w:cs="仿宋"/>
          <w:sz w:val="36"/>
          <w:szCs w:val="32"/>
        </w:rPr>
        <w:t>“工作体系管理”模块介绍</w:t>
      </w:r>
    </w:p>
    <w:bookmarkEnd w:id="0"/>
    <w:p>
      <w:pPr>
        <w:rPr>
          <w:rFonts w:ascii="仿宋_GB2312" w:hAnsi="仿宋" w:cs="仿宋"/>
          <w:szCs w:val="32"/>
        </w:rPr>
      </w:pPr>
    </w:p>
    <w:p>
      <w:pPr>
        <w:ind w:firstLine="645"/>
        <w:rPr>
          <w:rFonts w:ascii="仿宋_GB2312" w:hAnsi="仿宋" w:cs="仿宋"/>
          <w:szCs w:val="32"/>
        </w:rPr>
      </w:pPr>
      <w:r>
        <w:rPr>
          <w:rFonts w:ascii="仿宋_GB2312" w:hAnsi="仿宋" w:cs="仿宋"/>
          <w:szCs w:val="32"/>
        </w:rPr>
        <w:t>为</w:t>
      </w:r>
      <w:r>
        <w:rPr>
          <w:rFonts w:hint="eastAsia" w:ascii="仿宋_GB2312" w:hAnsi="仿宋" w:cs="仿宋"/>
          <w:szCs w:val="32"/>
        </w:rPr>
        <w:t>发挥</w:t>
      </w:r>
      <w:r>
        <w:rPr>
          <w:rFonts w:ascii="仿宋_GB2312" w:hAnsi="仿宋" w:cs="仿宋"/>
          <w:szCs w:val="32"/>
        </w:rPr>
        <w:t>“</w:t>
      </w:r>
      <w:r>
        <w:rPr>
          <w:rFonts w:hint="eastAsia" w:ascii="仿宋_GB2312" w:hAnsi="仿宋" w:cs="仿宋"/>
          <w:szCs w:val="32"/>
        </w:rPr>
        <w:t>纵横</w:t>
      </w:r>
      <w:r>
        <w:rPr>
          <w:rFonts w:ascii="仿宋_GB2312" w:hAnsi="仿宋" w:cs="仿宋"/>
          <w:szCs w:val="32"/>
        </w:rPr>
        <w:t>交叉、上下联动”</w:t>
      </w:r>
      <w:r>
        <w:rPr>
          <w:rFonts w:hint="eastAsia" w:ascii="仿宋_GB2312" w:hAnsi="仿宋" w:cs="仿宋"/>
          <w:szCs w:val="32"/>
        </w:rPr>
        <w:t>全覆盖</w:t>
      </w:r>
      <w:r>
        <w:rPr>
          <w:rFonts w:ascii="仿宋_GB2312" w:hAnsi="仿宋" w:cs="仿宋"/>
          <w:szCs w:val="32"/>
        </w:rPr>
        <w:t>的反兴奋剂组织体系建设优势，</w:t>
      </w:r>
      <w:r>
        <w:rPr>
          <w:rFonts w:hint="eastAsia" w:ascii="仿宋_GB2312" w:hAnsi="仿宋" w:cs="仿宋"/>
          <w:szCs w:val="32"/>
        </w:rPr>
        <w:t>加强</w:t>
      </w:r>
      <w:r>
        <w:rPr>
          <w:rFonts w:ascii="仿宋_GB2312" w:hAnsi="仿宋" w:cs="仿宋"/>
          <w:szCs w:val="32"/>
        </w:rPr>
        <w:t>反兴奋剂中心与</w:t>
      </w:r>
      <w:r>
        <w:rPr>
          <w:rFonts w:hint="eastAsia" w:ascii="仿宋_GB2312" w:hAnsi="仿宋" w:cs="仿宋"/>
          <w:szCs w:val="32"/>
        </w:rPr>
        <w:t>省市和</w:t>
      </w:r>
      <w:r>
        <w:rPr>
          <w:rFonts w:ascii="仿宋_GB2312" w:hAnsi="仿宋" w:cs="仿宋"/>
          <w:szCs w:val="32"/>
        </w:rPr>
        <w:t>国家队</w:t>
      </w:r>
      <w:r>
        <w:rPr>
          <w:rFonts w:hint="eastAsia" w:ascii="仿宋_GB2312" w:hAnsi="仿宋" w:cs="仿宋"/>
          <w:szCs w:val="32"/>
        </w:rPr>
        <w:t>信息交流</w:t>
      </w:r>
      <w:r>
        <w:rPr>
          <w:rFonts w:ascii="仿宋_GB2312" w:hAnsi="仿宋" w:cs="仿宋"/>
          <w:szCs w:val="32"/>
        </w:rPr>
        <w:t>与共享，实现</w:t>
      </w:r>
      <w:r>
        <w:rPr>
          <w:rFonts w:hint="eastAsia" w:ascii="仿宋_GB2312" w:hAnsi="仿宋" w:cs="仿宋"/>
          <w:szCs w:val="32"/>
        </w:rPr>
        <w:t>业务申报和</w:t>
      </w:r>
      <w:r>
        <w:rPr>
          <w:rFonts w:ascii="仿宋_GB2312" w:hAnsi="仿宋" w:cs="仿宋"/>
          <w:szCs w:val="32"/>
        </w:rPr>
        <w:t>查询</w:t>
      </w:r>
      <w:r>
        <w:rPr>
          <w:rFonts w:hint="eastAsia" w:ascii="仿宋_GB2312" w:hAnsi="仿宋" w:cs="仿宋"/>
          <w:szCs w:val="32"/>
        </w:rPr>
        <w:t>自动化</w:t>
      </w:r>
      <w:r>
        <w:rPr>
          <w:rFonts w:ascii="仿宋_GB2312" w:hAnsi="仿宋" w:cs="仿宋"/>
          <w:szCs w:val="32"/>
        </w:rPr>
        <w:t>，反兴奋剂中心在</w:t>
      </w:r>
      <w:r>
        <w:rPr>
          <w:rFonts w:hint="eastAsia" w:ascii="仿宋_GB2312" w:hAnsi="仿宋" w:cs="仿宋"/>
          <w:szCs w:val="32"/>
        </w:rPr>
        <w:t>中国反兴奋剂智慧管理平台中设立</w:t>
      </w:r>
      <w:r>
        <w:rPr>
          <w:rFonts w:ascii="仿宋_GB2312" w:hAnsi="仿宋" w:cs="仿宋"/>
          <w:szCs w:val="32"/>
        </w:rPr>
        <w:t>“</w:t>
      </w:r>
      <w:r>
        <w:rPr>
          <w:rFonts w:hint="eastAsia" w:ascii="仿宋_GB2312" w:hAnsi="仿宋" w:cs="仿宋"/>
          <w:szCs w:val="32"/>
        </w:rPr>
        <w:t>工作</w:t>
      </w:r>
      <w:r>
        <w:rPr>
          <w:rFonts w:ascii="仿宋_GB2312" w:hAnsi="仿宋" w:cs="仿宋"/>
          <w:szCs w:val="32"/>
        </w:rPr>
        <w:t>体系</w:t>
      </w:r>
      <w:r>
        <w:rPr>
          <w:rFonts w:hint="eastAsia" w:ascii="仿宋_GB2312" w:hAnsi="仿宋" w:cs="仿宋"/>
          <w:szCs w:val="32"/>
        </w:rPr>
        <w:t>管理</w:t>
      </w:r>
      <w:r>
        <w:rPr>
          <w:rFonts w:ascii="仿宋_GB2312" w:hAnsi="仿宋" w:cs="仿宋"/>
          <w:szCs w:val="32"/>
        </w:rPr>
        <w:t>”</w:t>
      </w:r>
      <w:r>
        <w:rPr>
          <w:rFonts w:hint="eastAsia" w:ascii="仿宋_GB2312" w:hAnsi="仿宋" w:cs="仿宋"/>
          <w:szCs w:val="32"/>
        </w:rPr>
        <w:t>模块。该模块主要</w:t>
      </w:r>
      <w:r>
        <w:rPr>
          <w:rFonts w:ascii="仿宋_GB2312" w:hAnsi="仿宋" w:cs="仿宋"/>
          <w:szCs w:val="32"/>
        </w:rPr>
        <w:t>分为</w:t>
      </w:r>
      <w:r>
        <w:rPr>
          <w:rFonts w:hint="eastAsia" w:ascii="仿宋_GB2312" w:hAnsi="仿宋" w:cs="仿宋"/>
          <w:szCs w:val="32"/>
        </w:rPr>
        <w:t>3</w:t>
      </w:r>
      <w:r>
        <w:rPr>
          <w:rFonts w:ascii="仿宋_GB2312" w:hAnsi="仿宋" w:cs="仿宋"/>
          <w:szCs w:val="32"/>
        </w:rPr>
        <w:t>个</w:t>
      </w:r>
      <w:r>
        <w:rPr>
          <w:rFonts w:hint="eastAsia" w:ascii="仿宋_GB2312" w:hAnsi="仿宋" w:cs="仿宋"/>
          <w:szCs w:val="32"/>
        </w:rPr>
        <w:t>部分，</w:t>
      </w:r>
      <w:r>
        <w:rPr>
          <w:rFonts w:ascii="仿宋_GB2312" w:hAnsi="仿宋" w:cs="仿宋"/>
          <w:szCs w:val="32"/>
        </w:rPr>
        <w:t>即</w:t>
      </w:r>
      <w:r>
        <w:rPr>
          <w:rFonts w:hint="eastAsia" w:ascii="仿宋_GB2312" w:hAnsi="仿宋" w:cs="仿宋"/>
          <w:szCs w:val="32"/>
        </w:rPr>
        <w:t>登录页、</w:t>
      </w:r>
      <w:r>
        <w:rPr>
          <w:rFonts w:ascii="仿宋_GB2312" w:hAnsi="仿宋" w:cs="仿宋"/>
          <w:szCs w:val="32"/>
        </w:rPr>
        <w:t>首页</w:t>
      </w:r>
      <w:r>
        <w:rPr>
          <w:rFonts w:hint="eastAsia" w:ascii="仿宋_GB2312" w:hAnsi="仿宋" w:cs="仿宋"/>
          <w:szCs w:val="32"/>
        </w:rPr>
        <w:t>和子模块（其中子模块包括：</w:t>
      </w:r>
      <w:r>
        <w:rPr>
          <w:rFonts w:ascii="仿宋_GB2312" w:hAnsi="仿宋" w:cs="仿宋"/>
          <w:szCs w:val="32"/>
        </w:rPr>
        <w:t>国家队、</w:t>
      </w:r>
      <w:r>
        <w:rPr>
          <w:rFonts w:hint="eastAsia" w:ascii="仿宋_GB2312" w:hAnsi="仿宋" w:cs="仿宋"/>
          <w:szCs w:val="32"/>
        </w:rPr>
        <w:t>省级和</w:t>
      </w:r>
      <w:r>
        <w:rPr>
          <w:rFonts w:ascii="仿宋_GB2312" w:hAnsi="仿宋" w:cs="仿宋"/>
          <w:szCs w:val="32"/>
        </w:rPr>
        <w:t>工作评估</w:t>
      </w:r>
      <w:r>
        <w:rPr>
          <w:rFonts w:hint="eastAsia" w:ascii="仿宋_GB2312" w:hAnsi="仿宋" w:cs="仿宋"/>
          <w:szCs w:val="32"/>
        </w:rPr>
        <w:t>）</w:t>
      </w:r>
      <w:r>
        <w:rPr>
          <w:rFonts w:ascii="仿宋_GB2312" w:hAnsi="仿宋" w:cs="仿宋"/>
          <w:szCs w:val="32"/>
        </w:rPr>
        <w:t>。</w:t>
      </w:r>
    </w:p>
    <w:p>
      <w:pPr>
        <w:ind w:firstLine="645"/>
        <w:outlineLvl w:val="0"/>
        <w:rPr>
          <w:rFonts w:ascii="黑体" w:hAnsi="黑体" w:eastAsia="黑体" w:cs="仿宋"/>
          <w:szCs w:val="32"/>
        </w:rPr>
      </w:pPr>
      <w:r>
        <w:rPr>
          <w:rFonts w:hint="eastAsia" w:ascii="黑体" w:hAnsi="黑体" w:eastAsia="黑体" w:cs="仿宋"/>
          <w:szCs w:val="32"/>
        </w:rPr>
        <w:t>一、登录页</w:t>
      </w:r>
    </w:p>
    <w:p>
      <w:pPr>
        <w:jc w:val="center"/>
        <w:rPr>
          <w:rFonts w:ascii="黑体" w:hAnsi="黑体" w:eastAsia="黑体" w:cs="仿宋"/>
          <w:szCs w:val="32"/>
        </w:rPr>
      </w:pPr>
      <w:r>
        <w:drawing>
          <wp:inline distT="0" distB="0" distL="0" distR="0">
            <wp:extent cx="5274310" cy="31311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4310" cy="3131185"/>
                    </a:xfrm>
                    <a:prstGeom prst="rect">
                      <a:avLst/>
                    </a:prstGeom>
                  </pic:spPr>
                </pic:pic>
              </a:graphicData>
            </a:graphic>
          </wp:inline>
        </w:drawing>
      </w:r>
    </w:p>
    <w:p>
      <w:pPr>
        <w:jc w:val="center"/>
        <w:rPr>
          <w:rFonts w:ascii="黑体" w:hAnsi="黑体" w:eastAsia="黑体" w:cs="仿宋"/>
          <w:szCs w:val="32"/>
        </w:rPr>
      </w:pPr>
      <w:r>
        <w:rPr>
          <w:rFonts w:hint="eastAsia" w:ascii="仿宋_GB2312" w:hAnsi="仿宋" w:cs="仿宋"/>
          <w:sz w:val="24"/>
          <w:szCs w:val="24"/>
        </w:rPr>
        <w:t>图1-1 中国反兴奋剂</w:t>
      </w:r>
      <w:r>
        <w:rPr>
          <w:rFonts w:ascii="仿宋_GB2312" w:hAnsi="仿宋" w:cs="仿宋"/>
          <w:sz w:val="24"/>
          <w:szCs w:val="24"/>
        </w:rPr>
        <w:t>智慧管理平台</w:t>
      </w:r>
      <w:r>
        <w:rPr>
          <w:rFonts w:hint="eastAsia" w:ascii="仿宋_GB2312" w:hAnsi="仿宋" w:cs="仿宋"/>
          <w:sz w:val="24"/>
          <w:szCs w:val="24"/>
        </w:rPr>
        <w:t>首页</w:t>
      </w:r>
    </w:p>
    <w:p>
      <w:pPr>
        <w:ind w:firstLine="645"/>
        <w:outlineLvl w:val="0"/>
        <w:rPr>
          <w:rFonts w:ascii="黑体" w:hAnsi="黑体" w:eastAsia="黑体" w:cs="仿宋"/>
          <w:szCs w:val="32"/>
        </w:rPr>
      </w:pPr>
    </w:p>
    <w:p>
      <w:pPr>
        <w:ind w:firstLine="645"/>
        <w:outlineLvl w:val="0"/>
        <w:rPr>
          <w:rFonts w:ascii="黑体" w:hAnsi="黑体" w:eastAsia="黑体" w:cs="仿宋"/>
          <w:szCs w:val="32"/>
        </w:rPr>
      </w:pPr>
      <w:r>
        <w:rPr>
          <w:rFonts w:hint="eastAsia" w:ascii="黑体" w:hAnsi="黑体" w:eastAsia="黑体" w:cs="仿宋"/>
          <w:szCs w:val="32"/>
        </w:rPr>
        <w:t>二、首页</w:t>
      </w:r>
    </w:p>
    <w:p>
      <w:pPr>
        <w:ind w:firstLine="632" w:firstLineChars="200"/>
        <w:rPr>
          <w:rFonts w:ascii="仿宋_GB2312" w:hAnsi="仿宋" w:cs="仿宋"/>
          <w:szCs w:val="32"/>
        </w:rPr>
      </w:pPr>
      <w:r>
        <w:rPr>
          <w:rFonts w:hint="eastAsia" w:ascii="仿宋_GB2312" w:hAnsi="仿宋" w:cs="仿宋"/>
          <w:szCs w:val="32"/>
        </w:rPr>
        <w:t>首页全面展示国家运动项目管理单位(或</w:t>
      </w:r>
      <w:r>
        <w:rPr>
          <w:rFonts w:ascii="仿宋_GB2312" w:hAnsi="仿宋" w:cs="仿宋"/>
          <w:szCs w:val="32"/>
        </w:rPr>
        <w:t>省级</w:t>
      </w:r>
      <w:r>
        <w:rPr>
          <w:rFonts w:hint="eastAsia" w:ascii="仿宋_GB2312" w:hAnsi="仿宋" w:cs="仿宋"/>
          <w:szCs w:val="32"/>
        </w:rPr>
        <w:t>)反兴奋剂</w:t>
      </w:r>
      <w:r>
        <w:rPr>
          <w:rFonts w:ascii="仿宋_GB2312" w:hAnsi="仿宋" w:cs="仿宋"/>
          <w:szCs w:val="32"/>
        </w:rPr>
        <w:t>工作</w:t>
      </w:r>
      <w:r>
        <w:rPr>
          <w:rFonts w:hint="eastAsia" w:ascii="仿宋_GB2312" w:hAnsi="仿宋" w:cs="仿宋"/>
          <w:szCs w:val="32"/>
        </w:rPr>
        <w:t>信息和互动</w:t>
      </w:r>
      <w:r>
        <w:rPr>
          <w:rFonts w:ascii="仿宋_GB2312" w:hAnsi="仿宋" w:cs="仿宋"/>
          <w:szCs w:val="32"/>
        </w:rPr>
        <w:t>交流</w:t>
      </w:r>
      <w:r>
        <w:rPr>
          <w:rFonts w:hint="eastAsia" w:ascii="仿宋_GB2312" w:hAnsi="仿宋" w:cs="仿宋"/>
          <w:szCs w:val="32"/>
        </w:rPr>
        <w:t>信息，如图2-1和图2-2。</w:t>
      </w:r>
    </w:p>
    <w:p>
      <w:pPr>
        <w:jc w:val="center"/>
        <w:rPr>
          <w:rFonts w:ascii="仿宋_GB2312" w:hAnsi="仿宋" w:cs="仿宋"/>
          <w:szCs w:val="32"/>
        </w:rPr>
      </w:pPr>
      <w:r>
        <w:rPr>
          <w:rFonts w:hint="eastAsia" w:ascii="仿宋_GB2312" w:hAnsi="仿宋" w:cs="仿宋"/>
          <w:szCs w:val="32"/>
        </w:rPr>
        <w:drawing>
          <wp:inline distT="0" distB="0" distL="114300" distR="114300">
            <wp:extent cx="5266690" cy="2551430"/>
            <wp:effectExtent l="0" t="0" r="10160" b="1270"/>
            <wp:docPr id="4" name="图片 4" descr="导航-国家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导航-国家队"/>
                    <pic:cNvPicPr>
                      <a:picLocks noChangeAspect="1"/>
                    </pic:cNvPicPr>
                  </pic:nvPicPr>
                  <pic:blipFill>
                    <a:blip r:embed="rId7"/>
                    <a:stretch>
                      <a:fillRect/>
                    </a:stretch>
                  </pic:blipFill>
                  <pic:spPr>
                    <a:xfrm>
                      <a:off x="0" y="0"/>
                      <a:ext cx="5266690" cy="2551430"/>
                    </a:xfrm>
                    <a:prstGeom prst="rect">
                      <a:avLst/>
                    </a:prstGeom>
                  </pic:spPr>
                </pic:pic>
              </a:graphicData>
            </a:graphic>
          </wp:inline>
        </w:drawing>
      </w:r>
    </w:p>
    <w:p>
      <w:pPr>
        <w:jc w:val="center"/>
        <w:outlineLvl w:val="0"/>
        <w:rPr>
          <w:rFonts w:ascii="仿宋_GB2312" w:hAnsi="仿宋" w:cs="仿宋"/>
          <w:sz w:val="24"/>
          <w:szCs w:val="24"/>
        </w:rPr>
      </w:pPr>
      <w:r>
        <w:rPr>
          <w:rFonts w:hint="eastAsia" w:ascii="仿宋_GB2312" w:hAnsi="仿宋" w:cs="仿宋"/>
          <w:sz w:val="24"/>
          <w:szCs w:val="24"/>
        </w:rPr>
        <w:t>图2-1 国家运动项目管理单位首页</w:t>
      </w:r>
    </w:p>
    <w:p>
      <w:pPr>
        <w:jc w:val="center"/>
        <w:rPr>
          <w:rFonts w:ascii="仿宋_GB2312" w:hAnsi="仿宋" w:cs="仿宋"/>
          <w:szCs w:val="32"/>
        </w:rPr>
      </w:pPr>
      <w:r>
        <w:rPr>
          <w:rFonts w:hint="eastAsia" w:ascii="仿宋_GB2312" w:hAnsi="仿宋" w:cs="仿宋"/>
          <w:szCs w:val="32"/>
        </w:rPr>
        <w:drawing>
          <wp:inline distT="0" distB="0" distL="114300" distR="114300">
            <wp:extent cx="5266690" cy="2551430"/>
            <wp:effectExtent l="0" t="0" r="10160" b="1270"/>
            <wp:docPr id="5" name="图片 5" descr="导航-省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导航-省级"/>
                    <pic:cNvPicPr>
                      <a:picLocks noChangeAspect="1"/>
                    </pic:cNvPicPr>
                  </pic:nvPicPr>
                  <pic:blipFill>
                    <a:blip r:embed="rId8"/>
                    <a:stretch>
                      <a:fillRect/>
                    </a:stretch>
                  </pic:blipFill>
                  <pic:spPr>
                    <a:xfrm>
                      <a:off x="0" y="0"/>
                      <a:ext cx="5266690" cy="2551430"/>
                    </a:xfrm>
                    <a:prstGeom prst="rect">
                      <a:avLst/>
                    </a:prstGeom>
                  </pic:spPr>
                </pic:pic>
              </a:graphicData>
            </a:graphic>
          </wp:inline>
        </w:drawing>
      </w:r>
    </w:p>
    <w:p>
      <w:pPr>
        <w:jc w:val="center"/>
        <w:outlineLvl w:val="0"/>
        <w:rPr>
          <w:rFonts w:ascii="仿宋_GB2312" w:hAnsi="仿宋" w:cs="仿宋"/>
          <w:sz w:val="24"/>
          <w:szCs w:val="24"/>
        </w:rPr>
      </w:pPr>
      <w:r>
        <w:rPr>
          <w:rFonts w:hint="eastAsia" w:ascii="仿宋_GB2312" w:hAnsi="仿宋" w:cs="仿宋"/>
          <w:sz w:val="24"/>
          <w:szCs w:val="24"/>
        </w:rPr>
        <w:t>图2-2 省级</w:t>
      </w:r>
      <w:r>
        <w:rPr>
          <w:rFonts w:ascii="仿宋_GB2312" w:hAnsi="仿宋" w:cs="仿宋"/>
          <w:sz w:val="24"/>
          <w:szCs w:val="24"/>
        </w:rPr>
        <w:t>体育主管部门</w:t>
      </w:r>
      <w:r>
        <w:rPr>
          <w:rFonts w:hint="eastAsia" w:ascii="仿宋_GB2312" w:hAnsi="仿宋" w:cs="仿宋"/>
          <w:sz w:val="24"/>
          <w:szCs w:val="24"/>
        </w:rPr>
        <w:t>和省级</w:t>
      </w:r>
      <w:r>
        <w:rPr>
          <w:rFonts w:ascii="仿宋_GB2312" w:hAnsi="仿宋" w:cs="仿宋"/>
          <w:sz w:val="24"/>
          <w:szCs w:val="24"/>
        </w:rPr>
        <w:t>反兴奋剂机构</w:t>
      </w:r>
      <w:r>
        <w:rPr>
          <w:rFonts w:hint="eastAsia" w:ascii="仿宋_GB2312" w:hAnsi="仿宋" w:cs="仿宋"/>
          <w:sz w:val="24"/>
          <w:szCs w:val="24"/>
        </w:rPr>
        <w:t>首页</w:t>
      </w:r>
    </w:p>
    <w:p>
      <w:pPr>
        <w:ind w:firstLine="632" w:firstLineChars="200"/>
        <w:outlineLvl w:val="0"/>
        <w:rPr>
          <w:rFonts w:ascii="楷体" w:hAnsi="楷体" w:eastAsia="楷体" w:cs="仿宋"/>
          <w:szCs w:val="32"/>
        </w:rPr>
      </w:pPr>
      <w:r>
        <w:rPr>
          <w:rFonts w:hint="eastAsia" w:ascii="楷体" w:hAnsi="楷体" w:eastAsia="楷体" w:cs="仿宋"/>
          <w:szCs w:val="32"/>
        </w:rPr>
        <w:t>（一）工作</w:t>
      </w:r>
      <w:r>
        <w:rPr>
          <w:rFonts w:ascii="楷体" w:hAnsi="楷体" w:eastAsia="楷体" w:cs="仿宋"/>
          <w:szCs w:val="32"/>
        </w:rPr>
        <w:t>信息</w:t>
      </w:r>
    </w:p>
    <w:p>
      <w:pPr>
        <w:ind w:firstLine="632" w:firstLineChars="200"/>
        <w:rPr>
          <w:rFonts w:ascii="仿宋_GB2312" w:hAnsi="仿宋" w:cs="仿宋"/>
          <w:szCs w:val="32"/>
        </w:rPr>
      </w:pPr>
      <w:r>
        <w:rPr>
          <w:rFonts w:hint="eastAsia" w:ascii="仿宋_GB2312" w:hAnsi="仿宋" w:cs="仿宋"/>
          <w:szCs w:val="32"/>
        </w:rPr>
        <w:t>包括国家运动项目管理单位（或</w:t>
      </w:r>
      <w:r>
        <w:rPr>
          <w:rFonts w:ascii="仿宋_GB2312" w:hAnsi="仿宋" w:cs="仿宋"/>
          <w:szCs w:val="32"/>
        </w:rPr>
        <w:t>省级</w:t>
      </w:r>
      <w:r>
        <w:rPr>
          <w:rFonts w:hint="eastAsia" w:ascii="仿宋_GB2312" w:hAnsi="仿宋" w:cs="仿宋"/>
          <w:szCs w:val="32"/>
        </w:rPr>
        <w:t>）反兴奋剂部门（机构）建设情况统计、本单位（省级）反兴奋剂</w:t>
      </w:r>
      <w:r>
        <w:rPr>
          <w:rFonts w:ascii="仿宋_GB2312" w:hAnsi="仿宋" w:cs="仿宋"/>
          <w:szCs w:val="32"/>
        </w:rPr>
        <w:t>相关</w:t>
      </w:r>
      <w:r>
        <w:rPr>
          <w:rFonts w:hint="eastAsia" w:ascii="仿宋_GB2312" w:hAnsi="仿宋" w:cs="仿宋"/>
          <w:szCs w:val="32"/>
        </w:rPr>
        <w:t>人员情况、检查信息、违规情况、违反行踪信息管理规定信息</w:t>
      </w:r>
      <w:r>
        <w:rPr>
          <w:rFonts w:ascii="仿宋_GB2312" w:hAnsi="仿宋" w:cs="仿宋"/>
          <w:szCs w:val="32"/>
        </w:rPr>
        <w:t>和</w:t>
      </w:r>
      <w:r>
        <w:rPr>
          <w:rFonts w:hint="eastAsia" w:ascii="仿宋_GB2312" w:hAnsi="仿宋" w:cs="仿宋"/>
          <w:szCs w:val="32"/>
        </w:rPr>
        <w:t>年度预算信息等。</w:t>
      </w:r>
    </w:p>
    <w:p>
      <w:pPr>
        <w:ind w:firstLine="632" w:firstLineChars="200"/>
        <w:jc w:val="left"/>
        <w:outlineLvl w:val="0"/>
        <w:rPr>
          <w:rFonts w:ascii="楷体" w:hAnsi="楷体" w:eastAsia="楷体" w:cs="仿宋"/>
          <w:szCs w:val="32"/>
        </w:rPr>
      </w:pPr>
      <w:r>
        <w:rPr>
          <w:rFonts w:hint="eastAsia" w:ascii="楷体" w:hAnsi="楷体" w:eastAsia="楷体" w:cs="仿宋"/>
          <w:szCs w:val="32"/>
        </w:rPr>
        <w:t>（二）互动交流</w:t>
      </w:r>
    </w:p>
    <w:p>
      <w:pPr>
        <w:ind w:firstLine="632" w:firstLineChars="200"/>
      </w:pPr>
      <w:r>
        <w:rPr>
          <w:rFonts w:hint="eastAsia" w:ascii="仿宋_GB2312" w:hAnsi="仿宋" w:cs="仿宋"/>
          <w:szCs w:val="32"/>
        </w:rPr>
        <w:t>包括最新通知、风险提示、资源专区和互动平台等板块。反兴奋剂中心发布新通知后</w:t>
      </w:r>
      <w:r>
        <w:rPr>
          <w:rFonts w:ascii="仿宋_GB2312" w:hAnsi="仿宋" w:cs="仿宋"/>
          <w:szCs w:val="32"/>
        </w:rPr>
        <w:t>将</w:t>
      </w:r>
      <w:r>
        <w:rPr>
          <w:rFonts w:hint="eastAsia" w:ascii="仿宋_GB2312" w:hAnsi="仿宋" w:cs="仿宋"/>
          <w:szCs w:val="32"/>
        </w:rPr>
        <w:t>自动</w:t>
      </w:r>
      <w:r>
        <w:rPr>
          <w:rFonts w:ascii="仿宋_GB2312" w:hAnsi="仿宋" w:cs="仿宋"/>
          <w:szCs w:val="32"/>
        </w:rPr>
        <w:t>跳出弹框</w:t>
      </w:r>
      <w:r>
        <w:rPr>
          <w:rFonts w:hint="eastAsia" w:ascii="仿宋_GB2312" w:hAnsi="仿宋" w:cs="仿宋"/>
          <w:szCs w:val="32"/>
        </w:rPr>
        <w:t>，管理员阅读完成后，方可关闭弹框。风险提示用于温馨提示</w:t>
      </w:r>
      <w:r>
        <w:rPr>
          <w:rFonts w:ascii="仿宋_GB2312" w:hAnsi="仿宋" w:cs="仿宋"/>
          <w:szCs w:val="32"/>
        </w:rPr>
        <w:t>本单位</w:t>
      </w:r>
      <w:r>
        <w:rPr>
          <w:rFonts w:hint="eastAsia" w:ascii="仿宋_GB2312" w:hAnsi="仿宋" w:cs="仿宋"/>
          <w:szCs w:val="32"/>
        </w:rPr>
        <w:t>（省级）近期</w:t>
      </w:r>
      <w:r>
        <w:rPr>
          <w:rFonts w:ascii="仿宋_GB2312" w:hAnsi="仿宋" w:cs="仿宋"/>
          <w:szCs w:val="32"/>
        </w:rPr>
        <w:t>出现的兴奋剂风险。</w:t>
      </w:r>
      <w:r>
        <w:rPr>
          <w:rFonts w:hint="eastAsia" w:ascii="仿宋_GB2312" w:hAnsi="仿宋" w:cs="仿宋"/>
          <w:szCs w:val="32"/>
        </w:rPr>
        <w:t>资源专区可用于</w:t>
      </w:r>
      <w:r>
        <w:rPr>
          <w:rFonts w:ascii="仿宋_GB2312" w:hAnsi="仿宋" w:cs="仿宋"/>
          <w:szCs w:val="32"/>
        </w:rPr>
        <w:t>查询</w:t>
      </w:r>
      <w:r>
        <w:rPr>
          <w:rFonts w:hint="eastAsia" w:ascii="仿宋_GB2312" w:hAnsi="仿宋" w:cs="仿宋"/>
          <w:szCs w:val="32"/>
        </w:rPr>
        <w:t>反兴奋剂</w:t>
      </w:r>
      <w:r>
        <w:rPr>
          <w:rFonts w:ascii="仿宋_GB2312" w:hAnsi="仿宋" w:cs="仿宋"/>
          <w:szCs w:val="32"/>
        </w:rPr>
        <w:t>相关</w:t>
      </w:r>
      <w:r>
        <w:rPr>
          <w:rFonts w:hint="eastAsia" w:ascii="仿宋_GB2312" w:hAnsi="仿宋" w:cs="仿宋"/>
          <w:szCs w:val="32"/>
        </w:rPr>
        <w:t>政策和</w:t>
      </w:r>
      <w:r>
        <w:rPr>
          <w:rFonts w:ascii="仿宋_GB2312" w:hAnsi="仿宋" w:cs="仿宋"/>
          <w:szCs w:val="32"/>
        </w:rPr>
        <w:t>文件</w:t>
      </w:r>
      <w:r>
        <w:rPr>
          <w:rFonts w:hint="eastAsia" w:ascii="仿宋_GB2312" w:hAnsi="仿宋" w:cs="仿宋"/>
          <w:szCs w:val="32"/>
        </w:rPr>
        <w:t>。互动平台可用于分享</w:t>
      </w:r>
      <w:r>
        <w:rPr>
          <w:rFonts w:ascii="仿宋_GB2312" w:hAnsi="仿宋" w:cs="仿宋"/>
          <w:szCs w:val="32"/>
        </w:rPr>
        <w:t>和</w:t>
      </w:r>
      <w:r>
        <w:rPr>
          <w:rFonts w:hint="eastAsia" w:ascii="仿宋_GB2312" w:hAnsi="仿宋" w:cs="仿宋"/>
          <w:szCs w:val="32"/>
        </w:rPr>
        <w:t>交流</w:t>
      </w:r>
      <w:r>
        <w:rPr>
          <w:rFonts w:ascii="仿宋_GB2312" w:hAnsi="仿宋" w:cs="仿宋"/>
          <w:szCs w:val="32"/>
        </w:rPr>
        <w:t>反兴奋剂相关问题。</w:t>
      </w:r>
    </w:p>
    <w:p>
      <w:pPr>
        <w:ind w:firstLine="645"/>
        <w:outlineLvl w:val="0"/>
        <w:rPr>
          <w:rFonts w:ascii="黑体" w:hAnsi="黑体" w:eastAsia="黑体" w:cs="仿宋"/>
          <w:szCs w:val="32"/>
        </w:rPr>
      </w:pPr>
      <w:r>
        <w:rPr>
          <w:rFonts w:hint="eastAsia" w:ascii="黑体" w:hAnsi="黑体" w:eastAsia="黑体" w:cs="仿宋"/>
          <w:szCs w:val="32"/>
        </w:rPr>
        <w:t xml:space="preserve"> 三</w:t>
      </w:r>
      <w:r>
        <w:rPr>
          <w:rFonts w:ascii="黑体" w:hAnsi="黑体" w:eastAsia="黑体" w:cs="仿宋"/>
          <w:szCs w:val="32"/>
        </w:rPr>
        <w:t>、</w:t>
      </w:r>
      <w:r>
        <w:rPr>
          <w:rFonts w:hint="eastAsia" w:ascii="黑体" w:hAnsi="黑体" w:eastAsia="黑体" w:cs="仿宋"/>
          <w:szCs w:val="32"/>
        </w:rPr>
        <w:t>国家队（面向</w:t>
      </w:r>
      <w:r>
        <w:rPr>
          <w:rFonts w:hint="eastAsia" w:ascii="黑体" w:hAnsi="黑体" w:eastAsia="黑体"/>
          <w:szCs w:val="32"/>
        </w:rPr>
        <w:t>国家运动项目管理单位</w:t>
      </w:r>
      <w:r>
        <w:rPr>
          <w:rFonts w:hint="eastAsia" w:ascii="黑体" w:hAnsi="黑体" w:eastAsia="黑体" w:cs="仿宋"/>
          <w:szCs w:val="32"/>
        </w:rPr>
        <w:t>）</w:t>
      </w:r>
    </w:p>
    <w:p>
      <w:pPr>
        <w:ind w:firstLine="645"/>
        <w:rPr>
          <w:rFonts w:ascii="仿宋_GB2312" w:hAnsi="仿宋" w:cs="仿宋"/>
          <w:szCs w:val="32"/>
        </w:rPr>
      </w:pPr>
      <w:r>
        <w:rPr>
          <w:rFonts w:hint="eastAsia" w:ascii="仿宋_GB2312" w:hAnsi="仿宋" w:cs="仿宋"/>
          <w:szCs w:val="32"/>
        </w:rPr>
        <w:t>国家队模块主要包括</w:t>
      </w:r>
      <w:r>
        <w:rPr>
          <w:rFonts w:ascii="仿宋_GB2312" w:hAnsi="仿宋" w:cs="仿宋"/>
          <w:szCs w:val="32"/>
        </w:rPr>
        <w:t>信息申报</w:t>
      </w:r>
      <w:r>
        <w:rPr>
          <w:rFonts w:hint="eastAsia" w:ascii="仿宋_GB2312" w:hAnsi="仿宋" w:cs="仿宋"/>
          <w:szCs w:val="32"/>
        </w:rPr>
        <w:t>和信息</w:t>
      </w:r>
      <w:r>
        <w:rPr>
          <w:rFonts w:ascii="仿宋_GB2312" w:hAnsi="仿宋" w:cs="仿宋"/>
          <w:szCs w:val="32"/>
        </w:rPr>
        <w:t>查询等功能。</w:t>
      </w:r>
    </w:p>
    <w:p>
      <w:pPr>
        <w:ind w:left="640"/>
        <w:outlineLvl w:val="1"/>
        <w:rPr>
          <w:rFonts w:ascii="楷体" w:hAnsi="楷体" w:eastAsia="楷体" w:cs="仿宋"/>
          <w:szCs w:val="32"/>
        </w:rPr>
      </w:pPr>
      <w:r>
        <w:rPr>
          <w:rFonts w:hint="eastAsia" w:ascii="楷体" w:hAnsi="楷体" w:eastAsia="楷体" w:cs="仿宋"/>
          <w:szCs w:val="32"/>
        </w:rPr>
        <w:t>（一）信息</w:t>
      </w:r>
      <w:r>
        <w:rPr>
          <w:rFonts w:ascii="楷体" w:hAnsi="楷体" w:eastAsia="楷体" w:cs="仿宋"/>
          <w:szCs w:val="32"/>
        </w:rPr>
        <w:t>申报</w:t>
      </w:r>
    </w:p>
    <w:p>
      <w:pPr>
        <w:ind w:firstLine="645"/>
        <w:rPr>
          <w:rFonts w:ascii="仿宋_GB2312" w:hAnsi="仿宋" w:cs="仿宋"/>
          <w:szCs w:val="32"/>
        </w:rPr>
      </w:pPr>
      <w:r>
        <w:rPr>
          <w:rFonts w:hint="eastAsia" w:ascii="仿宋_GB2312" w:hAnsi="仿宋" w:cs="仿宋"/>
          <w:szCs w:val="32"/>
        </w:rPr>
        <w:t>实现国家运动项目管理单位向反兴奋剂中心报送本单位的反兴奋剂信息，旨在</w:t>
      </w:r>
      <w:r>
        <w:rPr>
          <w:rFonts w:ascii="仿宋_GB2312" w:hAnsi="仿宋" w:cs="仿宋"/>
          <w:szCs w:val="32"/>
        </w:rPr>
        <w:t>更好地了解本单位反兴奋剂工作情况，</w:t>
      </w:r>
      <w:r>
        <w:rPr>
          <w:rFonts w:hint="eastAsia" w:ascii="仿宋_GB2312" w:hAnsi="仿宋" w:cs="仿宋"/>
          <w:szCs w:val="32"/>
        </w:rPr>
        <w:t>建立反兴奋剂工作档案。信息申报模块具体分为</w:t>
      </w:r>
      <w:r>
        <w:rPr>
          <w:rFonts w:ascii="仿宋_GB2312" w:hAnsi="仿宋" w:cs="仿宋"/>
          <w:szCs w:val="32"/>
        </w:rPr>
        <w:t>管理单位、国家队和运动员3个</w:t>
      </w:r>
      <w:r>
        <w:rPr>
          <w:rFonts w:hint="eastAsia" w:ascii="仿宋_GB2312" w:hAnsi="仿宋" w:cs="仿宋"/>
          <w:szCs w:val="32"/>
        </w:rPr>
        <w:t>板块</w:t>
      </w:r>
      <w:r>
        <w:rPr>
          <w:rFonts w:ascii="仿宋_GB2312" w:hAnsi="仿宋" w:cs="仿宋"/>
          <w:szCs w:val="32"/>
        </w:rPr>
        <w:t>，</w:t>
      </w:r>
      <w:r>
        <w:rPr>
          <w:rFonts w:hint="eastAsia" w:ascii="仿宋_GB2312" w:hAnsi="仿宋" w:cs="仿宋"/>
          <w:szCs w:val="32"/>
        </w:rPr>
        <w:t>管理单位信息中包括基本工作信息、体系建设和工作建议，其中，基本工作信息包括领导小组、国家运动项目管理单位基本信息和联系人信息；体系建设包括制度建设、经费预算、业务信息、年度计划和总结；工作建议包括工作困难和建议意见等信息；国家队信息包括队伍基本信息和队伍通讯录；运动员信息包括运动员基本信息、一人一档和入队反兴奋剂信息申报。管理员</w:t>
      </w:r>
      <w:r>
        <w:rPr>
          <w:rFonts w:ascii="仿宋_GB2312" w:hAnsi="仿宋" w:cs="仿宋"/>
          <w:szCs w:val="32"/>
        </w:rPr>
        <w:t>需根据各版块内容提交工作基本信息和反兴奋剂相关信息</w:t>
      </w:r>
      <w:r>
        <w:rPr>
          <w:rFonts w:hint="eastAsia" w:ascii="仿宋_GB2312" w:hAnsi="仿宋" w:cs="仿宋"/>
          <w:szCs w:val="32"/>
        </w:rPr>
        <w:t>。</w:t>
      </w:r>
    </w:p>
    <w:p>
      <w:pPr>
        <w:jc w:val="center"/>
      </w:pPr>
      <w:r>
        <w:drawing>
          <wp:inline distT="0" distB="0" distL="114300" distR="114300">
            <wp:extent cx="5271770" cy="2618105"/>
            <wp:effectExtent l="0" t="0" r="5080" b="1079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9"/>
                    <a:stretch>
                      <a:fillRect/>
                    </a:stretch>
                  </pic:blipFill>
                  <pic:spPr>
                    <a:xfrm>
                      <a:off x="0" y="0"/>
                      <a:ext cx="5271770" cy="2618105"/>
                    </a:xfrm>
                    <a:prstGeom prst="rect">
                      <a:avLst/>
                    </a:prstGeom>
                    <a:noFill/>
                    <a:ln>
                      <a:noFill/>
                    </a:ln>
                  </pic:spPr>
                </pic:pic>
              </a:graphicData>
            </a:graphic>
          </wp:inline>
        </w:drawing>
      </w:r>
    </w:p>
    <w:p>
      <w:pPr>
        <w:jc w:val="center"/>
        <w:rPr>
          <w:rFonts w:ascii="仿宋_GB2312" w:hAnsi="仿宋" w:cs="仿宋"/>
          <w:sz w:val="24"/>
          <w:szCs w:val="24"/>
        </w:rPr>
      </w:pPr>
      <w:r>
        <w:rPr>
          <w:rFonts w:hint="eastAsia" w:ascii="仿宋_GB2312" w:hAnsi="仿宋" w:cs="仿宋"/>
          <w:sz w:val="24"/>
          <w:szCs w:val="24"/>
        </w:rPr>
        <w:t>图3-1 国家运动项目管理单位申报和查询信息导航</w:t>
      </w:r>
    </w:p>
    <w:p>
      <w:pPr>
        <w:jc w:val="center"/>
      </w:pPr>
      <w:r>
        <w:drawing>
          <wp:inline distT="0" distB="0" distL="114300" distR="114300">
            <wp:extent cx="5273040" cy="2661920"/>
            <wp:effectExtent l="0" t="0" r="3810" b="50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0"/>
                    <a:stretch>
                      <a:fillRect/>
                    </a:stretch>
                  </pic:blipFill>
                  <pic:spPr>
                    <a:xfrm>
                      <a:off x="0" y="0"/>
                      <a:ext cx="5273040" cy="2661920"/>
                    </a:xfrm>
                    <a:prstGeom prst="rect">
                      <a:avLst/>
                    </a:prstGeom>
                    <a:noFill/>
                    <a:ln>
                      <a:noFill/>
                    </a:ln>
                  </pic:spPr>
                </pic:pic>
              </a:graphicData>
            </a:graphic>
          </wp:inline>
        </w:drawing>
      </w:r>
    </w:p>
    <w:p>
      <w:pPr>
        <w:jc w:val="center"/>
        <w:rPr>
          <w:rFonts w:ascii="仿宋_GB2312" w:hAnsi="仿宋" w:cs="仿宋"/>
          <w:sz w:val="24"/>
          <w:szCs w:val="24"/>
        </w:rPr>
      </w:pPr>
      <w:r>
        <w:rPr>
          <w:rFonts w:hint="eastAsia" w:ascii="仿宋_GB2312" w:hAnsi="仿宋" w:cs="仿宋"/>
          <w:sz w:val="24"/>
          <w:szCs w:val="24"/>
        </w:rPr>
        <w:t>图3-2 国家运动项目管理单位反兴奋剂工作信息申报</w:t>
      </w:r>
    </w:p>
    <w:p>
      <w:pPr>
        <w:ind w:firstLine="645"/>
        <w:rPr>
          <w:rFonts w:ascii="仿宋_GB2312" w:hAnsi="仿宋" w:cs="仿宋"/>
          <w:szCs w:val="32"/>
        </w:rPr>
      </w:pPr>
      <w:r>
        <w:rPr>
          <w:rFonts w:hint="eastAsia" w:ascii="仿宋_GB2312" w:hAnsi="仿宋" w:cs="仿宋"/>
          <w:szCs w:val="32"/>
        </w:rPr>
        <w:t>操作</w:t>
      </w:r>
      <w:r>
        <w:rPr>
          <w:rFonts w:ascii="仿宋_GB2312" w:hAnsi="仿宋" w:cs="仿宋"/>
          <w:szCs w:val="32"/>
        </w:rPr>
        <w:t>：</w:t>
      </w:r>
    </w:p>
    <w:p>
      <w:pPr>
        <w:ind w:left="645"/>
        <w:outlineLvl w:val="2"/>
        <w:rPr>
          <w:rFonts w:ascii="仿宋_GB2312" w:hAnsi="仿宋" w:cs="仿宋"/>
          <w:szCs w:val="32"/>
        </w:rPr>
      </w:pPr>
      <w:r>
        <w:rPr>
          <w:rFonts w:hint="eastAsia" w:ascii="仿宋_GB2312" w:hAnsi="仿宋" w:cs="仿宋"/>
          <w:szCs w:val="32"/>
        </w:rPr>
        <w:t>1.单位信息申报</w:t>
      </w:r>
    </w:p>
    <w:p>
      <w:pPr>
        <w:ind w:firstLine="632" w:firstLineChars="200"/>
      </w:pPr>
      <w:r>
        <w:rPr>
          <w:rFonts w:hint="eastAsia" w:ascii="仿宋_GB2312" w:hAnsi="仿宋" w:cs="仿宋"/>
          <w:szCs w:val="32"/>
        </w:rPr>
        <w:t>点击上方功能栏的“国家队”按钮，进入到国家队导航页面，如图3-1。点击信息申报模块的“单位信息”链接即可进行本单位的反兴奋剂工作信息申报。点击页面右上角“保存”按钮完成信息填写，核对无误后，用户可点击页面右上角的“下载申报信息”按钮，将本单位的反兴奋剂工作申报表下载、打印，加盖单位公章后扫描为PDF文件上传系统，并点击“申请”按钮将信息报送反兴奋剂中心，如图3-2。反兴奋剂中心将对提交的信息进行审批，审批完成后用户在登录系统时可收到提示信息，同时历史版本也将</w:t>
      </w:r>
      <w:r>
        <w:rPr>
          <w:rFonts w:ascii="仿宋_GB2312" w:hAnsi="仿宋" w:cs="仿宋"/>
          <w:szCs w:val="32"/>
        </w:rPr>
        <w:t>保存在平台中</w:t>
      </w:r>
      <w:r>
        <w:rPr>
          <w:rFonts w:hint="eastAsia" w:ascii="仿宋_GB2312" w:hAnsi="仿宋" w:cs="仿宋"/>
          <w:szCs w:val="32"/>
        </w:rPr>
        <w:t>。</w:t>
      </w:r>
      <w:r>
        <w:rPr>
          <w:rFonts w:hint="eastAsia" w:ascii="仿宋_GB2312" w:hAnsi="仿宋" w:cs="仿宋"/>
          <w:b/>
          <w:szCs w:val="32"/>
        </w:rPr>
        <w:t>特别注意，请</w:t>
      </w:r>
      <w:r>
        <w:rPr>
          <w:rFonts w:ascii="仿宋_GB2312" w:hAnsi="仿宋" w:cs="仿宋"/>
          <w:b/>
          <w:szCs w:val="32"/>
        </w:rPr>
        <w:t>管理员认真核查申报材料，一旦提交</w:t>
      </w:r>
      <w:r>
        <w:rPr>
          <w:rFonts w:hint="eastAsia" w:ascii="仿宋_GB2312" w:hAnsi="仿宋" w:cs="仿宋"/>
          <w:b/>
          <w:szCs w:val="32"/>
        </w:rPr>
        <w:t>将视为官方认可</w:t>
      </w:r>
      <w:r>
        <w:rPr>
          <w:rFonts w:ascii="仿宋_GB2312" w:hAnsi="仿宋" w:cs="仿宋"/>
          <w:b/>
          <w:szCs w:val="32"/>
        </w:rPr>
        <w:t>的报送信息。</w:t>
      </w:r>
    </w:p>
    <w:p>
      <w:pPr>
        <w:ind w:firstLine="632" w:firstLineChars="200"/>
        <w:outlineLvl w:val="2"/>
        <w:rPr>
          <w:rFonts w:ascii="仿宋_GB2312" w:hAnsi="仿宋" w:cs="仿宋"/>
          <w:szCs w:val="32"/>
        </w:rPr>
      </w:pPr>
      <w:r>
        <w:rPr>
          <w:rFonts w:hint="eastAsia" w:ascii="仿宋_GB2312" w:hAnsi="仿宋" w:cs="仿宋"/>
          <w:szCs w:val="32"/>
        </w:rPr>
        <w:t>2</w:t>
      </w:r>
      <w:r>
        <w:rPr>
          <w:rFonts w:ascii="仿宋_GB2312" w:hAnsi="仿宋" w:cs="仿宋"/>
          <w:szCs w:val="32"/>
        </w:rPr>
        <w:t>.</w:t>
      </w:r>
      <w:r>
        <w:rPr>
          <w:rFonts w:hint="eastAsia" w:ascii="仿宋_GB2312" w:hAnsi="仿宋" w:cs="仿宋"/>
          <w:szCs w:val="32"/>
        </w:rPr>
        <w:t>国家队信息申报</w:t>
      </w:r>
    </w:p>
    <w:p>
      <w:pPr>
        <w:ind w:firstLine="632" w:firstLineChars="200"/>
        <w:rPr>
          <w:rFonts w:ascii="仿宋_GB2312" w:hAnsi="仿宋" w:cs="仿宋"/>
          <w:szCs w:val="32"/>
        </w:rPr>
      </w:pPr>
      <w:r>
        <w:rPr>
          <w:rFonts w:hint="eastAsia" w:ascii="仿宋_GB2312" w:hAnsi="仿宋" w:cs="仿宋"/>
          <w:szCs w:val="32"/>
        </w:rPr>
        <w:t>点击国家运动项目管理单位申报和查询信息导航页面，如图3-1。点击信息申报模块的“国家队”链接可以进行本国家运动项目管理单位管理的国家队信息申报，申报内容为队伍基本信息和队伍通讯录信息，如图3-3。</w:t>
      </w:r>
    </w:p>
    <w:p>
      <w:pPr>
        <w:jc w:val="center"/>
        <w:rPr>
          <w:rFonts w:ascii="仿宋_GB2312" w:hAnsi="仿宋" w:cs="仿宋"/>
          <w:szCs w:val="32"/>
        </w:rPr>
      </w:pPr>
      <w:r>
        <w:drawing>
          <wp:inline distT="0" distB="0" distL="114300" distR="114300">
            <wp:extent cx="5259070" cy="2527300"/>
            <wp:effectExtent l="0" t="0" r="17780" b="635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1"/>
                    <a:stretch>
                      <a:fillRect/>
                    </a:stretch>
                  </pic:blipFill>
                  <pic:spPr>
                    <a:xfrm>
                      <a:off x="0" y="0"/>
                      <a:ext cx="5259070" cy="2527300"/>
                    </a:xfrm>
                    <a:prstGeom prst="rect">
                      <a:avLst/>
                    </a:prstGeom>
                    <a:noFill/>
                    <a:ln>
                      <a:noFill/>
                    </a:ln>
                  </pic:spPr>
                </pic:pic>
              </a:graphicData>
            </a:graphic>
          </wp:inline>
        </w:drawing>
      </w:r>
    </w:p>
    <w:p>
      <w:pPr>
        <w:jc w:val="center"/>
        <w:rPr>
          <w:rFonts w:ascii="仿宋_GB2312" w:hAnsi="仿宋" w:cs="仿宋"/>
          <w:sz w:val="24"/>
          <w:szCs w:val="24"/>
        </w:rPr>
      </w:pPr>
      <w:r>
        <w:rPr>
          <w:rFonts w:hint="eastAsia" w:ascii="仿宋_GB2312" w:hAnsi="仿宋" w:cs="仿宋"/>
          <w:sz w:val="24"/>
          <w:szCs w:val="24"/>
        </w:rPr>
        <w:t>图3-3 国家队基本信息维护</w:t>
      </w:r>
    </w:p>
    <w:p>
      <w:pPr>
        <w:ind w:firstLine="632" w:firstLineChars="200"/>
        <w:outlineLvl w:val="2"/>
        <w:rPr>
          <w:rFonts w:ascii="仿宋_GB2312" w:hAnsi="仿宋" w:cs="仿宋"/>
          <w:szCs w:val="32"/>
        </w:rPr>
      </w:pPr>
      <w:r>
        <w:rPr>
          <w:rFonts w:hint="eastAsia" w:ascii="仿宋_GB2312" w:hAnsi="仿宋" w:cs="仿宋"/>
          <w:szCs w:val="32"/>
        </w:rPr>
        <w:t>3</w:t>
      </w:r>
      <w:r>
        <w:rPr>
          <w:rFonts w:ascii="仿宋_GB2312" w:hAnsi="仿宋" w:cs="仿宋"/>
          <w:szCs w:val="32"/>
        </w:rPr>
        <w:t>.</w:t>
      </w:r>
      <w:r>
        <w:rPr>
          <w:rFonts w:hint="eastAsia" w:ascii="仿宋_GB2312" w:hAnsi="仿宋" w:cs="仿宋"/>
          <w:szCs w:val="32"/>
        </w:rPr>
        <w:t>运动员信息申报</w:t>
      </w:r>
    </w:p>
    <w:p>
      <w:pPr>
        <w:ind w:firstLine="632" w:firstLineChars="200"/>
        <w:rPr>
          <w:rFonts w:ascii="仿宋_GB2312" w:hAnsi="仿宋" w:cs="仿宋"/>
          <w:szCs w:val="32"/>
        </w:rPr>
      </w:pPr>
      <w:r>
        <w:rPr>
          <w:rFonts w:hint="eastAsia" w:ascii="仿宋_GB2312" w:hAnsi="仿宋" w:cs="仿宋"/>
          <w:szCs w:val="32"/>
        </w:rPr>
        <w:t>点击国家运动项目管理单位申报和查询信息导航页面，如图3-1。点击信息申报模块的“运动员”链接可以进行本国家运动项目管理单位管理的运动员信息申报，申报内容为运动员一人一档和入队反兴奋剂信息，如图3-4。</w:t>
      </w:r>
    </w:p>
    <w:p>
      <w:pPr>
        <w:jc w:val="center"/>
        <w:rPr>
          <w:rFonts w:ascii="仿宋_GB2312" w:hAnsi="仿宋" w:cs="仿宋"/>
          <w:szCs w:val="32"/>
        </w:rPr>
      </w:pPr>
      <w:r>
        <w:drawing>
          <wp:inline distT="0" distB="0" distL="114300" distR="114300">
            <wp:extent cx="5264150" cy="2504440"/>
            <wp:effectExtent l="0" t="0" r="12700"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2"/>
                    <a:stretch>
                      <a:fillRect/>
                    </a:stretch>
                  </pic:blipFill>
                  <pic:spPr>
                    <a:xfrm>
                      <a:off x="0" y="0"/>
                      <a:ext cx="5264150" cy="2504440"/>
                    </a:xfrm>
                    <a:prstGeom prst="rect">
                      <a:avLst/>
                    </a:prstGeom>
                    <a:noFill/>
                    <a:ln>
                      <a:noFill/>
                    </a:ln>
                  </pic:spPr>
                </pic:pic>
              </a:graphicData>
            </a:graphic>
          </wp:inline>
        </w:drawing>
      </w:r>
    </w:p>
    <w:p>
      <w:pPr>
        <w:jc w:val="center"/>
        <w:rPr>
          <w:rFonts w:ascii="仿宋_GB2312" w:hAnsi="仿宋" w:cs="仿宋"/>
          <w:sz w:val="24"/>
          <w:szCs w:val="24"/>
        </w:rPr>
      </w:pPr>
      <w:r>
        <w:rPr>
          <w:rFonts w:hint="eastAsia" w:ascii="仿宋_GB2312" w:hAnsi="仿宋" w:cs="仿宋"/>
          <w:sz w:val="24"/>
          <w:szCs w:val="24"/>
        </w:rPr>
        <w:t>图3-4 运动员基本信息维护</w:t>
      </w:r>
    </w:p>
    <w:p>
      <w:pPr>
        <w:ind w:left="640"/>
        <w:outlineLvl w:val="1"/>
        <w:rPr>
          <w:rFonts w:ascii="楷体" w:hAnsi="楷体" w:eastAsia="楷体" w:cs="仿宋"/>
          <w:szCs w:val="32"/>
        </w:rPr>
      </w:pPr>
      <w:r>
        <w:rPr>
          <w:rFonts w:hint="eastAsia" w:ascii="楷体" w:hAnsi="楷体" w:eastAsia="楷体" w:cs="仿宋"/>
          <w:szCs w:val="32"/>
        </w:rPr>
        <w:t>（二）信息查询</w:t>
      </w:r>
    </w:p>
    <w:p>
      <w:pPr>
        <w:ind w:firstLine="645"/>
        <w:rPr>
          <w:rFonts w:ascii="仿宋_GB2312" w:hAnsi="仿宋" w:cs="仿宋"/>
          <w:szCs w:val="32"/>
        </w:rPr>
      </w:pPr>
      <w:r>
        <w:rPr>
          <w:rFonts w:hint="eastAsia" w:ascii="仿宋_GB2312" w:hAnsi="仿宋" w:cs="仿宋"/>
          <w:szCs w:val="32"/>
        </w:rPr>
        <w:t>实现国家运动项目管理单位对所管辖项目检查</w:t>
      </w:r>
      <w:r>
        <w:rPr>
          <w:rFonts w:ascii="仿宋_GB2312" w:hAnsi="仿宋" w:cs="仿宋"/>
          <w:szCs w:val="32"/>
        </w:rPr>
        <w:t>信息、违规信息、违反行踪信息管理规定和禁止合作名单的查询功能。</w:t>
      </w:r>
      <w:r>
        <w:rPr>
          <w:rFonts w:hint="eastAsia" w:ascii="仿宋_GB2312" w:hAnsi="仿宋" w:cs="仿宋"/>
          <w:szCs w:val="32"/>
        </w:rPr>
        <w:t>其中检查信息查询如图3-5，其他信息展示形式与检查信息查询相似。</w:t>
      </w:r>
    </w:p>
    <w:p>
      <w:pPr>
        <w:jc w:val="center"/>
      </w:pPr>
      <w:r>
        <w:drawing>
          <wp:inline distT="0" distB="0" distL="114300" distR="114300">
            <wp:extent cx="5274310" cy="2552065"/>
            <wp:effectExtent l="0" t="0" r="2540" b="63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3"/>
                    <a:stretch>
                      <a:fillRect/>
                    </a:stretch>
                  </pic:blipFill>
                  <pic:spPr>
                    <a:xfrm>
                      <a:off x="0" y="0"/>
                      <a:ext cx="5274310" cy="2552065"/>
                    </a:xfrm>
                    <a:prstGeom prst="rect">
                      <a:avLst/>
                    </a:prstGeom>
                    <a:noFill/>
                    <a:ln>
                      <a:noFill/>
                    </a:ln>
                  </pic:spPr>
                </pic:pic>
              </a:graphicData>
            </a:graphic>
          </wp:inline>
        </w:drawing>
      </w:r>
    </w:p>
    <w:p>
      <w:pPr>
        <w:jc w:val="center"/>
        <w:rPr>
          <w:rFonts w:ascii="仿宋_GB2312" w:hAnsi="仿宋" w:cs="仿宋"/>
          <w:sz w:val="24"/>
          <w:szCs w:val="24"/>
        </w:rPr>
      </w:pPr>
      <w:r>
        <w:rPr>
          <w:rFonts w:hint="eastAsia" w:ascii="仿宋_GB2312" w:hAnsi="仿宋" w:cs="仿宋"/>
          <w:sz w:val="24"/>
          <w:szCs w:val="24"/>
        </w:rPr>
        <w:t>图3-5 国家运动项目管理单位检查信息查询</w:t>
      </w:r>
    </w:p>
    <w:p>
      <w:pPr>
        <w:ind w:firstLine="645"/>
        <w:outlineLvl w:val="0"/>
        <w:rPr>
          <w:rFonts w:ascii="黑体" w:hAnsi="黑体" w:eastAsia="黑体" w:cs="仿宋"/>
          <w:szCs w:val="32"/>
        </w:rPr>
      </w:pPr>
      <w:r>
        <w:rPr>
          <w:rFonts w:hint="eastAsia" w:ascii="黑体" w:hAnsi="黑体" w:eastAsia="黑体" w:cs="仿宋"/>
          <w:szCs w:val="32"/>
        </w:rPr>
        <w:t>三、省级（面向省级体育主管部门和省级反兴奋剂机构）</w:t>
      </w:r>
    </w:p>
    <w:p>
      <w:pPr>
        <w:ind w:firstLine="645"/>
      </w:pPr>
      <w:r>
        <w:rPr>
          <w:rFonts w:hint="eastAsia" w:ascii="仿宋_GB2312" w:hAnsi="仿宋" w:cs="仿宋"/>
          <w:szCs w:val="32"/>
        </w:rPr>
        <w:t>省级模块主要分为</w:t>
      </w:r>
      <w:r>
        <w:rPr>
          <w:rFonts w:ascii="仿宋_GB2312" w:hAnsi="仿宋" w:cs="仿宋"/>
          <w:szCs w:val="32"/>
        </w:rPr>
        <w:t>信息申报</w:t>
      </w:r>
      <w:r>
        <w:rPr>
          <w:rFonts w:hint="eastAsia" w:ascii="仿宋_GB2312" w:hAnsi="仿宋" w:cs="仿宋"/>
          <w:szCs w:val="32"/>
        </w:rPr>
        <w:t>和信息</w:t>
      </w:r>
      <w:r>
        <w:rPr>
          <w:rFonts w:ascii="仿宋_GB2312" w:hAnsi="仿宋" w:cs="仿宋"/>
          <w:szCs w:val="32"/>
        </w:rPr>
        <w:t>查询等功能。</w:t>
      </w:r>
    </w:p>
    <w:p>
      <w:pPr>
        <w:ind w:left="640"/>
        <w:outlineLvl w:val="1"/>
        <w:rPr>
          <w:rFonts w:ascii="楷体" w:hAnsi="楷体" w:eastAsia="楷体" w:cs="仿宋"/>
          <w:szCs w:val="32"/>
        </w:rPr>
      </w:pPr>
      <w:r>
        <w:rPr>
          <w:rFonts w:hint="eastAsia" w:ascii="楷体" w:hAnsi="楷体" w:eastAsia="楷体" w:cs="仿宋"/>
          <w:szCs w:val="32"/>
        </w:rPr>
        <w:t>（一）信息申报</w:t>
      </w:r>
    </w:p>
    <w:p>
      <w:pPr>
        <w:ind w:firstLine="645"/>
        <w:rPr>
          <w:rFonts w:ascii="仿宋_GB2312" w:hAnsi="仿宋" w:cs="仿宋"/>
          <w:szCs w:val="32"/>
        </w:rPr>
      </w:pPr>
      <w:r>
        <w:rPr>
          <w:rFonts w:hint="eastAsia" w:ascii="仿宋_GB2312" w:hAnsi="仿宋" w:cs="仿宋"/>
          <w:szCs w:val="32"/>
        </w:rPr>
        <w:t>实现省级单位向反兴奋剂中心报送本单位的反兴奋剂信息，旨在</w:t>
      </w:r>
      <w:r>
        <w:rPr>
          <w:rFonts w:ascii="仿宋_GB2312" w:hAnsi="仿宋" w:cs="仿宋"/>
          <w:szCs w:val="32"/>
        </w:rPr>
        <w:t>更好地了解</w:t>
      </w:r>
      <w:r>
        <w:rPr>
          <w:rFonts w:hint="eastAsia" w:ascii="仿宋_GB2312" w:hAnsi="仿宋" w:cs="仿宋"/>
          <w:szCs w:val="32"/>
        </w:rPr>
        <w:t>本省</w:t>
      </w:r>
      <w:r>
        <w:rPr>
          <w:rFonts w:ascii="仿宋_GB2312" w:hAnsi="仿宋" w:cs="仿宋"/>
          <w:szCs w:val="32"/>
        </w:rPr>
        <w:t>反兴奋剂工作情况，</w:t>
      </w:r>
      <w:r>
        <w:rPr>
          <w:rFonts w:hint="eastAsia" w:ascii="仿宋_GB2312" w:hAnsi="仿宋" w:cs="仿宋"/>
          <w:szCs w:val="32"/>
        </w:rPr>
        <w:t>建立反兴奋剂工作档案。管理员</w:t>
      </w:r>
      <w:r>
        <w:rPr>
          <w:rFonts w:ascii="仿宋_GB2312" w:hAnsi="仿宋" w:cs="仿宋"/>
          <w:szCs w:val="32"/>
        </w:rPr>
        <w:t>需根据各版块内容提交工作基本信息和反兴奋剂相关信息</w:t>
      </w:r>
      <w:r>
        <w:rPr>
          <w:rFonts w:hint="eastAsia" w:ascii="仿宋_GB2312" w:hAnsi="仿宋" w:cs="仿宋"/>
          <w:szCs w:val="32"/>
        </w:rPr>
        <w:t>，包括基本工作信息、体系建设和工作建议，其中基本工作信息包括领导小组、省级体育主管部门、省级反兴奋剂机构信息；体系建设包括制度建设、经费预算、业务信息、年度计划和总结；工作建议包括工作困难和建议意见等信息。</w:t>
      </w:r>
    </w:p>
    <w:p>
      <w:pPr>
        <w:jc w:val="center"/>
      </w:pPr>
      <w:r>
        <w:drawing>
          <wp:inline distT="0" distB="0" distL="114300" distR="114300">
            <wp:extent cx="5266690" cy="2611755"/>
            <wp:effectExtent l="0" t="0" r="10160" b="1714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4"/>
                    <a:stretch>
                      <a:fillRect/>
                    </a:stretch>
                  </pic:blipFill>
                  <pic:spPr>
                    <a:xfrm>
                      <a:off x="0" y="0"/>
                      <a:ext cx="5266690" cy="2611755"/>
                    </a:xfrm>
                    <a:prstGeom prst="rect">
                      <a:avLst/>
                    </a:prstGeom>
                    <a:noFill/>
                    <a:ln>
                      <a:noFill/>
                    </a:ln>
                  </pic:spPr>
                </pic:pic>
              </a:graphicData>
            </a:graphic>
          </wp:inline>
        </w:drawing>
      </w:r>
    </w:p>
    <w:p>
      <w:pPr>
        <w:jc w:val="center"/>
        <w:rPr>
          <w:rFonts w:ascii="仿宋_GB2312" w:hAnsi="仿宋" w:cs="仿宋"/>
          <w:sz w:val="24"/>
          <w:szCs w:val="24"/>
        </w:rPr>
      </w:pPr>
      <w:r>
        <w:rPr>
          <w:rFonts w:hint="eastAsia" w:ascii="仿宋_GB2312" w:hAnsi="仿宋" w:cs="仿宋"/>
          <w:sz w:val="24"/>
          <w:szCs w:val="24"/>
        </w:rPr>
        <w:t>图3-6 省级单位申报和查询信息导航</w:t>
      </w:r>
    </w:p>
    <w:p>
      <w:pPr>
        <w:jc w:val="center"/>
      </w:pPr>
      <w:r>
        <w:drawing>
          <wp:inline distT="0" distB="0" distL="114300" distR="114300">
            <wp:extent cx="5271770" cy="2623185"/>
            <wp:effectExtent l="0" t="0" r="5080" b="571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5"/>
                    <a:stretch>
                      <a:fillRect/>
                    </a:stretch>
                  </pic:blipFill>
                  <pic:spPr>
                    <a:xfrm>
                      <a:off x="0" y="0"/>
                      <a:ext cx="5271770" cy="2623185"/>
                    </a:xfrm>
                    <a:prstGeom prst="rect">
                      <a:avLst/>
                    </a:prstGeom>
                    <a:noFill/>
                    <a:ln>
                      <a:noFill/>
                    </a:ln>
                  </pic:spPr>
                </pic:pic>
              </a:graphicData>
            </a:graphic>
          </wp:inline>
        </w:drawing>
      </w:r>
    </w:p>
    <w:p>
      <w:pPr>
        <w:jc w:val="center"/>
        <w:rPr>
          <w:rFonts w:ascii="仿宋_GB2312" w:hAnsi="仿宋" w:cs="仿宋"/>
          <w:sz w:val="24"/>
          <w:szCs w:val="24"/>
        </w:rPr>
      </w:pPr>
      <w:r>
        <w:rPr>
          <w:rFonts w:hint="eastAsia" w:ascii="仿宋_GB2312" w:hAnsi="仿宋" w:cs="仿宋"/>
          <w:sz w:val="24"/>
          <w:szCs w:val="24"/>
        </w:rPr>
        <w:t>图3-7 省级单位反兴奋剂工作信息申报</w:t>
      </w:r>
    </w:p>
    <w:p>
      <w:pPr>
        <w:ind w:firstLine="645"/>
        <w:rPr>
          <w:rFonts w:ascii="仿宋_GB2312" w:hAnsi="仿宋" w:cs="仿宋"/>
          <w:szCs w:val="32"/>
        </w:rPr>
      </w:pPr>
      <w:r>
        <w:rPr>
          <w:rFonts w:hint="eastAsia" w:ascii="仿宋_GB2312" w:hAnsi="仿宋" w:cs="仿宋"/>
          <w:szCs w:val="32"/>
        </w:rPr>
        <w:t>操作</w:t>
      </w:r>
      <w:r>
        <w:rPr>
          <w:rFonts w:ascii="仿宋_GB2312" w:hAnsi="仿宋" w:cs="仿宋"/>
          <w:szCs w:val="32"/>
        </w:rPr>
        <w:t>：</w:t>
      </w:r>
    </w:p>
    <w:p>
      <w:pPr>
        <w:tabs>
          <w:tab w:val="left" w:pos="312"/>
        </w:tabs>
        <w:ind w:firstLine="632" w:firstLineChars="200"/>
        <w:rPr>
          <w:rFonts w:ascii="仿宋_GB2312" w:hAnsi="仿宋" w:cs="仿宋"/>
          <w:szCs w:val="32"/>
        </w:rPr>
      </w:pPr>
      <w:r>
        <w:rPr>
          <w:rFonts w:hint="eastAsia" w:ascii="仿宋_GB2312" w:hAnsi="仿宋" w:cs="仿宋"/>
          <w:szCs w:val="32"/>
        </w:rPr>
        <w:t>点击上方功能栏的“省级”按钮，进入到省级单位申报和查询信息导航页面，如图3-6。点击信息申报模块的“单位信息”链接可以进行本单位的反兴奋剂工作信息申报，如图3-7。</w:t>
      </w:r>
    </w:p>
    <w:p>
      <w:pPr>
        <w:tabs>
          <w:tab w:val="left" w:pos="312"/>
        </w:tabs>
        <w:ind w:firstLine="632" w:firstLineChars="200"/>
        <w:jc w:val="left"/>
      </w:pPr>
      <w:r>
        <w:rPr>
          <w:rFonts w:hint="eastAsia" w:ascii="仿宋_GB2312" w:hAnsi="仿宋" w:cs="仿宋"/>
          <w:szCs w:val="32"/>
        </w:rPr>
        <w:t>点击页面右上角“保存”按钮完成信息填写，核对无误后，用户可点击页面右上角的“下载申报信息”按钮，将本单位的反兴奋剂工作申报表下载、打印，加盖单位公章后扫描为PDF文件上传到系统中，并点击“申请”按钮将信息报送反兴奋剂中心。反兴奋剂中心会对提交的信息进行审批，审批完成后用户在登录系统时可收到提示信息，同时历史版本也将</w:t>
      </w:r>
      <w:r>
        <w:rPr>
          <w:rFonts w:ascii="仿宋_GB2312" w:hAnsi="仿宋" w:cs="仿宋"/>
          <w:szCs w:val="32"/>
        </w:rPr>
        <w:t>保存在平台中</w:t>
      </w:r>
      <w:r>
        <w:rPr>
          <w:rFonts w:hint="eastAsia" w:ascii="仿宋_GB2312" w:hAnsi="仿宋" w:cs="仿宋"/>
          <w:szCs w:val="32"/>
        </w:rPr>
        <w:t>。</w:t>
      </w:r>
      <w:r>
        <w:rPr>
          <w:rFonts w:hint="eastAsia" w:ascii="仿宋_GB2312" w:hAnsi="仿宋" w:cs="仿宋"/>
          <w:b/>
          <w:szCs w:val="32"/>
        </w:rPr>
        <w:t>特别注意，请</w:t>
      </w:r>
      <w:r>
        <w:rPr>
          <w:rFonts w:ascii="仿宋_GB2312" w:hAnsi="仿宋" w:cs="仿宋"/>
          <w:b/>
          <w:szCs w:val="32"/>
        </w:rPr>
        <w:t>管理员认真核查申报材料，一旦提交</w:t>
      </w:r>
      <w:r>
        <w:rPr>
          <w:rFonts w:hint="eastAsia" w:ascii="仿宋_GB2312" w:hAnsi="仿宋" w:cs="仿宋"/>
          <w:b/>
          <w:szCs w:val="32"/>
        </w:rPr>
        <w:t>将视为官方认可</w:t>
      </w:r>
      <w:r>
        <w:rPr>
          <w:rFonts w:ascii="仿宋_GB2312" w:hAnsi="仿宋" w:cs="仿宋"/>
          <w:b/>
          <w:szCs w:val="32"/>
        </w:rPr>
        <w:t>的报送信息。</w:t>
      </w:r>
    </w:p>
    <w:p>
      <w:pPr>
        <w:ind w:left="640"/>
        <w:outlineLvl w:val="1"/>
        <w:rPr>
          <w:rFonts w:ascii="楷体" w:hAnsi="楷体" w:eastAsia="楷体" w:cs="仿宋"/>
          <w:szCs w:val="32"/>
        </w:rPr>
      </w:pPr>
      <w:r>
        <w:rPr>
          <w:rFonts w:hint="eastAsia" w:ascii="楷体" w:hAnsi="楷体" w:eastAsia="楷体" w:cs="仿宋"/>
          <w:szCs w:val="32"/>
        </w:rPr>
        <w:t>（二）信息查询</w:t>
      </w:r>
    </w:p>
    <w:p>
      <w:pPr>
        <w:ind w:firstLine="645"/>
        <w:rPr>
          <w:rFonts w:ascii="仿宋_GB2312" w:hAnsi="仿宋" w:cs="仿宋"/>
          <w:szCs w:val="32"/>
        </w:rPr>
      </w:pPr>
      <w:r>
        <w:rPr>
          <w:rFonts w:hint="eastAsia" w:ascii="仿宋_GB2312" w:hAnsi="仿宋" w:cs="仿宋"/>
          <w:szCs w:val="32"/>
        </w:rPr>
        <w:t>实现省级单位对所管辖项目检查</w:t>
      </w:r>
      <w:r>
        <w:rPr>
          <w:rFonts w:ascii="仿宋_GB2312" w:hAnsi="仿宋" w:cs="仿宋"/>
          <w:szCs w:val="32"/>
        </w:rPr>
        <w:t>信息、违规信息、违反行踪信息管理规定和禁止合作名单的查询功能。</w:t>
      </w:r>
      <w:r>
        <w:rPr>
          <w:rFonts w:hint="eastAsia" w:ascii="仿宋_GB2312" w:hAnsi="仿宋" w:cs="仿宋"/>
          <w:szCs w:val="32"/>
        </w:rPr>
        <w:t>其中检查信息查询如图3-8，其他信息展示形式与检查信息查询相似。</w:t>
      </w:r>
    </w:p>
    <w:p>
      <w:pPr>
        <w:jc w:val="center"/>
      </w:pPr>
      <w:r>
        <w:drawing>
          <wp:inline distT="0" distB="0" distL="114300" distR="114300">
            <wp:extent cx="5266690" cy="2543175"/>
            <wp:effectExtent l="0" t="0" r="10160" b="952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6"/>
                    <a:stretch>
                      <a:fillRect/>
                    </a:stretch>
                  </pic:blipFill>
                  <pic:spPr>
                    <a:xfrm>
                      <a:off x="0" y="0"/>
                      <a:ext cx="5266690" cy="2543175"/>
                    </a:xfrm>
                    <a:prstGeom prst="rect">
                      <a:avLst/>
                    </a:prstGeom>
                    <a:noFill/>
                    <a:ln>
                      <a:noFill/>
                    </a:ln>
                  </pic:spPr>
                </pic:pic>
              </a:graphicData>
            </a:graphic>
          </wp:inline>
        </w:drawing>
      </w:r>
    </w:p>
    <w:p>
      <w:pPr>
        <w:jc w:val="center"/>
        <w:rPr>
          <w:rFonts w:ascii="仿宋_GB2312" w:hAnsi="仿宋" w:cs="仿宋"/>
          <w:sz w:val="24"/>
          <w:szCs w:val="24"/>
        </w:rPr>
      </w:pPr>
      <w:r>
        <w:rPr>
          <w:rFonts w:hint="eastAsia" w:ascii="仿宋_GB2312" w:hAnsi="仿宋" w:cs="仿宋"/>
          <w:sz w:val="24"/>
          <w:szCs w:val="24"/>
        </w:rPr>
        <w:t>图3-8 省级单位检查信息查询</w:t>
      </w:r>
    </w:p>
    <w:p>
      <w:pPr>
        <w:ind w:firstLine="645"/>
        <w:outlineLvl w:val="0"/>
        <w:rPr>
          <w:rFonts w:ascii="黑体" w:hAnsi="黑体" w:eastAsia="黑体" w:cs="仿宋"/>
          <w:szCs w:val="32"/>
        </w:rPr>
      </w:pPr>
      <w:r>
        <w:rPr>
          <w:rFonts w:hint="eastAsia" w:ascii="黑体" w:hAnsi="黑体" w:eastAsia="黑体" w:cs="仿宋"/>
          <w:szCs w:val="32"/>
        </w:rPr>
        <w:t>四、</w:t>
      </w:r>
      <w:r>
        <w:rPr>
          <w:rFonts w:ascii="黑体" w:hAnsi="黑体" w:eastAsia="黑体" w:cs="仿宋"/>
          <w:szCs w:val="32"/>
        </w:rPr>
        <w:t>工作评估</w:t>
      </w:r>
    </w:p>
    <w:p>
      <w:pPr>
        <w:ind w:firstLine="645"/>
        <w:rPr>
          <w:rFonts w:ascii="仿宋_GB2312" w:hAnsi="仿宋" w:cs="仿宋"/>
          <w:szCs w:val="32"/>
        </w:rPr>
      </w:pPr>
      <w:r>
        <w:rPr>
          <w:rFonts w:hint="eastAsia" w:ascii="仿宋_GB2312" w:hAnsi="仿宋" w:cs="仿宋"/>
          <w:szCs w:val="32"/>
        </w:rPr>
        <w:t>工作评估模块主要实现反兴奋剂中心对国家运动项目管理单位(或</w:t>
      </w:r>
      <w:r>
        <w:rPr>
          <w:rFonts w:ascii="仿宋_GB2312" w:hAnsi="仿宋" w:cs="仿宋"/>
          <w:szCs w:val="32"/>
        </w:rPr>
        <w:t>省级</w:t>
      </w:r>
      <w:r>
        <w:rPr>
          <w:rFonts w:hint="eastAsia" w:ascii="仿宋_GB2312" w:hAnsi="仿宋" w:cs="仿宋"/>
          <w:szCs w:val="32"/>
        </w:rPr>
        <w:t>)开展调研和评估</w:t>
      </w:r>
      <w:r>
        <w:rPr>
          <w:rFonts w:ascii="仿宋_GB2312" w:hAnsi="仿宋" w:cs="仿宋"/>
          <w:szCs w:val="32"/>
        </w:rPr>
        <w:t>功能</w:t>
      </w:r>
      <w:r>
        <w:rPr>
          <w:rFonts w:hint="eastAsia" w:ascii="仿宋_GB2312" w:hAnsi="仿宋" w:cs="仿宋"/>
          <w:szCs w:val="32"/>
        </w:rPr>
        <w:t>，实现记录</w:t>
      </w:r>
      <w:r>
        <w:rPr>
          <w:rFonts w:ascii="仿宋_GB2312" w:hAnsi="仿宋" w:cs="仿宋"/>
          <w:szCs w:val="32"/>
        </w:rPr>
        <w:t>、整改、反馈和</w:t>
      </w:r>
      <w:r>
        <w:rPr>
          <w:rFonts w:hint="eastAsia" w:ascii="仿宋_GB2312" w:hAnsi="仿宋" w:cs="仿宋"/>
          <w:szCs w:val="32"/>
        </w:rPr>
        <w:t>评分</w:t>
      </w:r>
      <w:r>
        <w:rPr>
          <w:rFonts w:ascii="仿宋_GB2312" w:hAnsi="仿宋" w:cs="仿宋"/>
          <w:szCs w:val="32"/>
        </w:rPr>
        <w:t>等</w:t>
      </w:r>
      <w:r>
        <w:rPr>
          <w:rFonts w:hint="eastAsia" w:ascii="仿宋_GB2312" w:hAnsi="仿宋" w:cs="仿宋"/>
          <w:szCs w:val="32"/>
        </w:rPr>
        <w:t>全流程的管理</w:t>
      </w:r>
      <w:r>
        <w:rPr>
          <w:rFonts w:ascii="仿宋_GB2312" w:hAnsi="仿宋" w:cs="仿宋"/>
          <w:szCs w:val="32"/>
        </w:rPr>
        <w:t>。</w:t>
      </w:r>
    </w:p>
    <w:p>
      <w:pPr>
        <w:jc w:val="center"/>
      </w:pPr>
      <w:r>
        <w:drawing>
          <wp:inline distT="0" distB="0" distL="114300" distR="114300">
            <wp:extent cx="5274310" cy="2524125"/>
            <wp:effectExtent l="0" t="0" r="2540" b="952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7"/>
                    <a:stretch>
                      <a:fillRect/>
                    </a:stretch>
                  </pic:blipFill>
                  <pic:spPr>
                    <a:xfrm>
                      <a:off x="0" y="0"/>
                      <a:ext cx="5274310" cy="2524125"/>
                    </a:xfrm>
                    <a:prstGeom prst="rect">
                      <a:avLst/>
                    </a:prstGeom>
                    <a:noFill/>
                    <a:ln>
                      <a:noFill/>
                    </a:ln>
                  </pic:spPr>
                </pic:pic>
              </a:graphicData>
            </a:graphic>
          </wp:inline>
        </w:drawing>
      </w:r>
    </w:p>
    <w:p>
      <w:pPr>
        <w:jc w:val="center"/>
        <w:rPr>
          <w:rFonts w:ascii="仿宋_GB2312" w:hAnsi="仿宋" w:cs="仿宋"/>
          <w:sz w:val="24"/>
          <w:szCs w:val="24"/>
        </w:rPr>
      </w:pPr>
      <w:r>
        <w:rPr>
          <w:rFonts w:hint="eastAsia" w:ascii="仿宋_GB2312" w:hAnsi="仿宋" w:cs="仿宋"/>
          <w:sz w:val="24"/>
          <w:szCs w:val="24"/>
        </w:rPr>
        <w:t>图3-9 工作评估列表</w:t>
      </w:r>
    </w:p>
    <w:p>
      <w:pPr>
        <w:jc w:val="center"/>
      </w:pPr>
      <w:r>
        <w:drawing>
          <wp:inline distT="0" distB="0" distL="114300" distR="114300">
            <wp:extent cx="5258435" cy="2620010"/>
            <wp:effectExtent l="0" t="0" r="18415" b="889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8"/>
                    <a:stretch>
                      <a:fillRect/>
                    </a:stretch>
                  </pic:blipFill>
                  <pic:spPr>
                    <a:xfrm>
                      <a:off x="0" y="0"/>
                      <a:ext cx="5258435" cy="2620010"/>
                    </a:xfrm>
                    <a:prstGeom prst="rect">
                      <a:avLst/>
                    </a:prstGeom>
                    <a:noFill/>
                    <a:ln>
                      <a:noFill/>
                    </a:ln>
                  </pic:spPr>
                </pic:pic>
              </a:graphicData>
            </a:graphic>
          </wp:inline>
        </w:drawing>
      </w:r>
    </w:p>
    <w:p>
      <w:pPr>
        <w:jc w:val="center"/>
        <w:rPr>
          <w:rFonts w:ascii="仿宋_GB2312" w:hAnsi="仿宋" w:cs="仿宋"/>
          <w:sz w:val="24"/>
          <w:szCs w:val="24"/>
        </w:rPr>
      </w:pPr>
      <w:r>
        <w:rPr>
          <w:rFonts w:hint="eastAsia" w:ascii="仿宋_GB2312" w:hAnsi="仿宋" w:cs="仿宋"/>
          <w:sz w:val="24"/>
          <w:szCs w:val="24"/>
        </w:rPr>
        <w:t>图3-10 工作评估详情</w:t>
      </w:r>
    </w:p>
    <w:p>
      <w:pPr>
        <w:jc w:val="center"/>
      </w:pPr>
      <w:r>
        <w:drawing>
          <wp:inline distT="0" distB="0" distL="114300" distR="114300">
            <wp:extent cx="5264150" cy="2977515"/>
            <wp:effectExtent l="0" t="0" r="12700" b="1333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19"/>
                    <a:stretch>
                      <a:fillRect/>
                    </a:stretch>
                  </pic:blipFill>
                  <pic:spPr>
                    <a:xfrm>
                      <a:off x="0" y="0"/>
                      <a:ext cx="5264150" cy="2977515"/>
                    </a:xfrm>
                    <a:prstGeom prst="rect">
                      <a:avLst/>
                    </a:prstGeom>
                    <a:noFill/>
                    <a:ln>
                      <a:noFill/>
                    </a:ln>
                  </pic:spPr>
                </pic:pic>
              </a:graphicData>
            </a:graphic>
          </wp:inline>
        </w:drawing>
      </w:r>
    </w:p>
    <w:p>
      <w:pPr>
        <w:jc w:val="center"/>
        <w:rPr>
          <w:sz w:val="24"/>
          <w:szCs w:val="24"/>
        </w:rPr>
      </w:pPr>
      <w:r>
        <w:rPr>
          <w:rFonts w:hint="eastAsia" w:ascii="仿宋_GB2312" w:hAnsi="仿宋" w:cs="仿宋"/>
          <w:sz w:val="24"/>
          <w:szCs w:val="24"/>
        </w:rPr>
        <w:t>图3-11 工作整改申报</w:t>
      </w:r>
    </w:p>
    <w:p>
      <w:pPr>
        <w:ind w:firstLine="645"/>
        <w:rPr>
          <w:rFonts w:ascii="仿宋_GB2312" w:hAnsi="仿宋" w:cs="仿宋"/>
          <w:szCs w:val="32"/>
        </w:rPr>
      </w:pPr>
      <w:r>
        <w:rPr>
          <w:rFonts w:hint="eastAsia" w:ascii="仿宋_GB2312" w:hAnsi="仿宋" w:cs="仿宋"/>
          <w:szCs w:val="32"/>
        </w:rPr>
        <w:t>操作</w:t>
      </w:r>
      <w:r>
        <w:rPr>
          <w:rFonts w:ascii="仿宋_GB2312" w:hAnsi="仿宋" w:cs="仿宋"/>
          <w:szCs w:val="32"/>
        </w:rPr>
        <w:t>：</w:t>
      </w:r>
    </w:p>
    <w:p>
      <w:pPr>
        <w:ind w:firstLine="645"/>
        <w:rPr>
          <w:rFonts w:ascii="仿宋_GB2312" w:hAnsi="仿宋" w:cs="仿宋"/>
          <w:w w:val="98"/>
          <w:szCs w:val="32"/>
        </w:rPr>
      </w:pPr>
      <w:r>
        <w:rPr>
          <w:rFonts w:hint="eastAsia" w:ascii="仿宋_GB2312" w:hAnsi="仿宋" w:cs="仿宋"/>
          <w:w w:val="98"/>
          <w:szCs w:val="32"/>
        </w:rPr>
        <w:t>点击功能栏“工作评估”按钮，可进入工作评估列表页面，如图3-9。点击右侧的“查看”按钮即可查看评估详情，如图3-10。点击右侧“整改”按钮可以针对评估情况填写整改信息，如图3-11。反兴奋剂中心会对提交的整改信息进行审查，审查结果会在登录系统时进行提示。</w:t>
      </w: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ascii="仿宋_GB2312" w:eastAsia="仿宋_GB2312" w:cs="Times New Roman" w:hAnsiTheme="minorEastAsia"/>
          <w:b w:val="0"/>
          <w:bCs w:val="0"/>
          <w:sz w:val="28"/>
          <w:szCs w:val="28"/>
        </w:rPr>
      </w:pPr>
    </w:p>
    <w:p>
      <w:pPr>
        <w:pStyle w:val="2"/>
        <w:spacing w:before="0" w:beforeAutospacing="0" w:after="0" w:afterAutospacing="0" w:line="580" w:lineRule="exact"/>
        <w:rPr>
          <w:rFonts w:hint="eastAsia" w:ascii="仿宋_GB2312" w:eastAsia="仿宋_GB2312" w:cs="Times New Roman" w:hAnsiTheme="minorEastAsia"/>
          <w:b w:val="0"/>
          <w:bCs w:val="0"/>
          <w:sz w:val="28"/>
          <w:szCs w:val="28"/>
        </w:rPr>
      </w:pPr>
    </w:p>
    <w:sectPr>
      <w:footerReference r:id="rId3" w:type="default"/>
      <w:footerReference r:id="rId4" w:type="even"/>
      <w:pgSz w:w="11906" w:h="16838"/>
      <w:pgMar w:top="1134" w:right="1247" w:bottom="567" w:left="1247" w:header="851" w:footer="992" w:gutter="0"/>
      <w:cols w:space="425" w:num="1"/>
      <w:titlePg/>
      <w:docGrid w:type="linesAndChars" w:linePitch="688"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黑体"/>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16457"/>
      <w:docPartObj>
        <w:docPartGallery w:val="AutoText"/>
      </w:docPartObj>
    </w:sdtPr>
    <w:sdtContent>
      <w:p>
        <w:pPr>
          <w:pStyle w:val="4"/>
          <w:numPr>
            <w:ilvl w:val="0"/>
            <w:numId w:val="1"/>
          </w:numPr>
          <w:jc w:val="right"/>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hint="eastAsia" w:ascii="Times New Roman" w:hAnsi="Times New Roman" w:cs="Times New Roman"/>
            <w:sz w:val="28"/>
            <w:szCs w:val="28"/>
          </w:rPr>
          <w:t xml:space="preserve"> </w:t>
        </w:r>
        <w:r>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853816"/>
      <w:docPartObj>
        <w:docPartGallery w:val="AutoText"/>
      </w:docPartObj>
    </w:sdtPr>
    <w:sdtContent>
      <w:p>
        <w:pPr>
          <w:pStyle w:val="4"/>
          <w:ind w:left="360"/>
        </w:pPr>
        <w:r>
          <w:rPr>
            <w:rFonts w:hint="eastAsia"/>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Pr>
            <w:rFonts w:hint="eastAsia" w:ascii="Times New Roman" w:hAnsi="Times New Roman" w:cs="Times New Roman"/>
            <w:sz w:val="28"/>
            <w:szCs w:val="28"/>
          </w:rPr>
          <w:t xml:space="preserve"> </w:t>
        </w:r>
        <w:r>
          <w:rPr>
            <w:rFonts w:hint="eastAsia"/>
          </w:rPr>
          <w:t>—</w:t>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7F3F53"/>
    <w:multiLevelType w:val="multilevel"/>
    <w:tmpl w:val="1A7F3F53"/>
    <w:lvl w:ilvl="0" w:tentative="0">
      <w:start w:val="1"/>
      <w:numFmt w:val="bullet"/>
      <w:lvlText w:val="—"/>
      <w:lvlJc w:val="left"/>
      <w:pPr>
        <w:ind w:left="360" w:hanging="360"/>
      </w:pPr>
      <w:rPr>
        <w:rFonts w:hint="eastAsia" w:ascii="仿宋_GB2312" w:eastAsia="仿宋_GB2312" w:hAnsiTheme="minorHAnsi"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bordersDoNotSurroundHeader w:val="1"/>
  <w:bordersDoNotSurroundFooter w:val="1"/>
  <w:documentProtection w:enforcement="0"/>
  <w:defaultTabStop w:val="420"/>
  <w:evenAndOddHeaders w:val="1"/>
  <w:drawingGridHorizontalSpacing w:val="158"/>
  <w:drawingGridVerticalSpacing w:val="344"/>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71F"/>
    <w:rsid w:val="0000779D"/>
    <w:rsid w:val="000135D9"/>
    <w:rsid w:val="0005341D"/>
    <w:rsid w:val="000623EA"/>
    <w:rsid w:val="000738B8"/>
    <w:rsid w:val="00081D7B"/>
    <w:rsid w:val="000A267C"/>
    <w:rsid w:val="000A7605"/>
    <w:rsid w:val="000B3989"/>
    <w:rsid w:val="000C4B4B"/>
    <w:rsid w:val="000E3824"/>
    <w:rsid w:val="000E5111"/>
    <w:rsid w:val="000E79B4"/>
    <w:rsid w:val="0010150E"/>
    <w:rsid w:val="001063E2"/>
    <w:rsid w:val="0013576A"/>
    <w:rsid w:val="00136E3C"/>
    <w:rsid w:val="0015208B"/>
    <w:rsid w:val="0016477A"/>
    <w:rsid w:val="001647DB"/>
    <w:rsid w:val="00165CC6"/>
    <w:rsid w:val="00173997"/>
    <w:rsid w:val="0019454E"/>
    <w:rsid w:val="001A2897"/>
    <w:rsid w:val="001B2B05"/>
    <w:rsid w:val="001D5A1E"/>
    <w:rsid w:val="001F4D00"/>
    <w:rsid w:val="00205F52"/>
    <w:rsid w:val="00213296"/>
    <w:rsid w:val="00217B8C"/>
    <w:rsid w:val="00220E37"/>
    <w:rsid w:val="002409A9"/>
    <w:rsid w:val="00241A12"/>
    <w:rsid w:val="00254AFE"/>
    <w:rsid w:val="00256653"/>
    <w:rsid w:val="002703BB"/>
    <w:rsid w:val="00283FA4"/>
    <w:rsid w:val="0028671F"/>
    <w:rsid w:val="002A043F"/>
    <w:rsid w:val="002A41C5"/>
    <w:rsid w:val="002B7413"/>
    <w:rsid w:val="002D1D5D"/>
    <w:rsid w:val="002D6E1F"/>
    <w:rsid w:val="002E1901"/>
    <w:rsid w:val="002E239C"/>
    <w:rsid w:val="002E29CA"/>
    <w:rsid w:val="002F7457"/>
    <w:rsid w:val="00303862"/>
    <w:rsid w:val="00312BDA"/>
    <w:rsid w:val="00312FDC"/>
    <w:rsid w:val="00340E44"/>
    <w:rsid w:val="00343E4B"/>
    <w:rsid w:val="00351345"/>
    <w:rsid w:val="0035742E"/>
    <w:rsid w:val="00357501"/>
    <w:rsid w:val="003736E8"/>
    <w:rsid w:val="00386D57"/>
    <w:rsid w:val="0038764E"/>
    <w:rsid w:val="00392D71"/>
    <w:rsid w:val="003A0CBC"/>
    <w:rsid w:val="003B31B4"/>
    <w:rsid w:val="003C67C8"/>
    <w:rsid w:val="003D494C"/>
    <w:rsid w:val="003D4DF0"/>
    <w:rsid w:val="003D7FED"/>
    <w:rsid w:val="003E4276"/>
    <w:rsid w:val="003F4E37"/>
    <w:rsid w:val="0043632E"/>
    <w:rsid w:val="004442E2"/>
    <w:rsid w:val="0046156B"/>
    <w:rsid w:val="0048043A"/>
    <w:rsid w:val="00481FD1"/>
    <w:rsid w:val="0048564B"/>
    <w:rsid w:val="004877FD"/>
    <w:rsid w:val="00487ED8"/>
    <w:rsid w:val="004B18CE"/>
    <w:rsid w:val="004E1016"/>
    <w:rsid w:val="004E31B7"/>
    <w:rsid w:val="004F6226"/>
    <w:rsid w:val="00546BF1"/>
    <w:rsid w:val="0054723B"/>
    <w:rsid w:val="00547CB5"/>
    <w:rsid w:val="0055002E"/>
    <w:rsid w:val="005636FE"/>
    <w:rsid w:val="00565113"/>
    <w:rsid w:val="00566684"/>
    <w:rsid w:val="00570867"/>
    <w:rsid w:val="00572077"/>
    <w:rsid w:val="005739AE"/>
    <w:rsid w:val="0057664B"/>
    <w:rsid w:val="00586A53"/>
    <w:rsid w:val="0059593F"/>
    <w:rsid w:val="005B468D"/>
    <w:rsid w:val="005C1BB7"/>
    <w:rsid w:val="005C2253"/>
    <w:rsid w:val="005D273B"/>
    <w:rsid w:val="005D30C3"/>
    <w:rsid w:val="005E463F"/>
    <w:rsid w:val="005E5A1A"/>
    <w:rsid w:val="005E5A91"/>
    <w:rsid w:val="00600900"/>
    <w:rsid w:val="00604C69"/>
    <w:rsid w:val="00622053"/>
    <w:rsid w:val="006312EC"/>
    <w:rsid w:val="00635D9A"/>
    <w:rsid w:val="00650163"/>
    <w:rsid w:val="0065178A"/>
    <w:rsid w:val="006623B4"/>
    <w:rsid w:val="006A13C9"/>
    <w:rsid w:val="006A6F74"/>
    <w:rsid w:val="006D7BDE"/>
    <w:rsid w:val="00715561"/>
    <w:rsid w:val="00715AC7"/>
    <w:rsid w:val="007173AE"/>
    <w:rsid w:val="007261CC"/>
    <w:rsid w:val="00754CDB"/>
    <w:rsid w:val="0076330B"/>
    <w:rsid w:val="007963F6"/>
    <w:rsid w:val="007A3BF5"/>
    <w:rsid w:val="007A4BAA"/>
    <w:rsid w:val="007B3C4D"/>
    <w:rsid w:val="007C610C"/>
    <w:rsid w:val="007F4C83"/>
    <w:rsid w:val="007F6F64"/>
    <w:rsid w:val="00811A95"/>
    <w:rsid w:val="00844EE8"/>
    <w:rsid w:val="008662C1"/>
    <w:rsid w:val="008800A5"/>
    <w:rsid w:val="008932B2"/>
    <w:rsid w:val="00897808"/>
    <w:rsid w:val="008E28F1"/>
    <w:rsid w:val="008F3007"/>
    <w:rsid w:val="009017BD"/>
    <w:rsid w:val="00915242"/>
    <w:rsid w:val="0092641C"/>
    <w:rsid w:val="00932389"/>
    <w:rsid w:val="009357B2"/>
    <w:rsid w:val="00942171"/>
    <w:rsid w:val="00957622"/>
    <w:rsid w:val="009855A7"/>
    <w:rsid w:val="00987F71"/>
    <w:rsid w:val="00987F8C"/>
    <w:rsid w:val="0099050F"/>
    <w:rsid w:val="00991864"/>
    <w:rsid w:val="009C76B7"/>
    <w:rsid w:val="009F1D80"/>
    <w:rsid w:val="00A012E6"/>
    <w:rsid w:val="00A0202E"/>
    <w:rsid w:val="00A14017"/>
    <w:rsid w:val="00A158A3"/>
    <w:rsid w:val="00A16BF7"/>
    <w:rsid w:val="00A26313"/>
    <w:rsid w:val="00A27F10"/>
    <w:rsid w:val="00A30550"/>
    <w:rsid w:val="00A3744E"/>
    <w:rsid w:val="00A42082"/>
    <w:rsid w:val="00A53341"/>
    <w:rsid w:val="00A75167"/>
    <w:rsid w:val="00A91C47"/>
    <w:rsid w:val="00AA3255"/>
    <w:rsid w:val="00AA353A"/>
    <w:rsid w:val="00AA6C03"/>
    <w:rsid w:val="00AE2F7D"/>
    <w:rsid w:val="00AE7BF2"/>
    <w:rsid w:val="00AF5578"/>
    <w:rsid w:val="00B27773"/>
    <w:rsid w:val="00B32F08"/>
    <w:rsid w:val="00B36861"/>
    <w:rsid w:val="00B505E4"/>
    <w:rsid w:val="00B5377A"/>
    <w:rsid w:val="00B605A8"/>
    <w:rsid w:val="00B60D4A"/>
    <w:rsid w:val="00B652D7"/>
    <w:rsid w:val="00B71632"/>
    <w:rsid w:val="00B756D1"/>
    <w:rsid w:val="00B862A4"/>
    <w:rsid w:val="00B91129"/>
    <w:rsid w:val="00B9288E"/>
    <w:rsid w:val="00BA0744"/>
    <w:rsid w:val="00BA2153"/>
    <w:rsid w:val="00BC54AB"/>
    <w:rsid w:val="00BD0003"/>
    <w:rsid w:val="00BD2344"/>
    <w:rsid w:val="00BD2A23"/>
    <w:rsid w:val="00BD2FBC"/>
    <w:rsid w:val="00BE2F31"/>
    <w:rsid w:val="00BE32BF"/>
    <w:rsid w:val="00BF1D50"/>
    <w:rsid w:val="00C07B39"/>
    <w:rsid w:val="00C14929"/>
    <w:rsid w:val="00C16E7A"/>
    <w:rsid w:val="00C22AEE"/>
    <w:rsid w:val="00C22D74"/>
    <w:rsid w:val="00C44527"/>
    <w:rsid w:val="00C57B31"/>
    <w:rsid w:val="00C7102F"/>
    <w:rsid w:val="00C75FBD"/>
    <w:rsid w:val="00C91E90"/>
    <w:rsid w:val="00C934FC"/>
    <w:rsid w:val="00CA59A7"/>
    <w:rsid w:val="00CA6AAE"/>
    <w:rsid w:val="00CF2ED7"/>
    <w:rsid w:val="00D00DFA"/>
    <w:rsid w:val="00D04A7F"/>
    <w:rsid w:val="00D17128"/>
    <w:rsid w:val="00D248CE"/>
    <w:rsid w:val="00D60DB0"/>
    <w:rsid w:val="00D66E36"/>
    <w:rsid w:val="00D76901"/>
    <w:rsid w:val="00D864F2"/>
    <w:rsid w:val="00DB15FC"/>
    <w:rsid w:val="00DB2363"/>
    <w:rsid w:val="00DC48BB"/>
    <w:rsid w:val="00DF3625"/>
    <w:rsid w:val="00DF5846"/>
    <w:rsid w:val="00E271BB"/>
    <w:rsid w:val="00E3643F"/>
    <w:rsid w:val="00E57010"/>
    <w:rsid w:val="00E67446"/>
    <w:rsid w:val="00E77543"/>
    <w:rsid w:val="00E82AC5"/>
    <w:rsid w:val="00E85D68"/>
    <w:rsid w:val="00E95E16"/>
    <w:rsid w:val="00EC2E7A"/>
    <w:rsid w:val="00EC6539"/>
    <w:rsid w:val="00EC6F96"/>
    <w:rsid w:val="00EF0928"/>
    <w:rsid w:val="00EF4471"/>
    <w:rsid w:val="00F103F2"/>
    <w:rsid w:val="00F12DD0"/>
    <w:rsid w:val="00F47AEC"/>
    <w:rsid w:val="00F6601E"/>
    <w:rsid w:val="00F67B05"/>
    <w:rsid w:val="00F72691"/>
    <w:rsid w:val="00FA3BA9"/>
    <w:rsid w:val="00FA6DC7"/>
    <w:rsid w:val="00FB34FF"/>
    <w:rsid w:val="00FB4E59"/>
    <w:rsid w:val="00FB79F9"/>
    <w:rsid w:val="00FE4D11"/>
    <w:rsid w:val="00FF0C42"/>
    <w:rsid w:val="743104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HAnsi" w:hAnsiTheme="minorHAnsi" w:cstheme="minorBidi"/>
      <w:kern w:val="2"/>
      <w:sz w:val="32"/>
      <w:szCs w:val="22"/>
      <w:lang w:val="en-US" w:eastAsia="zh-CN" w:bidi="ar-SA"/>
    </w:rPr>
  </w:style>
  <w:style w:type="paragraph" w:styleId="2">
    <w:name w:val="heading 1"/>
    <w:basedOn w:val="1"/>
    <w:next w:val="1"/>
    <w:link w:val="9"/>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2"/>
    <w:semiHidden/>
    <w:unhideWhenUsed/>
    <w:uiPriority w:val="99"/>
    <w:rPr>
      <w:sz w:val="18"/>
      <w:szCs w:val="18"/>
    </w:rPr>
  </w:style>
  <w:style w:type="paragraph" w:styleId="4">
    <w:name w:val="footer"/>
    <w:basedOn w:val="1"/>
    <w:link w:val="11"/>
    <w:unhideWhenUsed/>
    <w:uiPriority w:val="99"/>
    <w:pPr>
      <w:tabs>
        <w:tab w:val="center" w:pos="4153"/>
        <w:tab w:val="right" w:pos="8306"/>
      </w:tabs>
      <w:snapToGrid w:val="0"/>
      <w:jc w:val="left"/>
    </w:pPr>
    <w:rPr>
      <w:sz w:val="18"/>
      <w:szCs w:val="18"/>
    </w:rPr>
  </w:style>
  <w:style w:type="paragraph" w:styleId="5">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unhideWhenUsed/>
    <w:qFormat/>
    <w:uiPriority w:val="0"/>
    <w:rPr>
      <w:color w:val="0000FF" w:themeColor="hyperlink"/>
      <w:u w:val="single"/>
      <w14:textFill>
        <w14:solidFill>
          <w14:schemeClr w14:val="hlink"/>
        </w14:solidFill>
      </w14:textFill>
    </w:rPr>
  </w:style>
  <w:style w:type="character" w:customStyle="1" w:styleId="9">
    <w:name w:val="标题 1 Char"/>
    <w:basedOn w:val="7"/>
    <w:link w:val="2"/>
    <w:uiPriority w:val="9"/>
    <w:rPr>
      <w:rFonts w:ascii="宋体" w:hAnsi="宋体" w:eastAsia="宋体" w:cs="宋体"/>
      <w:b/>
      <w:bCs/>
      <w:kern w:val="36"/>
      <w:sz w:val="48"/>
      <w:szCs w:val="48"/>
    </w:rPr>
  </w:style>
  <w:style w:type="character" w:customStyle="1" w:styleId="10">
    <w:name w:val="页眉 Char"/>
    <w:basedOn w:val="7"/>
    <w:link w:val="5"/>
    <w:uiPriority w:val="99"/>
    <w:rPr>
      <w:sz w:val="18"/>
      <w:szCs w:val="18"/>
    </w:rPr>
  </w:style>
  <w:style w:type="character" w:customStyle="1" w:styleId="11">
    <w:name w:val="页脚 Char"/>
    <w:basedOn w:val="7"/>
    <w:link w:val="4"/>
    <w:uiPriority w:val="99"/>
    <w:rPr>
      <w:sz w:val="18"/>
      <w:szCs w:val="18"/>
    </w:rPr>
  </w:style>
  <w:style w:type="character" w:customStyle="1" w:styleId="12">
    <w:name w:val="批注框文本 Char"/>
    <w:basedOn w:val="7"/>
    <w:link w:val="3"/>
    <w:semiHidden/>
    <w:qFormat/>
    <w:uiPriority w:val="99"/>
    <w:rPr>
      <w:rFonts w:eastAsia="仿宋_GB2312"/>
      <w:sz w:val="18"/>
      <w:szCs w:val="18"/>
    </w:rPr>
  </w:style>
  <w:style w:type="character" w:customStyle="1" w:styleId="13">
    <w:name w:val="Unresolved Mention"/>
    <w:basedOn w:val="7"/>
    <w:semiHidden/>
    <w:unhideWhenUsed/>
    <w:uiPriority w:val="99"/>
    <w:rPr>
      <w:color w:val="605E5C"/>
      <w:shd w:val="clear" w:color="auto" w:fill="E1DFDD"/>
    </w:rPr>
  </w:style>
  <w:style w:type="paragraph" w:styleId="14">
    <w:name w:val="List Paragraph"/>
    <w:basedOn w:val="1"/>
    <w:qFormat/>
    <w:uiPriority w:val="34"/>
    <w:pPr>
      <w:ind w:firstLine="420" w:firstLineChars="200"/>
    </w:pPr>
    <w:rPr>
      <w:rFonts w:eastAsiaTheme="minorEastAsia"/>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CB4394-9D2E-4854-BA0E-086B41E9287F}">
  <ds:schemaRefs/>
</ds:datastoreItem>
</file>

<file path=docProps/app.xml><?xml version="1.0" encoding="utf-8"?>
<Properties xmlns="http://schemas.openxmlformats.org/officeDocument/2006/extended-properties" xmlns:vt="http://schemas.openxmlformats.org/officeDocument/2006/docPropsVTypes">
  <Template>Normal</Template>
  <Pages>14</Pages>
  <Words>539</Words>
  <Characters>3076</Characters>
  <Lines>25</Lines>
  <Paragraphs>7</Paragraphs>
  <TotalTime>133</TotalTime>
  <ScaleCrop>false</ScaleCrop>
  <LinksUpToDate>false</LinksUpToDate>
  <CharactersWithSpaces>3608</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2021-04-20T05:18:00Z</dcterms:created>
  <dc:creator>CHINADA</dc:creator>
  <cp:lastModifiedBy>Weicheng</cp:lastModifiedBy>
  <cp:lastPrinted>2021-04-20T05:54:00Z</cp:lastPrinted>
  <dcterms:modified xsi:type="dcterms:W3CDTF">2021-04-22T05:52:54Z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7F9E4314F87F4CF1A79C43E0ED7726C6</vt:lpwstr>
  </property>
</Properties>
</file>