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Theme="minorEastAsia" w:hAnsiTheme="minorEastAsia" w:eastAsiaTheme="minorEastAsia"/>
          <w:sz w:val="36"/>
          <w:szCs w:val="36"/>
        </w:rPr>
      </w:pPr>
      <w:bookmarkStart w:id="0" w:name="_GoBack"/>
      <w:bookmarkEnd w:id="0"/>
      <w:r>
        <w:rPr>
          <w:rFonts w:hint="eastAsia" w:asciiTheme="minorEastAsia" w:hAnsiTheme="minorEastAsia" w:eastAsiaTheme="minorEastAsia"/>
          <w:sz w:val="36"/>
          <w:szCs w:val="36"/>
        </w:rPr>
        <w:t>2016年全国青少年乒乓球比赛</w:t>
      </w:r>
    </w:p>
    <w:p>
      <w:pPr>
        <w:ind w:firstLine="720" w:firstLineChars="200"/>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赛前文化测试成绩情况及分析</w:t>
      </w:r>
    </w:p>
    <w:p>
      <w:pPr>
        <w:jc w:val="left"/>
        <w:rPr>
          <w:rFonts w:ascii="仿宋_GB2312" w:hAnsi="宋体" w:eastAsia="仿宋_GB2312"/>
          <w:sz w:val="32"/>
          <w:szCs w:val="32"/>
        </w:rPr>
      </w:pPr>
    </w:p>
    <w:p>
      <w:pPr>
        <w:widowControl/>
        <w:spacing w:line="360" w:lineRule="auto"/>
        <w:ind w:firstLine="704" w:firstLineChars="220"/>
        <w:jc w:val="left"/>
        <w:rPr>
          <w:rFonts w:ascii="仿宋_GB2312" w:hAnsi="仿宋" w:eastAsia="仿宋_GB2312"/>
          <w:sz w:val="32"/>
          <w:szCs w:val="32"/>
        </w:rPr>
      </w:pPr>
      <w:r>
        <w:rPr>
          <w:rFonts w:hint="eastAsia" w:ascii="仿宋_GB2312" w:hAnsi="宋体" w:eastAsia="仿宋_GB2312"/>
          <w:sz w:val="32"/>
          <w:szCs w:val="32"/>
        </w:rPr>
        <w:t>2016年全国青少年乒乓球比赛赛前文化测试涵盖</w:t>
      </w:r>
      <w:r>
        <w:rPr>
          <w:rFonts w:hint="eastAsia" w:ascii="仿宋_GB2312" w:hAnsi="仿宋" w:eastAsia="仿宋_GB2312"/>
          <w:sz w:val="32"/>
          <w:szCs w:val="32"/>
        </w:rPr>
        <w:t>5类全国青少年赛事的8次比赛，对9-18岁的1791名参赛运动员进行了赛前文化测试，三年级测试143人，四年级测试465人，五年级测试484人，六年级测试185人，初一年级测试135人，初二年级测试113人，初三年级测试205人，另有61人未达到规定年纪申请了免测。测试不及格人数104人，占总测试人数的6.0%。具体情况如下表：</w:t>
      </w:r>
    </w:p>
    <w:tbl>
      <w:tblPr>
        <w:tblStyle w:val="6"/>
        <w:tblW w:w="8790" w:type="dxa"/>
        <w:jc w:val="center"/>
        <w:tblInd w:w="0" w:type="dxa"/>
        <w:tblLayout w:type="fixed"/>
        <w:tblCellMar>
          <w:top w:w="0" w:type="dxa"/>
          <w:left w:w="108" w:type="dxa"/>
          <w:bottom w:w="0" w:type="dxa"/>
          <w:right w:w="108" w:type="dxa"/>
        </w:tblCellMar>
      </w:tblPr>
      <w:tblGrid>
        <w:gridCol w:w="658"/>
        <w:gridCol w:w="1100"/>
        <w:gridCol w:w="879"/>
        <w:gridCol w:w="879"/>
        <w:gridCol w:w="879"/>
        <w:gridCol w:w="879"/>
        <w:gridCol w:w="879"/>
        <w:gridCol w:w="879"/>
        <w:gridCol w:w="879"/>
        <w:gridCol w:w="879"/>
      </w:tblGrid>
      <w:tr>
        <w:tblPrEx>
          <w:tblLayout w:type="fixed"/>
          <w:tblCellMar>
            <w:top w:w="0" w:type="dxa"/>
            <w:left w:w="108" w:type="dxa"/>
            <w:bottom w:w="0" w:type="dxa"/>
            <w:right w:w="108" w:type="dxa"/>
          </w:tblCellMar>
        </w:tblPrEx>
        <w:trPr>
          <w:trHeight w:val="276" w:hRule="atLeast"/>
          <w:jc w:val="center"/>
        </w:trPr>
        <w:tc>
          <w:tcPr>
            <w:tcW w:w="65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年级</w:t>
            </w:r>
          </w:p>
        </w:tc>
        <w:tc>
          <w:tcPr>
            <w:tcW w:w="110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测试人数</w:t>
            </w:r>
          </w:p>
        </w:tc>
        <w:tc>
          <w:tcPr>
            <w:tcW w:w="1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语文</w:t>
            </w:r>
          </w:p>
        </w:tc>
        <w:tc>
          <w:tcPr>
            <w:tcW w:w="1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数学</w:t>
            </w:r>
          </w:p>
        </w:tc>
        <w:tc>
          <w:tcPr>
            <w:tcW w:w="1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英语</w:t>
            </w:r>
          </w:p>
        </w:tc>
        <w:tc>
          <w:tcPr>
            <w:tcW w:w="1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总分</w:t>
            </w:r>
          </w:p>
        </w:tc>
      </w:tr>
      <w:tr>
        <w:tblPrEx>
          <w:tblLayout w:type="fixed"/>
          <w:tblCellMar>
            <w:top w:w="0" w:type="dxa"/>
            <w:left w:w="108" w:type="dxa"/>
            <w:bottom w:w="0" w:type="dxa"/>
            <w:right w:w="108" w:type="dxa"/>
          </w:tblCellMar>
        </w:tblPrEx>
        <w:trPr>
          <w:trHeight w:val="276" w:hRule="atLeast"/>
          <w:jc w:val="center"/>
        </w:trPr>
        <w:tc>
          <w:tcPr>
            <w:tcW w:w="65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p>
        </w:tc>
        <w:tc>
          <w:tcPr>
            <w:tcW w:w="110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及格数</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及格率</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及格数</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及格率</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及格数</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及格率</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及格数</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及格率</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143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137</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95.8%</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129</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90.2%</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60.1%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127</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88.8%</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四</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465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449</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96.5%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412</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88.6%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256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55.1%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432</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92.9%</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五</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484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473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97.7%</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430</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88.8%</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313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64.7%</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445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91.9%</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六</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185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180</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97.3%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184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99.5%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116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62.7%</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181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97.8%</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七</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135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133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98.5%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129</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95.6%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77.1%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131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97.0%</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八</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113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110</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97.3%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89.4%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78</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69.0%</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109</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96.5%</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九</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205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205</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100.0%</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194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94.6%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169</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82.4%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201</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98.1%</w:t>
            </w:r>
          </w:p>
        </w:tc>
      </w:tr>
      <w:tr>
        <w:tblPrEx>
          <w:tblLayout w:type="fixed"/>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rPr>
            </w:pPr>
            <w:r>
              <w:rPr>
                <w:rFonts w:hint="eastAsia" w:ascii="宋体" w:hAnsi="宋体" w:cs="宋体"/>
                <w:b/>
                <w:color w:val="000000"/>
                <w:kern w:val="0"/>
                <w:sz w:val="22"/>
              </w:rPr>
              <w:t>合计</w:t>
            </w:r>
          </w:p>
        </w:tc>
        <w:tc>
          <w:tcPr>
            <w:tcW w:w="1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1730</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1687</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97.6%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1579</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92.4%</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1122</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67.3%</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1626</w:t>
            </w:r>
          </w:p>
        </w:tc>
        <w:tc>
          <w:tcPr>
            <w:tcW w:w="8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rPr>
            </w:pPr>
            <w:r>
              <w:rPr>
                <w:rFonts w:hint="eastAsia" w:ascii="宋体" w:hAnsi="宋体" w:cs="宋体"/>
                <w:b/>
                <w:color w:val="000000"/>
                <w:kern w:val="0"/>
                <w:sz w:val="22"/>
              </w:rPr>
              <w:t>94.7%</w:t>
            </w:r>
          </w:p>
        </w:tc>
      </w:tr>
    </w:tbl>
    <w:p>
      <w:pPr>
        <w:widowControl/>
        <w:spacing w:line="360" w:lineRule="auto"/>
        <w:ind w:firstLine="645"/>
        <w:jc w:val="left"/>
        <w:rPr>
          <w:rFonts w:ascii="仿宋_GB2312" w:hAnsi="宋体" w:eastAsia="仿宋_GB2312"/>
          <w:sz w:val="32"/>
          <w:szCs w:val="32"/>
        </w:rPr>
      </w:pPr>
      <w:r>
        <w:rPr>
          <w:rFonts w:hint="eastAsia" w:ascii="仿宋_GB2312" w:hAnsi="宋体" w:eastAsia="仿宋_GB2312"/>
          <w:sz w:val="32"/>
          <w:szCs w:val="32"/>
        </w:rPr>
        <w:t>从测试的整体情况看，大多数运动员都能在赛前围绕题库进行学习。</w:t>
      </w:r>
    </w:p>
    <w:p>
      <w:pPr>
        <w:widowControl/>
        <w:spacing w:line="360" w:lineRule="auto"/>
        <w:ind w:firstLine="645"/>
        <w:jc w:val="left"/>
        <w:rPr>
          <w:rFonts w:ascii="仿宋_GB2312" w:hAnsi="宋体" w:eastAsia="仿宋_GB2312"/>
          <w:sz w:val="32"/>
          <w:szCs w:val="32"/>
        </w:rPr>
      </w:pPr>
      <w:r>
        <w:rPr>
          <w:rFonts w:hint="eastAsia" w:ascii="仿宋_GB2312" w:hAnsi="宋体" w:eastAsia="仿宋_GB2312"/>
          <w:sz w:val="32"/>
          <w:szCs w:val="32"/>
        </w:rPr>
        <w:t>从成绩结构上看，语文合格率均在95%以上，数学合格率为90%左右，英语合格率在60%-70%。以此数据看，英语是赛前文化测试中总体情况较差的一门科目，由于其占比较小（20分，占总分20%，），对整体及格率影响还不大，从2016年英语科目成绩发现，除初中三年级（九年级）外，其他各年级的考生都应引起足够重视。请各省市在今后运动员学习中，除继续抓好语文、数学科目的学习外，要重点加强英语科目的学习。</w:t>
      </w:r>
    </w:p>
    <w:p>
      <w:pPr>
        <w:widowControl/>
        <w:spacing w:line="360" w:lineRule="auto"/>
        <w:ind w:firstLine="645"/>
        <w:jc w:val="left"/>
        <w:rPr>
          <w:rFonts w:ascii="仿宋_GB2312" w:hAnsi="宋体" w:eastAsia="仿宋_GB2312"/>
          <w:sz w:val="32"/>
          <w:szCs w:val="32"/>
        </w:rPr>
      </w:pPr>
      <w:r>
        <w:rPr>
          <w:rFonts w:hint="eastAsia" w:ascii="仿宋_GB2312" w:hAnsi="宋体" w:eastAsia="仿宋_GB2312"/>
          <w:sz w:val="32"/>
          <w:szCs w:val="32"/>
        </w:rPr>
        <w:t>文化知识的学习具有连贯性，只要中间环节短缺，后面知识的衔接就会比较困难，学习将难以为继，尤其是在小学阶段更需要给予足够关注。请各省区市乒乓球项目管理中心结合自身情况做好运动员文化学习工作，把运动员文化教育落到实处。</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583405"/>
    </w:sdtPr>
    <w:sdt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AA"/>
    <w:rsid w:val="002813A3"/>
    <w:rsid w:val="002B6A02"/>
    <w:rsid w:val="003A3FAC"/>
    <w:rsid w:val="00467AA0"/>
    <w:rsid w:val="005E16AA"/>
    <w:rsid w:val="006A683F"/>
    <w:rsid w:val="006C5946"/>
    <w:rsid w:val="00847359"/>
    <w:rsid w:val="008B35EF"/>
    <w:rsid w:val="00905DBA"/>
    <w:rsid w:val="00957BC8"/>
    <w:rsid w:val="00A15586"/>
    <w:rsid w:val="00AA5B8D"/>
    <w:rsid w:val="00C24913"/>
    <w:rsid w:val="00C824C9"/>
    <w:rsid w:val="00CC3770"/>
    <w:rsid w:val="00CD1A9C"/>
    <w:rsid w:val="00CE35B3"/>
    <w:rsid w:val="00D80B63"/>
    <w:rsid w:val="00DF329E"/>
    <w:rsid w:val="00EA5CEC"/>
    <w:rsid w:val="729A4B1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rFonts w:ascii="Calibri" w:hAnsi="Calibri" w:eastAsia="宋体" w:cs="Times New Roman"/>
      <w:sz w:val="18"/>
      <w:szCs w:val="18"/>
    </w:rPr>
  </w:style>
  <w:style w:type="character" w:customStyle="1" w:styleId="8">
    <w:name w:val="页眉 Char"/>
    <w:basedOn w:val="5"/>
    <w:link w:val="4"/>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847</Characters>
  <Lines>7</Lines>
  <Paragraphs>1</Paragraphs>
  <ScaleCrop>false</ScaleCrop>
  <LinksUpToDate>false</LinksUpToDate>
  <CharactersWithSpaces>994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2017-01-06T00:57:00Z</dcterms:created>
  <dc:creator>ycj</dc:creator>
  <cp:lastModifiedBy>p</cp:lastModifiedBy>
  <cp:lastPrinted>2017-01-03T06:30:00Z</cp:lastPrinted>
  <dcterms:modified xsi:type="dcterms:W3CDTF">2017-02-27T07:45:02Z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