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0" w:lineRule="atLeast"/>
        <w:jc w:val="center"/>
        <w:rPr>
          <w:rFonts w:hint="eastAsia" w:asciiTheme="majorEastAsia" w:hAnsiTheme="majorEastAsia" w:eastAsiaTheme="majorEastAsia" w:cstheme="majorEastAsia"/>
          <w:b/>
          <w:bCs w:val="0"/>
          <w:kern w:val="0"/>
          <w:sz w:val="36"/>
          <w:szCs w:val="36"/>
        </w:rPr>
      </w:pPr>
      <w:bookmarkStart w:id="0" w:name="_GoBack"/>
      <w:bookmarkEnd w:id="0"/>
    </w:p>
    <w:p>
      <w:pPr>
        <w:widowControl/>
        <w:adjustRightInd w:val="0"/>
        <w:snapToGrid w:val="0"/>
        <w:spacing w:line="0" w:lineRule="atLeast"/>
        <w:jc w:val="center"/>
        <w:rPr>
          <w:rFonts w:hint="eastAsia" w:asciiTheme="majorEastAsia" w:hAnsiTheme="majorEastAsia" w:eastAsiaTheme="majorEastAsia" w:cstheme="majorEastAsia"/>
          <w:b/>
          <w:bCs w:val="0"/>
          <w:kern w:val="0"/>
          <w:sz w:val="36"/>
          <w:szCs w:val="36"/>
        </w:rPr>
      </w:pPr>
      <w:r>
        <w:rPr>
          <w:rFonts w:hint="eastAsia" w:asciiTheme="majorEastAsia" w:hAnsiTheme="majorEastAsia" w:eastAsiaTheme="majorEastAsia" w:cstheme="majorEastAsia"/>
          <w:b/>
          <w:bCs w:val="0"/>
          <w:kern w:val="0"/>
          <w:sz w:val="36"/>
          <w:szCs w:val="36"/>
        </w:rPr>
        <w:t>体育总局体操中心2019年全国艺术体操项目赛事</w:t>
      </w:r>
    </w:p>
    <w:p>
      <w:pPr>
        <w:widowControl/>
        <w:adjustRightInd w:val="0"/>
        <w:snapToGrid w:val="0"/>
        <w:spacing w:line="0" w:lineRule="atLeast"/>
        <w:jc w:val="center"/>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kern w:val="0"/>
          <w:sz w:val="36"/>
          <w:szCs w:val="36"/>
        </w:rPr>
        <w:t>及活动公开招标</w:t>
      </w:r>
      <w:r>
        <w:rPr>
          <w:rFonts w:hint="eastAsia" w:asciiTheme="majorEastAsia" w:hAnsiTheme="majorEastAsia" w:eastAsiaTheme="majorEastAsia" w:cstheme="majorEastAsia"/>
          <w:b/>
          <w:bCs w:val="0"/>
          <w:sz w:val="36"/>
          <w:szCs w:val="36"/>
        </w:rPr>
        <w:t>评标程序及纪律要求</w:t>
      </w:r>
    </w:p>
    <w:p>
      <w:pPr>
        <w:widowControl/>
        <w:adjustRightInd w:val="0"/>
        <w:snapToGrid w:val="0"/>
        <w:spacing w:line="0" w:lineRule="atLeast"/>
        <w:jc w:val="center"/>
        <w:rPr>
          <w:rFonts w:ascii="仿宋" w:hAnsi="仿宋" w:eastAsia="仿宋" w:cs="仿宋_GB2312"/>
          <w:sz w:val="32"/>
          <w:szCs w:val="32"/>
        </w:rPr>
      </w:pPr>
      <w:r>
        <w:rPr>
          <w:rFonts w:hint="eastAsia" w:ascii="仿宋" w:hAnsi="仿宋" w:eastAsia="仿宋" w:cs="仿宋_GB2312"/>
          <w:sz w:val="32"/>
          <w:szCs w:val="32"/>
        </w:rPr>
        <w:t>（2018年12月10日，体操中心会议室）</w:t>
      </w:r>
    </w:p>
    <w:p>
      <w:pPr>
        <w:jc w:val="center"/>
        <w:rPr>
          <w:rFonts w:ascii="仿宋_GB2312" w:hAnsi="仿宋_GB2312" w:eastAsia="仿宋_GB2312" w:cs="仿宋_GB2312"/>
          <w:sz w:val="36"/>
          <w:szCs w:val="36"/>
        </w:rPr>
      </w:pPr>
    </w:p>
    <w:p>
      <w:pPr>
        <w:adjustRightInd w:val="0"/>
        <w:snapToGrid w:val="0"/>
        <w:spacing w:line="520" w:lineRule="atLeast"/>
        <w:ind w:firstLine="640"/>
        <w:rPr>
          <w:rFonts w:ascii="黑体" w:hAnsi="黑体" w:eastAsia="黑体" w:cs="仿宋_GB2312"/>
          <w:b/>
          <w:bCs/>
          <w:sz w:val="32"/>
          <w:szCs w:val="32"/>
        </w:rPr>
      </w:pPr>
      <w:r>
        <w:rPr>
          <w:rFonts w:hint="eastAsia" w:ascii="黑体" w:hAnsi="黑体" w:eastAsia="黑体" w:cs="仿宋_GB2312"/>
          <w:b/>
          <w:bCs/>
          <w:sz w:val="32"/>
          <w:szCs w:val="32"/>
        </w:rPr>
        <w:t>一、评标程序</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（一）投标单位抽签，确定陈述顺序。</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（二）按陈述顺序，各投标单位依次选派一名代表做不超过10分钟的申办陈述（PPT形式）。</w:t>
      </w:r>
    </w:p>
    <w:p>
      <w:pPr>
        <w:adjustRightInd w:val="0"/>
        <w:snapToGrid w:val="0"/>
        <w:spacing w:line="520" w:lineRule="atLeast"/>
        <w:jc w:val="left"/>
        <w:rPr>
          <w:rFonts w:ascii="仿宋" w:hAnsi="仿宋" w:eastAsia="仿宋" w:cs="仿宋_GB2312"/>
          <w:sz w:val="32"/>
          <w:szCs w:val="32"/>
        </w:rPr>
      </w:pPr>
      <w:r>
        <w:rPr>
          <w:rFonts w:hint="eastAsia" w:ascii="仿宋" w:hAnsi="仿宋" w:eastAsia="仿宋" w:cs="仿宋_GB2312"/>
          <w:sz w:val="32"/>
          <w:szCs w:val="32"/>
        </w:rPr>
        <w:t xml:space="preserve">    （三）在投标同一赛事/活动的全部投标单位陈述结束后，由评标专家对投标单位进行提问（此环节约为5分钟）；随后，投标单位离开会场，由评标专家独立填写《评估表》，就赛事/活动运营能力、软硬件设施、服务保障能力、活动宣传推广能力、资金保障等五方面进行打分，并提出建议承办单位。</w:t>
      </w:r>
    </w:p>
    <w:p>
      <w:pPr>
        <w:adjustRightInd w:val="0"/>
        <w:snapToGrid w:val="0"/>
        <w:spacing w:line="520" w:lineRule="atLeast"/>
        <w:ind w:firstLine="640"/>
        <w:rPr>
          <w:rFonts w:ascii="仿宋" w:hAnsi="仿宋" w:eastAsia="仿宋" w:cs="仿宋_GB2312"/>
          <w:sz w:val="32"/>
          <w:szCs w:val="32"/>
        </w:rPr>
      </w:pPr>
      <w:r>
        <w:rPr>
          <w:rFonts w:hint="eastAsia" w:ascii="仿宋" w:hAnsi="仿宋" w:eastAsia="仿宋" w:cs="仿宋_GB2312"/>
          <w:sz w:val="32"/>
          <w:szCs w:val="32"/>
        </w:rPr>
        <w:t>（四）汇总评审专家意见，确定承办单位。专家的“综合意见”作为主要参考依据，“建议承办”得票多者定为该项赛事/活动的</w:t>
      </w:r>
      <w:r>
        <w:rPr>
          <w:rFonts w:hint="eastAsia" w:ascii="仿宋_GB2312" w:hAnsi="Times New Roman" w:eastAsia="仿宋_GB2312" w:cs="Times New Roman"/>
          <w:color w:val="000000"/>
          <w:kern w:val="0"/>
          <w:sz w:val="32"/>
          <w:szCs w:val="32"/>
        </w:rPr>
        <w:t>拟定承办</w:t>
      </w:r>
      <w:r>
        <w:rPr>
          <w:rFonts w:ascii="仿宋_GB2312" w:hAnsi="Times New Roman" w:eastAsia="仿宋_GB2312" w:cs="Times New Roman"/>
          <w:color w:val="000000"/>
          <w:kern w:val="0"/>
          <w:sz w:val="32"/>
          <w:szCs w:val="32"/>
        </w:rPr>
        <w:t>单位</w:t>
      </w:r>
      <w:r>
        <w:rPr>
          <w:rFonts w:hint="eastAsia" w:ascii="仿宋" w:hAnsi="仿宋" w:eastAsia="仿宋" w:cs="仿宋_GB2312"/>
          <w:sz w:val="32"/>
          <w:szCs w:val="32"/>
        </w:rPr>
        <w:t>；如得票相同，则将各专家给各投标单位打出总分相加，得分高者定为该项赛事/活动的</w:t>
      </w:r>
      <w:r>
        <w:rPr>
          <w:rFonts w:hint="eastAsia" w:ascii="仿宋_GB2312" w:hAnsi="Times New Roman" w:eastAsia="仿宋_GB2312" w:cs="Times New Roman"/>
          <w:color w:val="000000"/>
          <w:kern w:val="0"/>
          <w:sz w:val="32"/>
          <w:szCs w:val="32"/>
        </w:rPr>
        <w:t>拟定承办</w:t>
      </w:r>
      <w:r>
        <w:rPr>
          <w:rFonts w:ascii="仿宋_GB2312" w:hAnsi="Times New Roman" w:eastAsia="仿宋_GB2312" w:cs="Times New Roman"/>
          <w:color w:val="000000"/>
          <w:kern w:val="0"/>
          <w:sz w:val="32"/>
          <w:szCs w:val="32"/>
        </w:rPr>
        <w:t>单位</w:t>
      </w:r>
      <w:r>
        <w:rPr>
          <w:rFonts w:hint="eastAsia" w:ascii="仿宋" w:hAnsi="仿宋" w:eastAsia="仿宋" w:cs="仿宋_GB2312"/>
          <w:sz w:val="32"/>
          <w:szCs w:val="32"/>
        </w:rPr>
        <w:t>；如总分仍并列，则依据评估表备注中的“优先”条款确定</w:t>
      </w:r>
      <w:r>
        <w:rPr>
          <w:rFonts w:hint="eastAsia" w:ascii="仿宋_GB2312" w:hAnsi="Times New Roman" w:eastAsia="仿宋_GB2312" w:cs="Times New Roman"/>
          <w:color w:val="000000"/>
          <w:kern w:val="0"/>
          <w:sz w:val="32"/>
          <w:szCs w:val="32"/>
        </w:rPr>
        <w:t>拟定承办</w:t>
      </w:r>
      <w:r>
        <w:rPr>
          <w:rFonts w:ascii="仿宋_GB2312" w:hAnsi="Times New Roman" w:eastAsia="仿宋_GB2312" w:cs="Times New Roman"/>
          <w:color w:val="000000"/>
          <w:kern w:val="0"/>
          <w:sz w:val="32"/>
          <w:szCs w:val="32"/>
        </w:rPr>
        <w:t>单位</w:t>
      </w:r>
      <w:r>
        <w:rPr>
          <w:rFonts w:hint="eastAsia" w:ascii="仿宋" w:hAnsi="仿宋" w:eastAsia="仿宋" w:cs="仿宋_GB2312"/>
          <w:sz w:val="32"/>
          <w:szCs w:val="32"/>
        </w:rPr>
        <w:t>。</w:t>
      </w:r>
    </w:p>
    <w:p>
      <w:pPr>
        <w:adjustRightInd w:val="0"/>
        <w:snapToGrid w:val="0"/>
        <w:spacing w:line="520" w:lineRule="atLeast"/>
        <w:ind w:firstLine="640"/>
        <w:rPr>
          <w:rFonts w:ascii="仿宋_GB2312" w:hAnsi="仿宋_GB2312" w:eastAsia="仿宋_GB2312" w:cs="仿宋_GB2312"/>
          <w:sz w:val="32"/>
          <w:szCs w:val="32"/>
        </w:rPr>
      </w:pPr>
      <w:r>
        <w:rPr>
          <w:rFonts w:hint="eastAsia" w:ascii="仿宋" w:hAnsi="仿宋" w:eastAsia="仿宋" w:cs="仿宋_GB2312"/>
          <w:sz w:val="32"/>
          <w:szCs w:val="32"/>
        </w:rPr>
        <w:t>（五）</w:t>
      </w:r>
      <w:r>
        <w:rPr>
          <w:rFonts w:hint="eastAsia" w:ascii="仿宋_GB2312" w:hAnsi="仿宋_GB2312" w:eastAsia="仿宋_GB2312" w:cs="仿宋_GB2312"/>
          <w:sz w:val="32"/>
          <w:szCs w:val="32"/>
        </w:rPr>
        <w:t>评标结果报体操中心领导班子。</w:t>
      </w:r>
    </w:p>
    <w:p>
      <w:pPr>
        <w:adjustRightInd w:val="0"/>
        <w:snapToGrid w:val="0"/>
        <w:spacing w:line="520" w:lineRule="atLeas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（六）评标结果公示。</w:t>
      </w:r>
    </w:p>
    <w:p>
      <w:pPr>
        <w:adjustRightInd w:val="0"/>
        <w:snapToGrid w:val="0"/>
        <w:spacing w:line="520" w:lineRule="atLeast"/>
        <w:ind w:firstLine="640"/>
        <w:rPr>
          <w:rFonts w:ascii="黑体" w:hAnsi="黑体" w:eastAsia="黑体" w:cs="仿宋_GB2312"/>
          <w:b/>
          <w:bCs/>
          <w:sz w:val="32"/>
          <w:szCs w:val="32"/>
        </w:rPr>
      </w:pPr>
      <w:r>
        <w:rPr>
          <w:rFonts w:hint="eastAsia" w:ascii="黑体" w:hAnsi="黑体" w:eastAsia="黑体" w:cs="仿宋_GB2312"/>
          <w:b/>
          <w:bCs/>
          <w:sz w:val="32"/>
          <w:szCs w:val="32"/>
        </w:rPr>
        <w:t>二、评标会纪律要求</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（一）各投标单位之间不得互相串联，一经发现，立即取消此次承办赛事/活动资格。</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（二）在评标阶段，投标单位不得与评标专家单独私下接触，一经发现，立即取消此次承办赛事/活动资格。</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（三）招标单位按照评标程序确定中标单位，评标结束后，招标单位不再对评标过程及结果另作解释。未中标单位不得向评标专家或其他有关人员索问评标过程的情况和相关材料。</w:t>
      </w:r>
    </w:p>
    <w:p>
      <w:pPr>
        <w:adjustRightInd w:val="0"/>
        <w:snapToGrid w:val="0"/>
        <w:spacing w:line="520" w:lineRule="atLeast"/>
        <w:ind w:firstLine="640" w:firstLineChars="200"/>
        <w:rPr>
          <w:rFonts w:ascii="仿宋" w:hAnsi="仿宋" w:eastAsia="仿宋" w:cs="仿宋_GB2312"/>
          <w:sz w:val="32"/>
          <w:szCs w:val="32"/>
        </w:rPr>
      </w:pPr>
      <w:r>
        <w:rPr>
          <w:rFonts w:hint="eastAsia" w:ascii="仿宋" w:hAnsi="仿宋" w:eastAsia="仿宋" w:cs="仿宋_GB2312"/>
          <w:sz w:val="32"/>
          <w:szCs w:val="32"/>
        </w:rPr>
        <w:t>（四）评标会进行期间，请</w:t>
      </w:r>
      <w:r>
        <w:rPr>
          <w:rFonts w:hint="eastAsia" w:ascii="Times New Roman" w:hAnsi="Times New Roman" w:eastAsia="仿宋_GB2312" w:cs="Times New Roman"/>
          <w:sz w:val="32"/>
          <w:szCs w:val="32"/>
        </w:rPr>
        <w:t>参加投标人员关闭所有通讯工具</w:t>
      </w:r>
      <w:r>
        <w:rPr>
          <w:rFonts w:hint="eastAsia" w:ascii="仿宋" w:hAnsi="仿宋" w:eastAsia="仿宋" w:cs="仿宋_GB2312"/>
          <w:sz w:val="32"/>
          <w:szCs w:val="32"/>
        </w:rPr>
        <w:t>。</w:t>
      </w:r>
    </w:p>
    <w:p>
      <w:pPr>
        <w:adjustRightInd w:val="0"/>
        <w:snapToGrid w:val="0"/>
        <w:spacing w:line="520" w:lineRule="atLeast"/>
        <w:ind w:firstLine="640"/>
        <w:rPr>
          <w:rFonts w:ascii="黑体" w:hAnsi="黑体" w:eastAsia="黑体" w:cs="仿宋_GB2312"/>
          <w:b/>
          <w:bCs/>
          <w:sz w:val="32"/>
          <w:szCs w:val="32"/>
        </w:rPr>
      </w:pPr>
      <w:r>
        <w:rPr>
          <w:rFonts w:hint="eastAsia" w:ascii="黑体" w:hAnsi="黑体" w:eastAsia="黑体" w:cs="仿宋_GB2312"/>
          <w:b/>
          <w:bCs/>
          <w:sz w:val="32"/>
          <w:szCs w:val="32"/>
        </w:rPr>
        <w:t>三、其他事宜</w:t>
      </w:r>
    </w:p>
    <w:p>
      <w:pPr>
        <w:adjustRightInd w:val="0"/>
        <w:snapToGrid w:val="0"/>
        <w:spacing w:line="520" w:lineRule="atLeas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待此次评标结果报中心领导批准后，我中心将就拟定</w:t>
      </w:r>
      <w:r>
        <w:rPr>
          <w:rFonts w:ascii="仿宋" w:hAnsi="仿宋" w:eastAsia="仿宋" w:cs="仿宋_GB2312"/>
          <w:sz w:val="32"/>
          <w:szCs w:val="32"/>
        </w:rPr>
        <w:t>承办单位</w:t>
      </w:r>
      <w:r>
        <w:rPr>
          <w:rFonts w:hint="eastAsia" w:ascii="仿宋" w:hAnsi="仿宋" w:eastAsia="仿宋" w:cs="仿宋_GB2312"/>
          <w:sz w:val="32"/>
          <w:szCs w:val="32"/>
        </w:rPr>
        <w:t>情况进行社会</w:t>
      </w:r>
      <w:r>
        <w:rPr>
          <w:rFonts w:ascii="仿宋" w:hAnsi="仿宋" w:eastAsia="仿宋" w:cs="仿宋_GB2312"/>
          <w:sz w:val="32"/>
          <w:szCs w:val="32"/>
        </w:rPr>
        <w:t>公示</w:t>
      </w:r>
      <w:r>
        <w:rPr>
          <w:rFonts w:hint="eastAsia" w:ascii="仿宋" w:hAnsi="仿宋" w:eastAsia="仿宋" w:cs="仿宋_GB2312"/>
          <w:sz w:val="32"/>
          <w:szCs w:val="32"/>
        </w:rPr>
        <w:t>。</w:t>
      </w:r>
    </w:p>
    <w:p>
      <w:pPr>
        <w:adjustRightInd w:val="0"/>
        <w:snapToGrid w:val="0"/>
        <w:spacing w:line="520" w:lineRule="atLeast"/>
        <w:ind w:firstLine="640" w:firstLineChars="200"/>
        <w:jc w:val="left"/>
        <w:rPr>
          <w:rFonts w:ascii="仿宋" w:hAnsi="仿宋" w:eastAsia="仿宋" w:cs="仿宋_GB2312"/>
          <w:sz w:val="32"/>
          <w:szCs w:val="32"/>
        </w:rPr>
      </w:pPr>
      <w:r>
        <w:rPr>
          <w:rFonts w:ascii="仿宋" w:hAnsi="仿宋" w:eastAsia="仿宋" w:cs="仿宋_GB2312"/>
          <w:sz w:val="32"/>
          <w:szCs w:val="32"/>
        </w:rPr>
        <w:t>公示期满后，如无问题反映，或所反映问题经调查核实不影响</w:t>
      </w:r>
      <w:r>
        <w:rPr>
          <w:rFonts w:hint="eastAsia" w:ascii="仿宋" w:hAnsi="仿宋" w:eastAsia="仿宋" w:cs="仿宋_GB2312"/>
          <w:sz w:val="32"/>
          <w:szCs w:val="32"/>
        </w:rPr>
        <w:t>结果</w:t>
      </w:r>
      <w:r>
        <w:rPr>
          <w:rFonts w:ascii="仿宋" w:hAnsi="仿宋" w:eastAsia="仿宋" w:cs="仿宋_GB2312"/>
          <w:sz w:val="32"/>
          <w:szCs w:val="32"/>
        </w:rPr>
        <w:t>的，</w:t>
      </w:r>
      <w:r>
        <w:rPr>
          <w:rFonts w:hint="eastAsia" w:ascii="仿宋" w:hAnsi="仿宋" w:eastAsia="仿宋" w:cs="仿宋_GB2312"/>
          <w:sz w:val="32"/>
          <w:szCs w:val="32"/>
        </w:rPr>
        <w:t>即确定该拟定</w:t>
      </w:r>
      <w:r>
        <w:rPr>
          <w:rFonts w:ascii="仿宋" w:hAnsi="仿宋" w:eastAsia="仿宋" w:cs="仿宋_GB2312"/>
          <w:sz w:val="32"/>
          <w:szCs w:val="32"/>
        </w:rPr>
        <w:t>承办单位为我中心</w:t>
      </w:r>
      <w:r>
        <w:rPr>
          <w:rFonts w:hint="eastAsia" w:ascii="仿宋" w:hAnsi="仿宋" w:eastAsia="仿宋" w:cs="仿宋_GB2312"/>
          <w:sz w:val="32"/>
          <w:szCs w:val="32"/>
        </w:rPr>
        <w:t>此次招标赛事及活动的</w:t>
      </w:r>
      <w:r>
        <w:rPr>
          <w:rFonts w:ascii="仿宋" w:hAnsi="仿宋" w:eastAsia="仿宋" w:cs="仿宋_GB2312"/>
          <w:sz w:val="32"/>
          <w:szCs w:val="32"/>
        </w:rPr>
        <w:t>正式</w:t>
      </w:r>
      <w:r>
        <w:rPr>
          <w:rFonts w:hint="eastAsia" w:ascii="仿宋" w:hAnsi="仿宋" w:eastAsia="仿宋" w:cs="仿宋_GB2312"/>
          <w:sz w:val="32"/>
          <w:szCs w:val="32"/>
        </w:rPr>
        <w:t>承办单位</w:t>
      </w:r>
      <w:r>
        <w:rPr>
          <w:rFonts w:ascii="仿宋" w:hAnsi="仿宋" w:eastAsia="仿宋" w:cs="仿宋_GB2312"/>
          <w:sz w:val="32"/>
          <w:szCs w:val="32"/>
        </w:rPr>
        <w:t>。</w:t>
      </w:r>
    </w:p>
    <w:p>
      <w:pPr>
        <w:adjustRightInd w:val="0"/>
        <w:snapToGrid w:val="0"/>
        <w:spacing w:line="520" w:lineRule="atLeast"/>
        <w:ind w:firstLine="640" w:firstLineChars="200"/>
        <w:jc w:val="left"/>
        <w:rPr>
          <w:rFonts w:ascii="仿宋" w:hAnsi="仿宋" w:eastAsia="仿宋" w:cs="仿宋_GB2312"/>
          <w:sz w:val="32"/>
          <w:szCs w:val="32"/>
        </w:rPr>
      </w:pPr>
      <w:r>
        <w:rPr>
          <w:rFonts w:ascii="仿宋" w:hAnsi="仿宋" w:eastAsia="仿宋" w:cs="仿宋_GB2312"/>
          <w:sz w:val="32"/>
          <w:szCs w:val="32"/>
        </w:rPr>
        <w:t>我中心将与</w:t>
      </w:r>
      <w:r>
        <w:rPr>
          <w:rFonts w:hint="eastAsia" w:ascii="仿宋" w:hAnsi="仿宋" w:eastAsia="仿宋" w:cs="仿宋_GB2312"/>
          <w:sz w:val="32"/>
          <w:szCs w:val="32"/>
        </w:rPr>
        <w:t>该承办单位</w:t>
      </w:r>
      <w:r>
        <w:rPr>
          <w:rFonts w:ascii="仿宋" w:hAnsi="仿宋" w:eastAsia="仿宋" w:cs="仿宋_GB2312"/>
          <w:sz w:val="32"/>
          <w:szCs w:val="32"/>
        </w:rPr>
        <w:t>商定</w:t>
      </w:r>
      <w:r>
        <w:rPr>
          <w:rFonts w:hint="eastAsia" w:ascii="仿宋" w:hAnsi="仿宋" w:eastAsia="仿宋" w:cs="仿宋_GB2312"/>
          <w:sz w:val="32"/>
          <w:szCs w:val="32"/>
        </w:rPr>
        <w:t>具体</w:t>
      </w:r>
      <w:r>
        <w:rPr>
          <w:rFonts w:ascii="仿宋" w:hAnsi="仿宋" w:eastAsia="仿宋" w:cs="仿宋_GB2312"/>
          <w:sz w:val="32"/>
          <w:szCs w:val="32"/>
        </w:rPr>
        <w:t>合作事宜，签订</w:t>
      </w:r>
      <w:r>
        <w:rPr>
          <w:rFonts w:hint="eastAsia" w:ascii="仿宋" w:hAnsi="仿宋" w:eastAsia="仿宋" w:cs="仿宋_GB2312"/>
          <w:sz w:val="32"/>
          <w:szCs w:val="32"/>
        </w:rPr>
        <w:t>赛事及活动</w:t>
      </w:r>
      <w:r>
        <w:rPr>
          <w:rFonts w:ascii="仿宋" w:hAnsi="仿宋" w:eastAsia="仿宋" w:cs="仿宋_GB2312"/>
          <w:sz w:val="32"/>
          <w:szCs w:val="32"/>
        </w:rPr>
        <w:t>承办协议，约定双方的权利与义务。</w:t>
      </w:r>
    </w:p>
    <w:p>
      <w:pPr>
        <w:adjustRightInd w:val="0"/>
        <w:snapToGrid w:val="0"/>
        <w:spacing w:line="520" w:lineRule="atLeast"/>
        <w:ind w:firstLine="640" w:firstLineChars="200"/>
        <w:rPr>
          <w:rFonts w:ascii="仿宋" w:hAnsi="仿宋" w:eastAsia="仿宋"/>
          <w:sz w:val="32"/>
          <w:szCs w:val="32"/>
        </w:rPr>
      </w:pPr>
    </w:p>
    <w:sectPr>
      <w:footerReference r:id="rId3" w:type="default"/>
      <w:pgSz w:w="11906" w:h="16838"/>
      <w:pgMar w:top="1418" w:right="1588" w:bottom="1418"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62264"/>
      <w:docPartObj>
        <w:docPartGallery w:val="autotext"/>
      </w:docPartObj>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9E"/>
    <w:rsid w:val="0007055C"/>
    <w:rsid w:val="00080C43"/>
    <w:rsid w:val="000A0638"/>
    <w:rsid w:val="00123C47"/>
    <w:rsid w:val="00145B23"/>
    <w:rsid w:val="001C79B3"/>
    <w:rsid w:val="001D1BD0"/>
    <w:rsid w:val="00306D4F"/>
    <w:rsid w:val="0035738E"/>
    <w:rsid w:val="003601B8"/>
    <w:rsid w:val="00365484"/>
    <w:rsid w:val="00386B63"/>
    <w:rsid w:val="003D63FD"/>
    <w:rsid w:val="00441AD3"/>
    <w:rsid w:val="00461C45"/>
    <w:rsid w:val="004A025C"/>
    <w:rsid w:val="004A2B0E"/>
    <w:rsid w:val="004F4CEC"/>
    <w:rsid w:val="00572B9C"/>
    <w:rsid w:val="005A422A"/>
    <w:rsid w:val="005A6C16"/>
    <w:rsid w:val="005B2D16"/>
    <w:rsid w:val="005F4187"/>
    <w:rsid w:val="00606515"/>
    <w:rsid w:val="00613982"/>
    <w:rsid w:val="00661BDB"/>
    <w:rsid w:val="0068358E"/>
    <w:rsid w:val="006F0BA5"/>
    <w:rsid w:val="0072559E"/>
    <w:rsid w:val="00766018"/>
    <w:rsid w:val="00793408"/>
    <w:rsid w:val="00803922"/>
    <w:rsid w:val="0082240B"/>
    <w:rsid w:val="00865E17"/>
    <w:rsid w:val="008951AC"/>
    <w:rsid w:val="008A54BD"/>
    <w:rsid w:val="00980DB5"/>
    <w:rsid w:val="0099259E"/>
    <w:rsid w:val="00A263CA"/>
    <w:rsid w:val="00A52EED"/>
    <w:rsid w:val="00B46842"/>
    <w:rsid w:val="00B627C4"/>
    <w:rsid w:val="00BB710C"/>
    <w:rsid w:val="00C744CF"/>
    <w:rsid w:val="00C823AA"/>
    <w:rsid w:val="00C9394F"/>
    <w:rsid w:val="00CE0D5C"/>
    <w:rsid w:val="00D62188"/>
    <w:rsid w:val="00D6575E"/>
    <w:rsid w:val="00D73BA4"/>
    <w:rsid w:val="00D83E7A"/>
    <w:rsid w:val="00E419B6"/>
    <w:rsid w:val="00E8747D"/>
    <w:rsid w:val="00EB36F8"/>
    <w:rsid w:val="00FA2C6A"/>
    <w:rsid w:val="03832F71"/>
    <w:rsid w:val="043D4716"/>
    <w:rsid w:val="06AE44CA"/>
    <w:rsid w:val="08F73E07"/>
    <w:rsid w:val="0C946EE3"/>
    <w:rsid w:val="0F8E26EB"/>
    <w:rsid w:val="15FC03AF"/>
    <w:rsid w:val="2333343D"/>
    <w:rsid w:val="23B337CD"/>
    <w:rsid w:val="259236F9"/>
    <w:rsid w:val="276E4799"/>
    <w:rsid w:val="2A137020"/>
    <w:rsid w:val="2BBC3C48"/>
    <w:rsid w:val="2CF0671F"/>
    <w:rsid w:val="2DBB59A3"/>
    <w:rsid w:val="2EE93A0A"/>
    <w:rsid w:val="30172B8F"/>
    <w:rsid w:val="307B6B8E"/>
    <w:rsid w:val="323A0A34"/>
    <w:rsid w:val="341C27C0"/>
    <w:rsid w:val="35426EA0"/>
    <w:rsid w:val="384506EE"/>
    <w:rsid w:val="3A2974EB"/>
    <w:rsid w:val="3BE13831"/>
    <w:rsid w:val="3F0D69D8"/>
    <w:rsid w:val="3FEE484E"/>
    <w:rsid w:val="40C96CEF"/>
    <w:rsid w:val="40DB0CDF"/>
    <w:rsid w:val="441751E5"/>
    <w:rsid w:val="44CA6D22"/>
    <w:rsid w:val="46033FA0"/>
    <w:rsid w:val="4675398D"/>
    <w:rsid w:val="48202EE2"/>
    <w:rsid w:val="49057AE8"/>
    <w:rsid w:val="4EB579EC"/>
    <w:rsid w:val="52D737A1"/>
    <w:rsid w:val="55BC5A2A"/>
    <w:rsid w:val="568C3223"/>
    <w:rsid w:val="57AE3CD8"/>
    <w:rsid w:val="58AC0061"/>
    <w:rsid w:val="5A145322"/>
    <w:rsid w:val="5A5173C1"/>
    <w:rsid w:val="5B661D78"/>
    <w:rsid w:val="5C203053"/>
    <w:rsid w:val="60CC30CB"/>
    <w:rsid w:val="616B480A"/>
    <w:rsid w:val="63DA1527"/>
    <w:rsid w:val="6983566E"/>
    <w:rsid w:val="69B90F1E"/>
    <w:rsid w:val="6B244D0D"/>
    <w:rsid w:val="70D809B5"/>
    <w:rsid w:val="712779A5"/>
    <w:rsid w:val="743C65F7"/>
    <w:rsid w:val="74F82207"/>
    <w:rsid w:val="7A3D580F"/>
    <w:rsid w:val="7B2176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119</Words>
  <Characters>682</Characters>
  <Lines>5</Lines>
  <Paragraphs>1</Paragraphs>
  <TotalTime>7</TotalTime>
  <ScaleCrop>false</ScaleCrop>
  <LinksUpToDate>false</LinksUpToDate>
  <CharactersWithSpaces>800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2018-12-05T03:26:00Z</dcterms:created>
  <dc:creator>Administrator</dc:creator>
  <cp:lastModifiedBy>赫然</cp:lastModifiedBy>
  <cp:lastPrinted>2018-12-05T07:15:00Z</cp:lastPrinted>
  <dcterms:modified xsi:type="dcterms:W3CDTF">2018-12-07T09:03:38Z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