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sz w:val="32"/>
          <w:szCs w:val="32"/>
        </w:rPr>
      </w:pPr>
      <w:bookmarkStart w:id="0" w:name="_Toc318376965"/>
      <w:bookmarkStart w:id="53" w:name="_GoBack"/>
      <w:bookmarkEnd w:id="53"/>
      <w:r>
        <w:rPr>
          <w:rFonts w:hint="eastAsia" w:ascii="Times New Roman" w:hAnsi="Times New Roman" w:cs="Times New Roman"/>
          <w:b/>
          <w:sz w:val="32"/>
          <w:szCs w:val="32"/>
        </w:rPr>
        <w:t xml:space="preserve"> </w:t>
      </w:r>
      <w:r>
        <w:rPr>
          <w:rFonts w:hint="eastAsia" w:ascii="Times New Roman" w:hAnsi="Times New Roman" w:cs="Times New Roman"/>
          <w:b/>
          <w:sz w:val="32"/>
          <w:szCs w:val="32"/>
          <w:lang w:val="en-US" w:eastAsia="zh-CN"/>
        </w:rPr>
        <w:t>自剑中心自动消防灭火系统</w:t>
      </w:r>
      <w:r>
        <w:rPr>
          <w:rFonts w:hint="eastAsia" w:ascii="Times New Roman" w:hAnsi="Times New Roman" w:cs="Times New Roman"/>
          <w:b/>
          <w:sz w:val="32"/>
          <w:szCs w:val="32"/>
        </w:rPr>
        <w:t>招标技术</w:t>
      </w:r>
      <w:r>
        <w:rPr>
          <w:rFonts w:hint="eastAsia" w:ascii="Times New Roman" w:hAnsi="Times New Roman" w:cs="Times New Roman"/>
          <w:b/>
          <w:sz w:val="32"/>
          <w:szCs w:val="32"/>
          <w:lang w:val="en-US" w:eastAsia="zh-CN"/>
        </w:rPr>
        <w:t>要求</w:t>
      </w:r>
    </w:p>
    <w:bookmarkEnd w:id="0"/>
    <w:p>
      <w:pPr>
        <w:adjustRightInd w:val="0"/>
        <w:snapToGrid w:val="0"/>
        <w:spacing w:line="360" w:lineRule="auto"/>
        <w:rPr>
          <w:rFonts w:hint="eastAsia" w:ascii="宋体" w:hAnsi="宋体" w:eastAsia="宋体" w:cs="Times New Roman"/>
          <w:color w:val="000000" w:themeColor="text1"/>
          <w:sz w:val="24"/>
          <w14:textFill>
            <w14:solidFill>
              <w14:schemeClr w14:val="tx1"/>
            </w14:solidFill>
          </w14:textFill>
        </w:rPr>
      </w:pPr>
      <w:bookmarkStart w:id="1" w:name="_Toc371353775"/>
      <w:bookmarkStart w:id="2" w:name="_Toc378091629"/>
      <w:bookmarkStart w:id="3" w:name="_Toc426550707"/>
      <w:bookmarkStart w:id="4" w:name="_Toc21641"/>
    </w:p>
    <w:p>
      <w:pPr>
        <w:adjustRightInd w:val="0"/>
        <w:snapToGrid w:val="0"/>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一、</w:t>
      </w:r>
      <w:r>
        <w:rPr>
          <w:rFonts w:ascii="宋体" w:hAnsi="宋体" w:eastAsia="宋体" w:cs="Times New Roman"/>
          <w:color w:val="000000" w:themeColor="text1"/>
          <w:sz w:val="24"/>
          <w14:textFill>
            <w14:solidFill>
              <w14:schemeClr w14:val="tx1"/>
            </w14:solidFill>
          </w14:textFill>
        </w:rPr>
        <w:t xml:space="preserve"> </w:t>
      </w:r>
      <w:bookmarkEnd w:id="1"/>
      <w:bookmarkEnd w:id="2"/>
      <w:bookmarkStart w:id="5" w:name="_Toc375483431"/>
      <w:bookmarkStart w:id="6" w:name="_Toc375484438"/>
      <w:bookmarkStart w:id="7" w:name="_Toc375492432"/>
      <w:bookmarkStart w:id="8" w:name="_Toc375488692"/>
      <w:bookmarkStart w:id="9" w:name="_Toc375489056"/>
      <w:bookmarkStart w:id="10" w:name="_Toc375491703"/>
      <w:bookmarkStart w:id="11" w:name="_Toc375490918"/>
      <w:bookmarkStart w:id="12" w:name="_Toc375490146"/>
      <w:bookmarkStart w:id="13" w:name="_Toc378091631"/>
      <w:bookmarkStart w:id="14" w:name="_Toc375478002"/>
      <w:bookmarkStart w:id="15" w:name="_Toc375475915"/>
      <w:r>
        <w:rPr>
          <w:rFonts w:ascii="宋体" w:hAnsi="宋体" w:eastAsia="宋体" w:cs="Times New Roman"/>
          <w:color w:val="000000" w:themeColor="text1"/>
          <w:sz w:val="24"/>
          <w14:textFill>
            <w14:solidFill>
              <w14:schemeClr w14:val="tx1"/>
            </w14:solidFill>
          </w14:textFill>
        </w:rPr>
        <w:t>项目概况</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项目名称：</w:t>
      </w:r>
      <w:r>
        <w:rPr>
          <w:rFonts w:hint="eastAsia" w:ascii="宋体" w:hAnsi="宋体" w:eastAsia="宋体"/>
          <w:color w:val="000000" w:themeColor="text1"/>
          <w:sz w:val="24"/>
          <w:lang w:val="en-US" w:eastAsia="zh-CN"/>
          <w14:textFill>
            <w14:solidFill>
              <w14:schemeClr w14:val="tx1"/>
            </w14:solidFill>
          </w14:textFill>
        </w:rPr>
        <w:t>自剑中心</w:t>
      </w:r>
      <w:r>
        <w:rPr>
          <w:rFonts w:hint="eastAsia" w:ascii="宋体" w:hAnsi="宋体" w:eastAsia="宋体"/>
          <w:color w:val="000000" w:themeColor="text1"/>
          <w:sz w:val="24"/>
          <w14:textFill>
            <w14:solidFill>
              <w14:schemeClr w14:val="tx1"/>
            </w14:solidFill>
          </w14:textFill>
        </w:rPr>
        <w:t>自动消防灭火系统</w:t>
      </w:r>
      <w:r>
        <w:rPr>
          <w:rFonts w:hint="eastAsia" w:ascii="宋体" w:hAnsi="宋体" w:eastAsia="宋体" w:cs="Times New Roman"/>
          <w:color w:val="000000" w:themeColor="text1"/>
          <w:sz w:val="24"/>
          <w14:textFill>
            <w14:solidFill>
              <w14:schemeClr w14:val="tx1"/>
            </w14:solidFill>
          </w14:textFill>
        </w:rPr>
        <w:t>。</w:t>
      </w:r>
    </w:p>
    <w:p>
      <w:pPr>
        <w:spacing w:line="360" w:lineRule="auto"/>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所在位置：本</w:t>
      </w:r>
      <w:r>
        <w:rPr>
          <w:rFonts w:hint="eastAsia" w:ascii="宋体" w:hAnsi="宋体" w:eastAsia="宋体" w:cs="Times New Roman"/>
          <w:color w:val="000000" w:themeColor="text1"/>
          <w:sz w:val="24"/>
          <w:lang w:val="en-US" w:eastAsia="zh-CN"/>
          <w14:textFill>
            <w14:solidFill>
              <w14:schemeClr w14:val="tx1"/>
            </w14:solidFill>
          </w14:textFill>
        </w:rPr>
        <w:t>项目</w:t>
      </w:r>
      <w:r>
        <w:rPr>
          <w:rFonts w:ascii="宋体" w:hAnsi="宋体" w:eastAsia="宋体" w:cs="Times New Roman"/>
          <w:color w:val="000000" w:themeColor="text1"/>
          <w:sz w:val="24"/>
          <w14:textFill>
            <w14:solidFill>
              <w14:schemeClr w14:val="tx1"/>
            </w14:solidFill>
          </w14:textFill>
        </w:rPr>
        <w:t>位于</w:t>
      </w:r>
      <w:r>
        <w:rPr>
          <w:rFonts w:hint="eastAsia" w:ascii="宋体" w:hAnsi="宋体" w:eastAsia="宋体"/>
          <w:color w:val="000000" w:themeColor="text1"/>
          <w:sz w:val="24"/>
          <w:lang w:val="en-US" w:eastAsia="zh-CN"/>
          <w14:textFill>
            <w14:solidFill>
              <w14:schemeClr w14:val="tx1"/>
            </w14:solidFill>
          </w14:textFill>
        </w:rPr>
        <w:t>北京市石景山区老山西街5号</w:t>
      </w:r>
      <w:r>
        <w:rPr>
          <w:rFonts w:ascii="宋体" w:hAnsi="宋体" w:eastAsia="宋体" w:cs="Times New Roman"/>
          <w:color w:val="000000" w:themeColor="text1"/>
          <w:sz w:val="24"/>
          <w14:textFill>
            <w14:solidFill>
              <w14:schemeClr w14:val="tx1"/>
            </w14:solidFill>
          </w14:textFill>
        </w:rPr>
        <w:t>。</w:t>
      </w:r>
    </w:p>
    <w:p>
      <w:pPr>
        <w:pStyle w:val="2"/>
        <w:rPr>
          <w:rFonts w:ascii="宋体" w:hAnsi="宋体" w:eastAsia="宋体" w:cs="Times New Roman"/>
          <w:bCs w:val="0"/>
          <w:color w:val="000000" w:themeColor="text1"/>
          <w:sz w:val="24"/>
          <w:szCs w:val="24"/>
          <w14:textFill>
            <w14:solidFill>
              <w14:schemeClr w14:val="tx1"/>
            </w14:solidFill>
          </w14:textFill>
        </w:rPr>
      </w:pPr>
      <w:bookmarkStart w:id="16" w:name="_Toc375492434"/>
      <w:bookmarkStart w:id="17" w:name="_Toc375490148"/>
      <w:bookmarkStart w:id="18" w:name="_Toc375489058"/>
      <w:bookmarkStart w:id="19" w:name="_Toc378091633"/>
      <w:bookmarkStart w:id="20" w:name="_Toc375488694"/>
      <w:bookmarkStart w:id="21" w:name="_Toc375491705"/>
      <w:bookmarkStart w:id="22" w:name="_Toc375490920"/>
      <w:r>
        <w:rPr>
          <w:rFonts w:hint="eastAsia" w:ascii="宋体" w:hAnsi="宋体" w:eastAsia="宋体" w:cs="Times New Roman"/>
          <w:bCs w:val="0"/>
          <w:color w:val="000000" w:themeColor="text1"/>
          <w:sz w:val="24"/>
          <w:szCs w:val="24"/>
          <w14:textFill>
            <w14:solidFill>
              <w14:schemeClr w14:val="tx1"/>
            </w14:solidFill>
          </w14:textFill>
        </w:rPr>
        <w:t>二、</w:t>
      </w:r>
      <w:r>
        <w:rPr>
          <w:rFonts w:ascii="宋体" w:hAnsi="宋体" w:eastAsia="宋体" w:cs="Times New Roman"/>
          <w:bCs w:val="0"/>
          <w:color w:val="000000" w:themeColor="text1"/>
          <w:sz w:val="24"/>
          <w:szCs w:val="24"/>
          <w14:textFill>
            <w14:solidFill>
              <w14:schemeClr w14:val="tx1"/>
            </w14:solidFill>
          </w14:textFill>
        </w:rPr>
        <w:t xml:space="preserve"> 供货范围</w:t>
      </w:r>
      <w:bookmarkEnd w:id="16"/>
      <w:bookmarkEnd w:id="17"/>
      <w:bookmarkEnd w:id="18"/>
      <w:bookmarkEnd w:id="19"/>
      <w:bookmarkEnd w:id="20"/>
      <w:bookmarkEnd w:id="21"/>
      <w:bookmarkEnd w:id="22"/>
    </w:p>
    <w:p>
      <w:pPr>
        <w:spacing w:line="360" w:lineRule="auto"/>
        <w:ind w:firstLine="480" w:firstLineChars="200"/>
        <w:rPr>
          <w:rFonts w:hint="eastAsia" w:ascii="宋体" w:hAnsi="宋体" w:eastAsia="宋体" w:cs="Times New Roman"/>
          <w:color w:val="000000"/>
          <w:sz w:val="24"/>
        </w:rPr>
      </w:pPr>
      <w:r>
        <w:rPr>
          <w:rFonts w:hint="eastAsia" w:ascii="宋体" w:hAnsi="宋体" w:cs="Times New Roman"/>
          <w:color w:val="000000"/>
          <w:sz w:val="24"/>
          <w:lang w:val="en-US" w:eastAsia="zh-CN"/>
        </w:rPr>
        <w:t>1.</w:t>
      </w:r>
      <w:r>
        <w:rPr>
          <w:rFonts w:hint="eastAsia" w:ascii="宋体" w:hAnsi="宋体" w:eastAsia="宋体" w:cs="Times New Roman"/>
          <w:color w:val="000000"/>
          <w:sz w:val="24"/>
        </w:rPr>
        <w:t>防爆型自动跟踪定位射流消防炮灭火系统。</w:t>
      </w:r>
    </w:p>
    <w:p>
      <w:pPr>
        <w:spacing w:line="360" w:lineRule="auto"/>
        <w:ind w:firstLine="480" w:firstLineChars="200"/>
        <w:rPr>
          <w:rFonts w:hint="default" w:ascii="宋体" w:hAnsi="宋体"/>
          <w:sz w:val="24"/>
          <w:szCs w:val="24"/>
          <w:lang w:val="en-US" w:eastAsia="zh-CN"/>
        </w:rPr>
      </w:pPr>
      <w:r>
        <w:rPr>
          <w:rFonts w:hint="eastAsia" w:ascii="宋体" w:hAnsi="宋体" w:eastAsia="宋体" w:cs="Times New Roman"/>
          <w:color w:val="000000"/>
          <w:sz w:val="24"/>
        </w:rPr>
        <w:t>2.卖方负责设备供货</w:t>
      </w:r>
      <w:r>
        <w:rPr>
          <w:rFonts w:ascii="宋体" w:hAnsi="宋体" w:eastAsia="宋体" w:cs="Times New Roman"/>
          <w:color w:val="000000"/>
          <w:sz w:val="24"/>
        </w:rPr>
        <w:t>、运输、安装、试验、检验、考核</w:t>
      </w:r>
      <w:r>
        <w:rPr>
          <w:rFonts w:hint="eastAsia" w:ascii="宋体" w:hAnsi="宋体" w:cs="Times New Roman"/>
          <w:color w:val="000000"/>
          <w:sz w:val="24"/>
          <w:lang w:eastAsia="zh-CN"/>
        </w:rPr>
        <w:t>、</w:t>
      </w:r>
      <w:r>
        <w:rPr>
          <w:rFonts w:ascii="宋体" w:hAnsi="宋体" w:eastAsia="宋体" w:cs="Times New Roman"/>
          <w:color w:val="000000"/>
          <w:sz w:val="24"/>
        </w:rPr>
        <w:t>验收</w:t>
      </w:r>
      <w:r>
        <w:rPr>
          <w:rFonts w:hint="eastAsia" w:ascii="宋体" w:hAnsi="宋体" w:cs="Times New Roman"/>
          <w:color w:val="000000"/>
          <w:sz w:val="24"/>
          <w:lang w:eastAsia="zh-CN"/>
        </w:rPr>
        <w:t>，</w:t>
      </w:r>
      <w:r>
        <w:rPr>
          <w:rFonts w:hint="eastAsia" w:ascii="宋体" w:hAnsi="宋体" w:cs="Times New Roman"/>
          <w:color w:val="000000"/>
          <w:sz w:val="24"/>
          <w:lang w:val="en-US" w:eastAsia="zh-CN"/>
        </w:rPr>
        <w:t>以及废旧设备拆除、故障设备维修</w:t>
      </w:r>
      <w:r>
        <w:rPr>
          <w:rFonts w:ascii="宋体" w:hAnsi="宋体" w:eastAsia="宋体" w:cs="Times New Roman"/>
          <w:color w:val="000000"/>
          <w:sz w:val="24"/>
        </w:rPr>
        <w:t>，操作人员培训及现场服务等全套服务在内。并按照本</w:t>
      </w:r>
      <w:r>
        <w:rPr>
          <w:rFonts w:hint="eastAsia" w:ascii="宋体" w:hAnsi="宋体" w:cs="Times New Roman"/>
          <w:color w:val="000000"/>
          <w:sz w:val="24"/>
          <w:lang w:val="en-US" w:eastAsia="zh-CN"/>
        </w:rPr>
        <w:t>项目</w:t>
      </w:r>
      <w:r>
        <w:rPr>
          <w:rFonts w:ascii="宋体" w:hAnsi="宋体" w:eastAsia="宋体" w:cs="Times New Roman"/>
          <w:color w:val="000000"/>
          <w:sz w:val="24"/>
        </w:rPr>
        <w:t>的要求</w:t>
      </w:r>
      <w:r>
        <w:rPr>
          <w:rFonts w:hint="eastAsia" w:ascii="宋体" w:hAnsi="宋体" w:cs="Times New Roman"/>
          <w:color w:val="000000"/>
          <w:sz w:val="24"/>
          <w:lang w:val="en-US" w:eastAsia="zh-CN"/>
        </w:rPr>
        <w:t>实现设备</w:t>
      </w:r>
      <w:r>
        <w:rPr>
          <w:rFonts w:ascii="宋体" w:hAnsi="宋体" w:eastAsia="宋体" w:cs="Times New Roman"/>
          <w:color w:val="000000"/>
          <w:sz w:val="24"/>
        </w:rPr>
        <w:t>正常投入运转</w:t>
      </w:r>
      <w:r>
        <w:rPr>
          <w:rFonts w:hint="eastAsia" w:ascii="宋体" w:hAnsi="宋体" w:cs="Times New Roman"/>
          <w:color w:val="000000"/>
          <w:sz w:val="24"/>
          <w:lang w:eastAsia="zh-CN"/>
        </w:rPr>
        <w:t>，</w:t>
      </w:r>
      <w:r>
        <w:rPr>
          <w:rFonts w:hint="eastAsia" w:ascii="宋体" w:hAnsi="宋体" w:cs="Times New Roman"/>
          <w:color w:val="000000"/>
          <w:sz w:val="24"/>
          <w:lang w:val="en-US" w:eastAsia="zh-CN"/>
        </w:rPr>
        <w:t>符合消防部门检测要求</w:t>
      </w:r>
      <w:r>
        <w:rPr>
          <w:rFonts w:ascii="宋体" w:hAnsi="宋体" w:eastAsia="宋体" w:cs="Times New Roman"/>
          <w:color w:val="000000"/>
          <w:sz w:val="24"/>
        </w:rPr>
        <w:t>。</w:t>
      </w:r>
    </w:p>
    <w:p>
      <w:pPr>
        <w:pStyle w:val="3"/>
        <w:spacing w:line="360" w:lineRule="auto"/>
        <w:rPr>
          <w:rFonts w:ascii="宋体" w:hAnsi="宋体" w:eastAsia="宋体" w:cs="Times New Roman"/>
          <w:color w:val="000000" w:themeColor="text1"/>
          <w:sz w:val="24"/>
          <w:szCs w:val="24"/>
          <w14:textFill>
            <w14:solidFill>
              <w14:schemeClr w14:val="tx1"/>
            </w14:solidFill>
          </w14:textFill>
        </w:rPr>
      </w:pPr>
      <w:bookmarkStart w:id="23" w:name="_Toc375488697"/>
      <w:bookmarkStart w:id="24" w:name="_Toc375484443"/>
      <w:bookmarkStart w:id="25" w:name="_Toc375475920"/>
      <w:bookmarkStart w:id="26" w:name="_Toc375491708"/>
      <w:bookmarkStart w:id="27" w:name="_Toc454611705"/>
      <w:bookmarkStart w:id="28" w:name="_Toc375490151"/>
      <w:bookmarkStart w:id="29" w:name="_Toc371353776"/>
      <w:bookmarkStart w:id="30" w:name="_Toc375492437"/>
      <w:bookmarkStart w:id="31" w:name="_Toc375490923"/>
      <w:bookmarkStart w:id="32" w:name="_Toc375478007"/>
      <w:bookmarkStart w:id="33" w:name="_Toc371153314"/>
      <w:bookmarkStart w:id="34" w:name="_Toc375489061"/>
      <w:bookmarkStart w:id="35" w:name="_Toc378091636"/>
      <w:bookmarkStart w:id="36" w:name="_Toc375483436"/>
      <w:bookmarkStart w:id="37" w:name="_Toc221933065"/>
      <w:r>
        <w:rPr>
          <w:rFonts w:hint="eastAsia" w:ascii="宋体" w:hAnsi="宋体" w:eastAsia="宋体" w:cs="Times New Roman"/>
          <w:color w:val="000000" w:themeColor="text1"/>
          <w:sz w:val="24"/>
          <w:szCs w:val="24"/>
          <w14:textFill>
            <w14:solidFill>
              <w14:schemeClr w14:val="tx1"/>
            </w14:solidFill>
          </w14:textFill>
        </w:rPr>
        <w:t>三、技术要求</w:t>
      </w:r>
    </w:p>
    <w:p>
      <w:pPr>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1.技术依据</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bookmarkStart w:id="38" w:name="_Toc74966792"/>
      <w:bookmarkStart w:id="39" w:name="_Toc53204560"/>
      <w:bookmarkStart w:id="40" w:name="_Toc12962877"/>
      <w:bookmarkStart w:id="41" w:name="_Toc12962346"/>
      <w:r>
        <w:rPr>
          <w:rFonts w:hint="eastAsia" w:ascii="宋体" w:hAnsi="宋体" w:eastAsia="宋体" w:cs="Times New Roman"/>
          <w:color w:val="000000" w:themeColor="text1"/>
          <w:sz w:val="24"/>
          <w14:textFill>
            <w14:solidFill>
              <w14:schemeClr w14:val="tx1"/>
            </w14:solidFill>
          </w14:textFill>
        </w:rPr>
        <w:t>本系统的设计、安装、调试、验收、监制应满足以下规范和标准：</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《火灾自动报警系统设计规范》（GB50116-2013）</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《火力发电厂与变电所设计防火规范》(GB50229－2006)</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《建筑设计防火规范》(GB 50016-2014)</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《自动喷水灭火系统设计规范》（GB50084-2001）（2005年版）</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《固定消防炮灭火系统设计规范》（GB50338-2003）</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《自动消防炮灭火系统技术规程》  （CECS245:2008）；</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《自动跟踪定位射流灭火系统》 （GB25204-2010）；</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《特种火灾探测器》GB15631-2008</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《爆炸性环境 第1部分：设备通用要求》(GB3836.1-2010)</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《爆炸性环境 第2部分：由隔爆外壳“d”保护的设备》（GB3836.1-2010）</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《消防炮通用技术条件》（GB19156-2003）</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《远程消防炮系统通用技术条件》（GB19157-2003）</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以上标准若有更新，则以最新版本为准</w:t>
      </w:r>
      <w:r>
        <w:rPr>
          <w:rFonts w:hint="eastAsia" w:ascii="宋体" w:hAnsi="宋体" w:eastAsia="宋体" w:cs="Times New Roman"/>
          <w:color w:val="000000" w:themeColor="text1"/>
          <w:sz w:val="24"/>
          <w14:textFill>
            <w14:solidFill>
              <w14:schemeClr w14:val="tx1"/>
            </w14:solidFill>
          </w14:textFill>
        </w:rPr>
        <w:t>，如上述规范和标准之间，或它们与本技术条件书之间有重大原则性冲突时，投标人应及时用书面形式向招标人提出解决方法的建议，并由双方共同协商处理。</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投标人提供的所有系统中的防爆型自动跟踪定位射流消防炮灭火系统必须是经中国国家消防装备质量监督检验中心检验合格的产品</w:t>
      </w:r>
      <w:bookmarkEnd w:id="38"/>
      <w:bookmarkEnd w:id="39"/>
      <w:bookmarkEnd w:id="40"/>
      <w:bookmarkEnd w:id="41"/>
      <w:r>
        <w:rPr>
          <w:rFonts w:hint="eastAsia" w:ascii="宋体" w:hAnsi="宋体" w:eastAsia="宋体" w:cs="Times New Roman"/>
          <w:color w:val="000000" w:themeColor="text1"/>
          <w:sz w:val="24"/>
          <w14:textFill>
            <w14:solidFill>
              <w14:schemeClr w14:val="tx1"/>
            </w14:solidFill>
          </w14:textFill>
        </w:rPr>
        <w:t>；防爆红外热成像图像火灾探测系统必须是经过项目应用过得成熟产品。</w:t>
      </w:r>
    </w:p>
    <w:p>
      <w:pPr>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2.一般要求及系统描述</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防爆型自动跟踪定位射流消防炮灭火系统主要包括：防爆自动消防炮、防爆图像定位器、现场就地控制箱、防爆电动阀、控制主机等，不限于此。</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防爆型自动跟踪定位射流消防炮灭火系统整套系统应具有如下功能：</w:t>
      </w:r>
    </w:p>
    <w:p>
      <w:pPr>
        <w:spacing w:line="360" w:lineRule="auto"/>
        <w:ind w:firstLine="482"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（1）自动灭火功能：</w:t>
      </w:r>
      <w:r>
        <w:rPr>
          <w:rFonts w:hint="eastAsia" w:ascii="宋体" w:hAnsi="宋体" w:eastAsia="宋体" w:cs="Times New Roman"/>
          <w:color w:val="000000" w:themeColor="text1"/>
          <w:sz w:val="24"/>
          <w14:textFill>
            <w14:solidFill>
              <w14:schemeClr w14:val="tx1"/>
            </w14:solidFill>
          </w14:textFill>
        </w:rPr>
        <w:t>采用图像型火灾探测系统作为前端探测系统，能自动分析火焰特征，智能判断，主动可视报警；防爆图像火灾探测器迅速向信息处理主机发出警报信息，自动启动消防水泵，根据报警区域位置系统启动自动消防炮，自动扫描并指向火源点实施灭火。</w:t>
      </w:r>
    </w:p>
    <w:p>
      <w:pPr>
        <w:spacing w:line="360" w:lineRule="auto"/>
        <w:ind w:firstLine="482"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（2）现场手动控制功能：</w:t>
      </w:r>
      <w:r>
        <w:rPr>
          <w:rFonts w:hint="eastAsia" w:ascii="宋体" w:hAnsi="宋体" w:eastAsia="宋体" w:cs="Times New Roman"/>
          <w:color w:val="000000" w:themeColor="text1"/>
          <w:sz w:val="24"/>
          <w14:textFill>
            <w14:solidFill>
              <w14:schemeClr w14:val="tx1"/>
            </w14:solidFill>
          </w14:textFill>
        </w:rPr>
        <w:t>若现场人员发现着火点，可通过消防炮现场就地控制箱操作自动消防炮对准着火点、打开电动阀、启动消防泵实施喷水灭火。</w:t>
      </w:r>
    </w:p>
    <w:p>
      <w:pPr>
        <w:spacing w:line="360" w:lineRule="auto"/>
        <w:ind w:firstLine="482"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（3）现场遥控器控制功能：</w:t>
      </w:r>
      <w:r>
        <w:rPr>
          <w:rFonts w:hint="eastAsia" w:ascii="宋体" w:hAnsi="宋体" w:eastAsia="宋体" w:cs="Times New Roman"/>
          <w:color w:val="000000" w:themeColor="text1"/>
          <w:sz w:val="24"/>
          <w14:textFill>
            <w14:solidFill>
              <w14:schemeClr w14:val="tx1"/>
            </w14:solidFill>
          </w14:textFill>
        </w:rPr>
        <w:t>若现场人员发现着火点，而现场条件又不允许人员去操作现场就地控制箱操去实施灭火，这时，消防人员可以通过手持式防爆遥控器来操控自动消防炮对准着火点、打开电动阀、启动消防泵实施喷水灭火。</w:t>
      </w:r>
    </w:p>
    <w:p>
      <w:pPr>
        <w:widowControl/>
        <w:shd w:val="clear" w:color="auto" w:fill="FFFFFF"/>
        <w:spacing w:line="360" w:lineRule="auto"/>
        <w:ind w:firstLine="482"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（4）远程控制灭火功能：</w:t>
      </w:r>
      <w:r>
        <w:rPr>
          <w:rFonts w:hint="eastAsia" w:ascii="宋体" w:hAnsi="宋体" w:eastAsia="宋体" w:cs="Times New Roman"/>
          <w:color w:val="000000" w:themeColor="text1"/>
          <w:sz w:val="24"/>
          <w14:textFill>
            <w14:solidFill>
              <w14:schemeClr w14:val="tx1"/>
            </w14:solidFill>
          </w14:textFill>
        </w:rPr>
        <w:t>由消防控制中心值班人员，在控制中心通过监控系统，使用消防炮现场控制盘或消防炮控制主机系统，对火灾区域的消防炮进行操纵，实施灭火功能，同时也可以根据现场人员发现着火点，通过现场手动控制盘实现灭火功能。</w:t>
      </w:r>
    </w:p>
    <w:p>
      <w:pPr>
        <w:widowControl/>
        <w:shd w:val="clear" w:color="auto" w:fill="FFFFFF"/>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（5）所有消防炮电气部分均需采用防爆型(BT4)。</w:t>
      </w:r>
    </w:p>
    <w:p>
      <w:pPr>
        <w:widowControl/>
        <w:shd w:val="clear" w:color="auto" w:fill="FFFFFF"/>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（6）消防炮联动控制柜应能与消防泵房控制柜实现通讯，具有硬启消防泵输出接口，控制柜显示器需显示消防泵房消防水泵和稳压泵的运行状态； 显示消防水池的高水位、低水位信号。</w:t>
      </w:r>
    </w:p>
    <w:p>
      <w:pPr>
        <w:widowControl/>
        <w:shd w:val="clear" w:color="auto" w:fill="FFFFFF"/>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（7）控制主机可与任何厂家火灾自动报警系统进行火警联动；可显示现场任一台消防炮和电动阀运行状态和报警、故障信息；</w:t>
      </w:r>
    </w:p>
    <w:p>
      <w:pPr>
        <w:widowControl/>
        <w:shd w:val="clear" w:color="auto" w:fill="FFFFFF"/>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（8）控制柜可远程对现场任一消防水炮进行纯手动水平和垂直定位，并能远程对现场任一电动阀进行开关控制，内置事件记录及查询功能。</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（9）卖方应负责全部的自动消防炮系统的供货、安装指导、现场调试。</w:t>
      </w:r>
    </w:p>
    <w:p>
      <w:pPr>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3.主要设备技术要求</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（1）防爆自动消防炮</w:t>
      </w:r>
    </w:p>
    <w:p>
      <w:pPr>
        <w:widowControl/>
        <w:shd w:val="clear" w:color="auto" w:fill="FFFFFF"/>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防爆自动消防炮利用步进电动机进行消防炮的水平和垂直调节，以及喷嘴的调节，可实现自动图像定位功能，火灾发生时自动指向火源点，定点扑救，确保灭火效率；可以远距离控制，带有电动操作柱状/雾状喷嘴转换等特点。技术参数如下：</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流量：30L/s</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入口压力：</w:t>
      </w:r>
      <w:r>
        <w:rPr>
          <w:rFonts w:hint="eastAsia" w:ascii="宋体" w:hAnsi="宋体"/>
          <w:color w:val="000000" w:themeColor="text1"/>
          <w:sz w:val="24"/>
          <w14:textFill>
            <w14:solidFill>
              <w14:schemeClr w14:val="tx1"/>
            </w14:solidFill>
          </w14:textFill>
        </w:rPr>
        <w:t>消防炮在设计压力0.8MPa的条件下，射程不小于55m。需厂家提供压力-射程曲线及承诺书供招标方审查。参考国标08S208-23</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定位时间：≤60秒</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入口法兰：DN80</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水平旋转角度：0°～360°</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垂直旋转角度：-90°～＋30°</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防爆等级：Exd II BT4.</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炮体材质：304不锈钢</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安装方式：吊装在马道下</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喷射方式：直射后往复摆动。</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工作环境：满足气候条件</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bookmarkStart w:id="42" w:name="OLE_LINK3"/>
      <w:r>
        <w:rPr>
          <w:rFonts w:hint="eastAsia" w:ascii="宋体" w:hAnsi="宋体" w:eastAsia="宋体" w:cs="Times New Roman"/>
          <w:color w:val="000000" w:themeColor="text1"/>
          <w:sz w:val="24"/>
          <w14:textFill>
            <w14:solidFill>
              <w14:schemeClr w14:val="tx1"/>
            </w14:solidFill>
          </w14:textFill>
        </w:rPr>
        <w:t>（2）防爆图像定位器</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防爆图像定位器镶嵌在防爆自动消防炮的前段，防爆等级ExdIICT6,具有辅助自动消防炮扫描定位功能，与防爆图像火灾探测器协调配合使用,同时辅助远程手动可视控制消防炮上下左右旋转，寻找着火点喷水灭火。</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当现场发生火灾时，防爆图像火灾探测器将探测火灾报警信息通过消防炮主机系统传输给防爆图像定位器，经过快速扫描定位，防爆图像定位器将最终准确图像定位信号传输给消防炮控制主机系统，自动确认开阀、启泵，喷水灭火。火灾扑灭后复位重新进入监控待扫描状态。技术参数如下：</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工作电压：DC12V/24V</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额定功率：小于15W</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安装方式：镶嵌炮体上</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防爆等级：ExdIICT6</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环境温度：-20℃～+50℃</w:t>
      </w:r>
      <w:bookmarkEnd w:id="42"/>
    </w:p>
    <w:p>
      <w:pPr>
        <w:pStyle w:val="28"/>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（3）防爆图像火灾探测器</w:t>
      </w:r>
    </w:p>
    <w:p>
      <w:pPr>
        <w:adjustRightInd w:val="0"/>
        <w:snapToGrid w:val="0"/>
        <w:spacing w:line="360" w:lineRule="auto"/>
        <w:ind w:firstLine="480" w:firstLineChars="200"/>
        <w:rPr>
          <w:rFonts w:ascii="宋体" w:hAnsi="宋体" w:eastAsia="宋体" w:cs="Times New Roman"/>
          <w:color w:val="222A35" w:themeColor="text2" w:themeShade="80"/>
          <w:kern w:val="0"/>
          <w:sz w:val="24"/>
        </w:rPr>
      </w:pPr>
      <w:r>
        <w:rPr>
          <w:rFonts w:hint="eastAsia" w:ascii="宋体" w:hAnsi="宋体" w:eastAsia="宋体" w:cs="Times New Roman"/>
          <w:color w:val="000000" w:themeColor="text1"/>
          <w:kern w:val="0"/>
          <w:sz w:val="24"/>
          <w14:textFill>
            <w14:solidFill>
              <w14:schemeClr w14:val="tx1"/>
            </w14:solidFill>
          </w14:textFill>
        </w:rPr>
        <w:t>消防水炮系统由图像火灾探测部分，图像定位、炮体喷水灭火部分三部分组成，其中探测部分是该系统的核心部分。</w:t>
      </w:r>
    </w:p>
    <w:p>
      <w:pPr>
        <w:adjustRightInd w:val="0"/>
        <w:snapToGrid w:val="0"/>
        <w:spacing w:line="360" w:lineRule="auto"/>
        <w:ind w:firstLine="480" w:firstLineChars="200"/>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防爆图像火灾探测器性能参数：</w:t>
      </w:r>
    </w:p>
    <w:tbl>
      <w:tblPr>
        <w:tblStyle w:val="14"/>
        <w:tblpPr w:leftFromText="180" w:rightFromText="180" w:vertAnchor="text" w:horzAnchor="page" w:tblpXSpec="center" w:tblpY="278"/>
        <w:tblOverlap w:val="never"/>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1995"/>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7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型号</w:t>
            </w:r>
          </w:p>
        </w:tc>
        <w:tc>
          <w:tcPr>
            <w:tcW w:w="6164" w:type="dxa"/>
            <w:gridSpan w:val="2"/>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7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镜头尺寸</w:t>
            </w:r>
          </w:p>
        </w:tc>
        <w:tc>
          <w:tcPr>
            <w:tcW w:w="6164" w:type="dxa"/>
            <w:gridSpan w:val="2"/>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7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水平视场角</w:t>
            </w:r>
          </w:p>
        </w:tc>
        <w:tc>
          <w:tcPr>
            <w:tcW w:w="6164" w:type="dxa"/>
            <w:gridSpan w:val="2"/>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7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垂直视场角</w:t>
            </w:r>
          </w:p>
        </w:tc>
        <w:tc>
          <w:tcPr>
            <w:tcW w:w="6164" w:type="dxa"/>
            <w:gridSpan w:val="2"/>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7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探测距离</w:t>
            </w:r>
          </w:p>
        </w:tc>
        <w:tc>
          <w:tcPr>
            <w:tcW w:w="6164" w:type="dxa"/>
            <w:gridSpan w:val="2"/>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87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电源</w:t>
            </w:r>
          </w:p>
        </w:tc>
        <w:tc>
          <w:tcPr>
            <w:tcW w:w="1995"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电压</w:t>
            </w:r>
          </w:p>
        </w:tc>
        <w:tc>
          <w:tcPr>
            <w:tcW w:w="4169"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标清AC220V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71" w:type="dxa"/>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环境条件</w:t>
            </w:r>
          </w:p>
        </w:tc>
        <w:tc>
          <w:tcPr>
            <w:tcW w:w="1995"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大气压力</w:t>
            </w:r>
          </w:p>
        </w:tc>
        <w:tc>
          <w:tcPr>
            <w:tcW w:w="4169"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80~110KPa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71" w:type="dxa"/>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95"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工作温度</w:t>
            </w:r>
          </w:p>
        </w:tc>
        <w:tc>
          <w:tcPr>
            <w:tcW w:w="4169"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71" w:type="dxa"/>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95"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湿度</w:t>
            </w:r>
          </w:p>
        </w:tc>
        <w:tc>
          <w:tcPr>
            <w:tcW w:w="4169"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≤95%RH(+25</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7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防护等级</w:t>
            </w:r>
          </w:p>
        </w:tc>
        <w:tc>
          <w:tcPr>
            <w:tcW w:w="6164" w:type="dxa"/>
            <w:gridSpan w:val="2"/>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71"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防爆等级</w:t>
            </w:r>
          </w:p>
        </w:tc>
        <w:tc>
          <w:tcPr>
            <w:tcW w:w="6164" w:type="dxa"/>
            <w:gridSpan w:val="2"/>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ExdIICT6 Gb</w:t>
            </w:r>
          </w:p>
        </w:tc>
      </w:tr>
    </w:tbl>
    <w:p>
      <w:pPr>
        <w:spacing w:line="360" w:lineRule="auto"/>
        <w:rPr>
          <w:rFonts w:ascii="宋体" w:hAnsi="宋体" w:eastAsia="宋体" w:cs="Times New Roman"/>
          <w:color w:val="000000" w:themeColor="text1"/>
          <w:sz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（4）防爆现场手动控制箱</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消防炮控制系统应具有现场手动操作功能，同时系统设有现场控制箱。现场控制箱采用防爆材质，防护等级为EXdIIBT4/IP54，箱门为外扣并和箱体齐平，防爆箱（材质：304不锈钢）厚度不小于2.5mm,具备防雷输入端子，有防雷功能。现场控制箱为下进线；箱内各元件应有和控制原理图一致的中文标识。消防炮现场控制盘位于输煤综合楼内，具有人工操纵消防炮旋转、消防泵启停及其他设备运行，实现就地操纵消防炮灭火功能，同时具有与主控室内的主盘连接并向它发送信号，使主盘能报警、显示和控制有关的消防设备等功能。封闭煤场消防炮控制系统应能接收集中控制盘的指令，同时厂房集中控制盘具有直接启动消防炮的按钮功能。</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（5）其它消防设施</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防爆自动消防水炮设置的数量和位置应保证其保护部位同时有二股水柱到达，且从发现火情、报警、启动自动消防水炮扫描定位、炮口出水时间＜1min。</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防爆型自动跟踪定位射流消防炮灭火系统可以远程控制并自动搜索火源、对准着火点、自动喷洒水或其他灭火剂进行灭火，可与火灾自动报警系统联动，既可手动控制，也可实现自动操作，适用于扑救大空间内的早期火灾。对于设置自动喷水灭火系统不能有效发挥早期响应和灭火作用的场所消防炮喷出的水量集中，流速快、冲量大，水流可以直接接触燃烧物而作用到火焰根部，将火焰剥离燃烧物使燃烧中止，能有效扑救高大空间内蔓延较快或火灾荷载大的火灾。</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卖方提供的与自动消防炮相配套的监视器、摄像机、探测器、硬盘录像器、不间断电源、信号处理器、图像监视器等设备应满足国家相应规范和本工程的消防配套设施。</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（5）设备应适合运输，除大型结构外所有拆散件均用板条箱或其它包装箱包装并标上相应的符号后再发运。</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（6）设备包装前须凃好防腐漆，以便在运输保管中的防腐。</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（7）凡电气设备必须严格包装，以确保在运输保管期间（考虑露天放置至少</w:t>
      </w:r>
      <w:r>
        <w:rPr>
          <w:rFonts w:ascii="宋体" w:hAnsi="宋体" w:eastAsia="宋体" w:cs="Times New Roman"/>
          <w:color w:val="000000" w:themeColor="text1"/>
          <w:sz w:val="24"/>
          <w14:textFill>
            <w14:solidFill>
              <w14:schemeClr w14:val="tx1"/>
            </w14:solidFill>
          </w14:textFill>
        </w:rPr>
        <w:t>6</w:t>
      </w:r>
      <w:r>
        <w:rPr>
          <w:rFonts w:hint="eastAsia" w:ascii="宋体" w:hAnsi="宋体" w:eastAsia="宋体" w:cs="Times New Roman"/>
          <w:color w:val="000000" w:themeColor="text1"/>
          <w:sz w:val="24"/>
          <w14:textFill>
            <w14:solidFill>
              <w14:schemeClr w14:val="tx1"/>
            </w14:solidFill>
          </w14:textFill>
        </w:rPr>
        <w:t>个月）不被损坏，并防止受潮。</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（8）所有外露部分，包括所有孔、管接头以及法兰、螺栓、螺母和末端焊接的连接件，均有保护装置，以防止在运输和储存期间损坏。</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（9）产品包装、运输、储存须符合国家的有关规定。</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4）系统配置与技术要求</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系统配置要求：</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（1）采用先进、成熟、实用的技术，进行系统的深化、优化配置。</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（2）系统应具备较高的先进性、安全性、可靠性、可维护性和容错能力，具体要求如下：</w:t>
      </w:r>
    </w:p>
    <w:p>
      <w:pPr>
        <w:spacing w:line="360" w:lineRule="auto"/>
        <w:ind w:firstLine="482" w:firstLineChars="200"/>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Times New Roman"/>
          <w:b/>
          <w:bCs/>
          <w:color w:val="000000" w:themeColor="text1"/>
          <w:sz w:val="24"/>
          <w14:textFill>
            <w14:solidFill>
              <w14:schemeClr w14:val="tx1"/>
            </w14:solidFill>
          </w14:textFill>
        </w:rPr>
        <w:t>①.防爆自动消防炮必须有</w:t>
      </w:r>
      <w:r>
        <w:rPr>
          <w:rFonts w:ascii="宋体" w:hAnsi="宋体" w:eastAsia="宋体" w:cs="Times New Roman"/>
          <w:b/>
          <w:bCs/>
          <w:color w:val="000000" w:themeColor="text1"/>
          <w:sz w:val="24"/>
          <w14:textFill>
            <w14:solidFill>
              <w14:schemeClr w14:val="tx1"/>
            </w14:solidFill>
          </w14:textFill>
        </w:rPr>
        <w:t>&lt;</w:t>
      </w:r>
      <w:r>
        <w:rPr>
          <w:rFonts w:hint="eastAsia" w:ascii="宋体" w:hAnsi="宋体" w:eastAsia="宋体" w:cs="Times New Roman"/>
          <w:b/>
          <w:bCs/>
          <w:color w:val="000000" w:themeColor="text1"/>
          <w:sz w:val="24"/>
          <w14:textFill>
            <w14:solidFill>
              <w14:schemeClr w14:val="tx1"/>
            </w14:solidFill>
          </w14:textFill>
        </w:rPr>
        <w:t>国家消防装备质量监督检验中心&gt;出具的型式检验报告与强制性3C认证；</w:t>
      </w:r>
      <w:r>
        <w:rPr>
          <w:rFonts w:ascii="宋体" w:hAnsi="宋体" w:eastAsia="宋体" w:cs="Times New Roman"/>
          <w:b/>
          <w:bCs/>
          <w:color w:val="000000" w:themeColor="text1"/>
          <w:sz w:val="24"/>
          <w14:textFill>
            <w14:solidFill>
              <w14:schemeClr w14:val="tx1"/>
            </w14:solidFill>
          </w14:textFill>
        </w:rPr>
        <w:t xml:space="preserve"> </w:t>
      </w:r>
    </w:p>
    <w:p>
      <w:pPr>
        <w:spacing w:line="360" w:lineRule="auto"/>
        <w:ind w:firstLine="482" w:firstLineChars="200"/>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Times New Roman"/>
          <w:b/>
          <w:bCs/>
          <w:color w:val="000000" w:themeColor="text1"/>
          <w:sz w:val="24"/>
          <w14:textFill>
            <w14:solidFill>
              <w14:schemeClr w14:val="tx1"/>
            </w14:solidFill>
          </w14:textFill>
        </w:rPr>
        <w:t>②</w:t>
      </w:r>
      <w:r>
        <w:rPr>
          <w:rFonts w:ascii="宋体" w:hAnsi="宋体" w:eastAsia="宋体" w:cs="Times New Roman"/>
          <w:b/>
          <w:bCs/>
          <w:color w:val="000000" w:themeColor="text1"/>
          <w:sz w:val="24"/>
          <w14:textFill>
            <w14:solidFill>
              <w14:schemeClr w14:val="tx1"/>
            </w14:solidFill>
          </w14:textFill>
        </w:rPr>
        <w:t>.</w:t>
      </w:r>
      <w:r>
        <w:rPr>
          <w:rFonts w:hint="eastAsia" w:ascii="宋体" w:hAnsi="宋体" w:eastAsia="宋体" w:cs="Times New Roman"/>
          <w:b/>
          <w:bCs/>
          <w:color w:val="000000" w:themeColor="text1"/>
          <w:sz w:val="24"/>
          <w14:textFill>
            <w14:solidFill>
              <w14:schemeClr w14:val="tx1"/>
            </w14:solidFill>
          </w14:textFill>
        </w:rPr>
        <w:t>防爆图像火灾探测器必须有型式检验报告及3C认证。</w:t>
      </w:r>
    </w:p>
    <w:p>
      <w:pPr>
        <w:spacing w:line="360" w:lineRule="auto"/>
        <w:ind w:firstLine="482" w:firstLineChars="200"/>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Times New Roman"/>
          <w:b/>
          <w:bCs/>
          <w:color w:val="000000" w:themeColor="text1"/>
          <w:sz w:val="24"/>
          <w14:textFill>
            <w14:solidFill>
              <w14:schemeClr w14:val="tx1"/>
            </w14:solidFill>
          </w14:textFill>
        </w:rPr>
        <w:t>③)自动消防炮防爆等级为ExdIIBT4，图像定位器防爆等级为ExdIICT6，图像火灾探测器防爆等级为ExdIICT6，防爆遥控器得防爆等级为ExdIIBT4；以防爆合格证为准。</w:t>
      </w:r>
    </w:p>
    <w:p>
      <w:pPr>
        <w:spacing w:line="360" w:lineRule="auto"/>
        <w:ind w:firstLine="482" w:firstLineChars="200"/>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Times New Roman"/>
          <w:b/>
          <w:bCs/>
          <w:color w:val="000000" w:themeColor="text1"/>
          <w:sz w:val="24"/>
          <w14:textFill>
            <w14:solidFill>
              <w14:schemeClr w14:val="tx1"/>
            </w14:solidFill>
          </w14:textFill>
        </w:rPr>
        <w:t>④投标方所提供的防爆图像火灾探测器、防爆自动消防炮、防爆遥控器必须为同一品牌，同一个厂商生产，确保系统稳定行与连贯性。</w:t>
      </w:r>
    </w:p>
    <w:p>
      <w:pPr>
        <w:pStyle w:val="3"/>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四、系统主要设备清单</w:t>
      </w:r>
    </w:p>
    <w:p>
      <w:pPr>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系统设备清单（包括单不限于下列清单）</w:t>
      </w:r>
    </w:p>
    <w:tbl>
      <w:tblPr>
        <w:tblStyle w:val="14"/>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2839"/>
        <w:gridCol w:w="2279"/>
        <w:gridCol w:w="720"/>
        <w:gridCol w:w="875"/>
        <w:gridCol w:w="2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序号</w:t>
            </w:r>
          </w:p>
        </w:tc>
        <w:tc>
          <w:tcPr>
            <w:tcW w:w="283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名    称</w:t>
            </w:r>
          </w:p>
        </w:tc>
        <w:tc>
          <w:tcPr>
            <w:tcW w:w="227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规  格</w:t>
            </w:r>
          </w:p>
        </w:tc>
        <w:tc>
          <w:tcPr>
            <w:tcW w:w="72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单位</w:t>
            </w:r>
          </w:p>
        </w:tc>
        <w:tc>
          <w:tcPr>
            <w:tcW w:w="875"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数量</w:t>
            </w:r>
          </w:p>
        </w:tc>
        <w:tc>
          <w:tcPr>
            <w:tcW w:w="2255"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8" w:type="dxa"/>
            <w:gridSpan w:val="6"/>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一、现场设备部分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1</w:t>
            </w:r>
          </w:p>
        </w:tc>
        <w:tc>
          <w:tcPr>
            <w:tcW w:w="283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防爆自动跟踪定位射流灭火装置</w:t>
            </w:r>
          </w:p>
        </w:tc>
        <w:tc>
          <w:tcPr>
            <w:tcW w:w="227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ZDMS0.8/30S/Ex-</w:t>
            </w:r>
            <w:r>
              <w:rPr>
                <w:rFonts w:ascii="宋体" w:hAnsi="宋体" w:eastAsia="宋体" w:cs="Times New Roman"/>
                <w:color w:val="000000" w:themeColor="text1"/>
                <w:sz w:val="18"/>
                <w:szCs w:val="18"/>
                <w14:textFill>
                  <w14:solidFill>
                    <w14:schemeClr w14:val="tx1"/>
                  </w14:solidFill>
                </w14:textFill>
              </w:rPr>
              <w:t>YC</w:t>
            </w:r>
          </w:p>
        </w:tc>
        <w:tc>
          <w:tcPr>
            <w:tcW w:w="72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台</w:t>
            </w:r>
          </w:p>
        </w:tc>
        <w:tc>
          <w:tcPr>
            <w:tcW w:w="875" w:type="dxa"/>
            <w:noWrap/>
            <w:vAlign w:val="center"/>
          </w:tcPr>
          <w:p>
            <w:pPr>
              <w:spacing w:line="360" w:lineRule="auto"/>
              <w:ind w:right="26"/>
              <w:rPr>
                <w:rFonts w:hint="default"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10</w:t>
            </w:r>
          </w:p>
        </w:tc>
        <w:tc>
          <w:tcPr>
            <w:tcW w:w="2255"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防爆等级：ExdIIBT4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680" w:type="dxa"/>
            <w:noWrap/>
            <w:vAlign w:val="center"/>
          </w:tcPr>
          <w:p>
            <w:pPr>
              <w:spacing w:line="360" w:lineRule="auto"/>
              <w:ind w:right="26"/>
              <w:rPr>
                <w:rFonts w:hint="eastAsia" w:ascii="宋体" w:hAnsi="宋体" w:eastAsia="宋体" w:cs="Times New Roman"/>
                <w:bCs/>
                <w:color w:val="000000" w:themeColor="text1"/>
                <w:sz w:val="18"/>
                <w:szCs w:val="18"/>
                <w:lang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2</w:t>
            </w:r>
          </w:p>
        </w:tc>
        <w:tc>
          <w:tcPr>
            <w:tcW w:w="283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马鞍式水流指示器</w:t>
            </w:r>
          </w:p>
        </w:tc>
        <w:tc>
          <w:tcPr>
            <w:tcW w:w="227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DN100</w:t>
            </w:r>
          </w:p>
        </w:tc>
        <w:tc>
          <w:tcPr>
            <w:tcW w:w="72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台</w:t>
            </w:r>
          </w:p>
        </w:tc>
        <w:tc>
          <w:tcPr>
            <w:tcW w:w="875" w:type="dxa"/>
            <w:noWrap/>
            <w:vAlign w:val="center"/>
          </w:tcPr>
          <w:p>
            <w:pPr>
              <w:spacing w:line="360" w:lineRule="auto"/>
              <w:ind w:right="26"/>
              <w:rPr>
                <w:rFonts w:hint="default"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10</w:t>
            </w:r>
          </w:p>
        </w:tc>
        <w:tc>
          <w:tcPr>
            <w:tcW w:w="2255" w:type="dxa"/>
            <w:noWrap/>
            <w:vAlign w:val="center"/>
          </w:tcPr>
          <w:p>
            <w:pPr>
              <w:spacing w:line="360" w:lineRule="auto"/>
              <w:ind w:right="26"/>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680" w:type="dxa"/>
            <w:noWrap/>
            <w:vAlign w:val="center"/>
          </w:tcPr>
          <w:p>
            <w:pPr>
              <w:spacing w:line="360" w:lineRule="auto"/>
              <w:ind w:right="26"/>
              <w:rPr>
                <w:rFonts w:hint="eastAsia"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3</w:t>
            </w:r>
          </w:p>
        </w:tc>
        <w:tc>
          <w:tcPr>
            <w:tcW w:w="283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防爆现场手动控制箱（材质：304，IP65）</w:t>
            </w:r>
          </w:p>
        </w:tc>
        <w:tc>
          <w:tcPr>
            <w:tcW w:w="227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防爆</w:t>
            </w:r>
          </w:p>
        </w:tc>
        <w:tc>
          <w:tcPr>
            <w:tcW w:w="72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台</w:t>
            </w:r>
          </w:p>
        </w:tc>
        <w:tc>
          <w:tcPr>
            <w:tcW w:w="875" w:type="dxa"/>
            <w:noWrap/>
            <w:vAlign w:val="center"/>
          </w:tcPr>
          <w:p>
            <w:pPr>
              <w:spacing w:line="360" w:lineRule="auto"/>
              <w:ind w:right="26"/>
              <w:rPr>
                <w:rFonts w:hint="default"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10</w:t>
            </w:r>
          </w:p>
        </w:tc>
        <w:tc>
          <w:tcPr>
            <w:tcW w:w="2255" w:type="dxa"/>
            <w:noWrap/>
            <w:vAlign w:val="center"/>
          </w:tcPr>
          <w:p>
            <w:pPr>
              <w:spacing w:line="360" w:lineRule="auto"/>
              <w:ind w:right="28"/>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含防爆信号解码箱、控制模块等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noWrap/>
            <w:vAlign w:val="center"/>
          </w:tcPr>
          <w:p>
            <w:pPr>
              <w:spacing w:line="360" w:lineRule="auto"/>
              <w:ind w:right="26"/>
              <w:rPr>
                <w:rFonts w:hint="eastAsia"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4</w:t>
            </w:r>
          </w:p>
        </w:tc>
        <w:tc>
          <w:tcPr>
            <w:tcW w:w="283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防爆型消防炮专用电动阀</w:t>
            </w:r>
          </w:p>
        </w:tc>
        <w:tc>
          <w:tcPr>
            <w:tcW w:w="227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DN100/Ex,PN1.6MPa</w:t>
            </w:r>
          </w:p>
        </w:tc>
        <w:tc>
          <w:tcPr>
            <w:tcW w:w="72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台</w:t>
            </w:r>
          </w:p>
        </w:tc>
        <w:tc>
          <w:tcPr>
            <w:tcW w:w="875" w:type="dxa"/>
            <w:noWrap/>
            <w:vAlign w:val="center"/>
          </w:tcPr>
          <w:p>
            <w:pPr>
              <w:spacing w:line="360" w:lineRule="auto"/>
              <w:ind w:right="26"/>
              <w:rPr>
                <w:rFonts w:hint="default"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10</w:t>
            </w:r>
          </w:p>
        </w:tc>
        <w:tc>
          <w:tcPr>
            <w:tcW w:w="2255"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8" w:type="dxa"/>
            <w:gridSpan w:val="6"/>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二、消防集中控制中心设备部分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1</w:t>
            </w:r>
          </w:p>
        </w:tc>
        <w:tc>
          <w:tcPr>
            <w:tcW w:w="2839" w:type="dxa"/>
            <w:noWrap/>
            <w:vAlign w:val="center"/>
          </w:tcPr>
          <w:p>
            <w:pPr>
              <w:spacing w:line="360" w:lineRule="auto"/>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控制柜</w:t>
            </w:r>
          </w:p>
        </w:tc>
        <w:tc>
          <w:tcPr>
            <w:tcW w:w="227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c>
          <w:tcPr>
            <w:tcW w:w="72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台</w:t>
            </w:r>
          </w:p>
        </w:tc>
        <w:tc>
          <w:tcPr>
            <w:tcW w:w="875" w:type="dxa"/>
            <w:noWrap/>
            <w:vAlign w:val="center"/>
          </w:tcPr>
          <w:p>
            <w:pPr>
              <w:spacing w:line="360" w:lineRule="auto"/>
              <w:ind w:right="26"/>
              <w:rPr>
                <w:rFonts w:hint="eastAsia"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1</w:t>
            </w:r>
          </w:p>
        </w:tc>
        <w:tc>
          <w:tcPr>
            <w:tcW w:w="2255"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安装在输煤控制室内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c>
          <w:tcPr>
            <w:tcW w:w="2839" w:type="dxa"/>
            <w:noWrap/>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视频管理主机</w:t>
            </w:r>
          </w:p>
        </w:tc>
        <w:tc>
          <w:tcPr>
            <w:tcW w:w="227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c>
          <w:tcPr>
            <w:tcW w:w="72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套</w:t>
            </w:r>
          </w:p>
        </w:tc>
        <w:tc>
          <w:tcPr>
            <w:tcW w:w="875" w:type="dxa"/>
            <w:noWrap/>
            <w:vAlign w:val="center"/>
          </w:tcPr>
          <w:p>
            <w:pPr>
              <w:spacing w:line="360" w:lineRule="auto"/>
              <w:ind w:right="26"/>
              <w:rPr>
                <w:rFonts w:hint="eastAsia"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1</w:t>
            </w:r>
          </w:p>
        </w:tc>
        <w:tc>
          <w:tcPr>
            <w:tcW w:w="2255"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含监视、录像存储功能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c>
          <w:tcPr>
            <w:tcW w:w="2839" w:type="dxa"/>
            <w:noWrap/>
            <w:vAlign w:val="center"/>
          </w:tcPr>
          <w:p>
            <w:pPr>
              <w:spacing w:line="360" w:lineRule="auto"/>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大空间报警控制</w:t>
            </w:r>
          </w:p>
        </w:tc>
        <w:tc>
          <w:tcPr>
            <w:tcW w:w="227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c>
          <w:tcPr>
            <w:tcW w:w="72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套</w:t>
            </w:r>
          </w:p>
        </w:tc>
        <w:tc>
          <w:tcPr>
            <w:tcW w:w="875" w:type="dxa"/>
            <w:noWrap/>
            <w:vAlign w:val="center"/>
          </w:tcPr>
          <w:p>
            <w:pPr>
              <w:spacing w:line="360" w:lineRule="auto"/>
              <w:ind w:right="26"/>
              <w:rPr>
                <w:rFonts w:hint="eastAsia"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1</w:t>
            </w:r>
          </w:p>
        </w:tc>
        <w:tc>
          <w:tcPr>
            <w:tcW w:w="2255"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c>
          <w:tcPr>
            <w:tcW w:w="2839" w:type="dxa"/>
            <w:noWrap/>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消防水炮集中控制器</w:t>
            </w:r>
          </w:p>
        </w:tc>
        <w:tc>
          <w:tcPr>
            <w:tcW w:w="227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c>
          <w:tcPr>
            <w:tcW w:w="72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台</w:t>
            </w:r>
          </w:p>
        </w:tc>
        <w:tc>
          <w:tcPr>
            <w:tcW w:w="875" w:type="dxa"/>
            <w:noWrap/>
            <w:vAlign w:val="center"/>
          </w:tcPr>
          <w:p>
            <w:pPr>
              <w:spacing w:line="360" w:lineRule="auto"/>
              <w:ind w:right="26"/>
              <w:rPr>
                <w:rFonts w:hint="eastAsia"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1</w:t>
            </w:r>
          </w:p>
        </w:tc>
        <w:tc>
          <w:tcPr>
            <w:tcW w:w="2255" w:type="dxa"/>
            <w:noWrap/>
            <w:vAlign w:val="center"/>
          </w:tcPr>
          <w:p>
            <w:pPr>
              <w:spacing w:line="360" w:lineRule="auto"/>
              <w:ind w:right="28"/>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远程实现对水炮进行点对点纯手动水平和垂直定位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c>
          <w:tcPr>
            <w:tcW w:w="2839" w:type="dxa"/>
            <w:noWrap/>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消防水炮电源/启泵控制盘</w:t>
            </w:r>
          </w:p>
        </w:tc>
        <w:tc>
          <w:tcPr>
            <w:tcW w:w="2279"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p>
        </w:tc>
        <w:tc>
          <w:tcPr>
            <w:tcW w:w="72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台</w:t>
            </w:r>
          </w:p>
        </w:tc>
        <w:tc>
          <w:tcPr>
            <w:tcW w:w="875" w:type="dxa"/>
            <w:noWrap/>
            <w:vAlign w:val="center"/>
          </w:tcPr>
          <w:p>
            <w:pPr>
              <w:spacing w:line="360" w:lineRule="auto"/>
              <w:ind w:right="26"/>
              <w:rPr>
                <w:rFonts w:hint="eastAsia" w:ascii="宋体" w:hAnsi="宋体" w:eastAsia="宋体" w:cs="Times New Roman"/>
                <w:bCs/>
                <w:color w:val="000000" w:themeColor="text1"/>
                <w:sz w:val="18"/>
                <w:szCs w:val="18"/>
                <w:lang w:val="en-US" w:eastAsia="zh-CN"/>
                <w14:textFill>
                  <w14:solidFill>
                    <w14:schemeClr w14:val="tx1"/>
                  </w14:solidFill>
                </w14:textFill>
              </w:rPr>
            </w:pPr>
            <w:r>
              <w:rPr>
                <w:rFonts w:hint="eastAsia" w:ascii="宋体" w:hAnsi="宋体" w:eastAsia="宋体" w:cs="Times New Roman"/>
                <w:bCs/>
                <w:color w:val="000000" w:themeColor="text1"/>
                <w:sz w:val="18"/>
                <w:szCs w:val="18"/>
                <w:lang w:val="en-US" w:eastAsia="zh-CN"/>
                <w14:textFill>
                  <w14:solidFill>
                    <w14:schemeClr w14:val="tx1"/>
                  </w14:solidFill>
                </w14:textFill>
              </w:rPr>
              <w:t>1</w:t>
            </w:r>
          </w:p>
        </w:tc>
        <w:tc>
          <w:tcPr>
            <w:tcW w:w="2255"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安装于控制柜前面板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三</w:t>
            </w:r>
          </w:p>
        </w:tc>
        <w:tc>
          <w:tcPr>
            <w:tcW w:w="8968" w:type="dxa"/>
            <w:gridSpan w:val="5"/>
            <w:noWrap/>
            <w:vAlign w:val="center"/>
          </w:tcPr>
          <w:p>
            <w:pPr>
              <w:spacing w:line="360" w:lineRule="auto"/>
              <w:ind w:right="26"/>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系统软件及满足整体系统功能必须的相关设施。</w:t>
            </w:r>
          </w:p>
        </w:tc>
      </w:tr>
    </w:tbl>
    <w:p>
      <w:pPr>
        <w:spacing w:line="360" w:lineRule="auto"/>
        <w:ind w:firstLine="561"/>
        <w:rPr>
          <w:rFonts w:ascii="宋体" w:hAnsi="宋体" w:eastAsia="宋体" w:cs="Times New Roman"/>
          <w:color w:val="000000" w:themeColor="text1"/>
          <w:sz w:val="24"/>
          <w14:textFill>
            <w14:solidFill>
              <w14:schemeClr w14:val="tx1"/>
            </w14:solidFill>
          </w14:textFill>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shd w:val="clear" w:color="auto" w:fill="CCE8CF" w:themeFill="background1"/>
        <w:tabs>
          <w:tab w:val="left" w:pos="840"/>
        </w:tabs>
        <w:adjustRightInd w:val="0"/>
        <w:snapToGrid w:val="0"/>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投标方负责系统的完整性。本招标文件未涉及但又属于本系统正常运行必备的部分，由投标方无条件、无偿补齐，且不发生任何费用。</w:t>
      </w:r>
    </w:p>
    <w:p>
      <w:pPr>
        <w:shd w:val="clear" w:color="auto" w:fill="CCE8CF" w:themeFill="background1"/>
        <w:tabs>
          <w:tab w:val="left" w:pos="840"/>
        </w:tabs>
        <w:adjustRightInd w:val="0"/>
        <w:snapToGrid w:val="0"/>
        <w:spacing w:line="360" w:lineRule="auto"/>
        <w:jc w:val="left"/>
        <w:rPr>
          <w:rFonts w:ascii="Times New Roman" w:hAnsi="Times New Roman" w:cs="Times New Roman"/>
          <w:b/>
          <w:color w:val="000000" w:themeColor="text1"/>
          <w:kern w:val="0"/>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五、</w:t>
      </w:r>
      <w:r>
        <w:rPr>
          <w:rFonts w:hint="eastAsia" w:ascii="Times New Roman" w:hAnsi="Times New Roman" w:cs="Times New Roman"/>
          <w:b/>
          <w:color w:val="000000" w:themeColor="text1"/>
          <w:kern w:val="0"/>
          <w:sz w:val="28"/>
          <w:szCs w:val="28"/>
          <w14:textFill>
            <w14:solidFill>
              <w14:schemeClr w14:val="tx1"/>
            </w14:solidFill>
          </w14:textFill>
        </w:rPr>
        <w:t>技术资料要求</w:t>
      </w:r>
    </w:p>
    <w:p>
      <w:pPr>
        <w:shd w:val="clear" w:color="auto" w:fill="CCE8CF" w:themeFill="background1"/>
        <w:tabs>
          <w:tab w:val="left" w:pos="840"/>
        </w:tabs>
        <w:adjustRightInd w:val="0"/>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 投标方需提供如下资料，包括但不限于此：</w:t>
      </w:r>
    </w:p>
    <w:p>
      <w:pPr>
        <w:shd w:val="clear" w:color="auto" w:fill="CCE8CF" w:themeFill="background1"/>
        <w:tabs>
          <w:tab w:val="left" w:pos="840"/>
        </w:tabs>
        <w:adjustRightInd w:val="0"/>
        <w:snapToGrid w:val="0"/>
        <w:spacing w:line="360" w:lineRule="auto"/>
        <w:ind w:firstLine="360" w:firstLineChars="15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a).防爆型消防水炮需提供相关认证及合格证。</w:t>
      </w:r>
    </w:p>
    <w:p>
      <w:pPr>
        <w:shd w:val="clear" w:color="auto" w:fill="CCE8CF" w:themeFill="background1"/>
        <w:tabs>
          <w:tab w:val="left" w:pos="840"/>
        </w:tabs>
        <w:adjustRightInd w:val="0"/>
        <w:snapToGrid w:val="0"/>
        <w:spacing w:line="360" w:lineRule="auto"/>
        <w:ind w:firstLine="360" w:firstLineChars="15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b).设备产品说明书；消防产品检测报告；质量合格证；调试、维护说明书；安装要求等。</w:t>
      </w:r>
    </w:p>
    <w:p>
      <w:pPr>
        <w:shd w:val="clear" w:color="auto" w:fill="CCE8CF" w:themeFill="background1"/>
        <w:tabs>
          <w:tab w:val="left" w:pos="840"/>
        </w:tabs>
        <w:adjustRightInd w:val="0"/>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 投标方随机应提供施工、调试、试运、机组性能试验和运行维护所需的技术资料。包括但不限于以下项目：</w:t>
      </w:r>
    </w:p>
    <w:p>
      <w:pPr>
        <w:shd w:val="clear" w:color="auto" w:fill="CCE8CF" w:themeFill="background1"/>
        <w:tabs>
          <w:tab w:val="left" w:pos="840"/>
        </w:tabs>
        <w:adjustRightInd w:val="0"/>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    安装、调试和试运、运行、维护、检修所需的详尽图纸和技术文件，包括设备总图、部件总图、分图和必要的零件图、计算资料以及各有关部件的配合尺寸、公差等要求。</w:t>
      </w:r>
    </w:p>
    <w:p>
      <w:pPr>
        <w:shd w:val="clear" w:color="auto" w:fill="CCE8CF" w:themeFill="background1"/>
        <w:tabs>
          <w:tab w:val="left" w:pos="840"/>
        </w:tabs>
        <w:adjustRightInd w:val="0"/>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    设备的安装、运行、维护、检修说明书，包括设备结构特点、安装检修程序和工艺要求、启动调试要领、运行操作规定和控制数据、定期检验和维护说明等。</w:t>
      </w:r>
    </w:p>
    <w:p>
      <w:pPr>
        <w:shd w:val="clear" w:color="auto" w:fill="CCE8CF" w:themeFill="background1"/>
        <w:tabs>
          <w:tab w:val="left" w:pos="840"/>
        </w:tabs>
        <w:adjustRightInd w:val="0"/>
        <w:snapToGrid w:val="0"/>
        <w:spacing w:line="360" w:lineRule="auto"/>
        <w:jc w:val="left"/>
        <w:rPr>
          <w:rFonts w:ascii="Times New Roman" w:hAnsi="Times New Roman" w:cs="Times New Roman"/>
          <w:b/>
          <w:color w:val="000000" w:themeColor="text1"/>
          <w:sz w:val="28"/>
          <w:szCs w:val="28"/>
          <w14:textFill>
            <w14:solidFill>
              <w14:schemeClr w14:val="tx1"/>
            </w14:solidFill>
          </w14:textFill>
        </w:rPr>
      </w:pPr>
      <w:bookmarkStart w:id="43" w:name="_Toc455585948"/>
      <w:bookmarkStart w:id="44" w:name="_Toc396488846"/>
      <w:bookmarkStart w:id="45" w:name="_Toc462472996"/>
      <w:bookmarkStart w:id="46" w:name="_Toc484177693"/>
      <w:bookmarkStart w:id="47" w:name="_Toc462154162"/>
      <w:bookmarkStart w:id="48" w:name="_Toc534486225"/>
      <w:bookmarkStart w:id="49" w:name="_Toc462154246"/>
      <w:bookmarkStart w:id="50" w:name="_Toc450922643"/>
      <w:bookmarkStart w:id="51" w:name="_Toc436913128"/>
      <w:bookmarkStart w:id="52" w:name="_Toc388000753"/>
      <w:r>
        <w:rPr>
          <w:rFonts w:hint="eastAsia" w:ascii="Times New Roman" w:hAnsi="Times New Roman" w:cs="Times New Roman"/>
          <w:b/>
          <w:color w:val="000000" w:themeColor="text1"/>
          <w:sz w:val="28"/>
          <w:szCs w:val="28"/>
          <w14:textFill>
            <w14:solidFill>
              <w14:schemeClr w14:val="tx1"/>
            </w14:solidFill>
          </w14:textFill>
        </w:rPr>
        <w:t xml:space="preserve">六、 </w:t>
      </w:r>
      <w:r>
        <w:rPr>
          <w:rFonts w:ascii="Times New Roman" w:hAnsi="Times New Roman" w:cs="Times New Roman"/>
          <w:b/>
          <w:color w:val="000000" w:themeColor="text1"/>
          <w:sz w:val="28"/>
          <w:szCs w:val="28"/>
          <w14:textFill>
            <w14:solidFill>
              <w14:schemeClr w14:val="tx1"/>
            </w14:solidFill>
          </w14:textFill>
        </w:rPr>
        <w:t>调试及</w:t>
      </w:r>
      <w:bookmarkEnd w:id="43"/>
      <w:bookmarkEnd w:id="44"/>
      <w:bookmarkEnd w:id="45"/>
      <w:bookmarkEnd w:id="46"/>
      <w:bookmarkEnd w:id="47"/>
      <w:bookmarkEnd w:id="48"/>
      <w:bookmarkEnd w:id="49"/>
      <w:bookmarkEnd w:id="50"/>
      <w:bookmarkEnd w:id="51"/>
      <w:bookmarkEnd w:id="52"/>
      <w:r>
        <w:rPr>
          <w:rFonts w:ascii="Times New Roman" w:hAnsi="Times New Roman" w:cs="Times New Roman"/>
          <w:b/>
          <w:color w:val="000000" w:themeColor="text1"/>
          <w:sz w:val="28"/>
          <w:szCs w:val="28"/>
          <w14:textFill>
            <w14:solidFill>
              <w14:schemeClr w14:val="tx1"/>
            </w14:solidFill>
          </w14:textFill>
        </w:rPr>
        <w:t>培训要求</w:t>
      </w:r>
    </w:p>
    <w:p>
      <w:pPr>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投标方负责</w:t>
      </w:r>
      <w:r>
        <w:rPr>
          <w:rFonts w:ascii="Times New Roman" w:hAnsi="Times New Roman" w:cs="Times New Roman"/>
          <w:color w:val="000000" w:themeColor="text1"/>
          <w:sz w:val="24"/>
          <w:szCs w:val="21"/>
          <w14:textFill>
            <w14:solidFill>
              <w14:schemeClr w14:val="tx1"/>
            </w14:solidFill>
          </w14:textFill>
        </w:rPr>
        <w:t>设备</w:t>
      </w:r>
      <w:r>
        <w:rPr>
          <w:rFonts w:hint="eastAsia" w:ascii="Times New Roman" w:hAnsi="Times New Roman" w:cs="Times New Roman"/>
          <w:color w:val="000000" w:themeColor="text1"/>
          <w:sz w:val="24"/>
          <w:szCs w:val="21"/>
          <w14:textFill>
            <w14:solidFill>
              <w14:schemeClr w14:val="tx1"/>
            </w14:solidFill>
          </w14:textFill>
        </w:rPr>
        <w:t>及材料</w:t>
      </w:r>
      <w:r>
        <w:rPr>
          <w:rFonts w:ascii="Times New Roman" w:hAnsi="Times New Roman" w:cs="Times New Roman"/>
          <w:color w:val="000000" w:themeColor="text1"/>
          <w:sz w:val="24"/>
          <w:szCs w:val="21"/>
          <w14:textFill>
            <w14:solidFill>
              <w14:schemeClr w14:val="tx1"/>
            </w14:solidFill>
          </w14:textFill>
        </w:rPr>
        <w:t>供货</w:t>
      </w:r>
      <w:r>
        <w:rPr>
          <w:rFonts w:hint="eastAsia" w:ascii="宋体" w:hAnsi="宋体"/>
          <w:color w:val="000000" w:themeColor="text1"/>
          <w:sz w:val="24"/>
          <w14:textFill>
            <w14:solidFill>
              <w14:schemeClr w14:val="tx1"/>
            </w14:solidFill>
          </w14:textFill>
        </w:rPr>
        <w:t>、指导安装、调试及招标方操作人员的技术培训。</w:t>
      </w:r>
    </w:p>
    <w:p>
      <w:pPr>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为了顺利进行设备的安装和正常运行，</w:t>
      </w:r>
      <w:r>
        <w:rPr>
          <w:rFonts w:hint="eastAsia" w:ascii="Times New Roman" w:hAnsi="Times New Roman" w:cs="Times New Roman"/>
          <w:color w:val="000000" w:themeColor="text1"/>
          <w:sz w:val="24"/>
          <w14:textFill>
            <w14:solidFill>
              <w14:schemeClr w14:val="tx1"/>
            </w14:solidFill>
          </w14:textFill>
        </w:rPr>
        <w:t>投标</w:t>
      </w:r>
      <w:r>
        <w:rPr>
          <w:rFonts w:ascii="Times New Roman" w:hAnsi="Times New Roman" w:cs="Times New Roman"/>
          <w:color w:val="000000" w:themeColor="text1"/>
          <w:sz w:val="24"/>
          <w14:textFill>
            <w14:solidFill>
              <w14:schemeClr w14:val="tx1"/>
            </w14:solidFill>
          </w14:textFill>
        </w:rPr>
        <w:t>方负责派遣技术熟练的专职技术人员到施工现场进行技术服务。</w:t>
      </w:r>
    </w:p>
    <w:p>
      <w:pPr>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投标</w:t>
      </w:r>
      <w:r>
        <w:rPr>
          <w:rFonts w:ascii="Times New Roman" w:hAnsi="Times New Roman" w:cs="Times New Roman"/>
          <w:color w:val="000000" w:themeColor="text1"/>
          <w:sz w:val="24"/>
          <w14:textFill>
            <w14:solidFill>
              <w14:schemeClr w14:val="tx1"/>
            </w14:solidFill>
          </w14:textFill>
        </w:rPr>
        <w:t>方技术人员的实际人数、预计到达和离开合同设备现场的日期根据现场施工的实际进度由双方协商决定。</w:t>
      </w:r>
    </w:p>
    <w:p>
      <w:pPr>
        <w:spacing w:line="50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（4）投标</w:t>
      </w:r>
      <w:r>
        <w:rPr>
          <w:rFonts w:ascii="Times New Roman" w:hAnsi="Times New Roman" w:cs="Times New Roman"/>
          <w:color w:val="000000" w:themeColor="text1"/>
          <w:sz w:val="24"/>
          <w14:textFill>
            <w14:solidFill>
              <w14:schemeClr w14:val="tx1"/>
            </w14:solidFill>
          </w14:textFill>
        </w:rPr>
        <w:t>方负责整个系统的调试</w:t>
      </w:r>
      <w:r>
        <w:rPr>
          <w:rFonts w:hint="eastAsia" w:ascii="Times New Roman" w:hAnsi="Times New Roman" w:cs="Times New Roman"/>
          <w:color w:val="000000" w:themeColor="text1"/>
          <w:sz w:val="24"/>
          <w14:textFill>
            <w14:solidFill>
              <w14:schemeClr w14:val="tx1"/>
            </w14:solidFill>
          </w14:textFill>
        </w:rPr>
        <w:t>工作</w:t>
      </w:r>
      <w:r>
        <w:rPr>
          <w:rFonts w:ascii="Times New Roman" w:hAnsi="Times New Roman" w:cs="Times New Roman"/>
          <w:color w:val="000000" w:themeColor="text1"/>
          <w:sz w:val="24"/>
          <w14:textFill>
            <w14:solidFill>
              <w14:schemeClr w14:val="tx1"/>
            </w14:solidFill>
          </w14:textFill>
        </w:rPr>
        <w:t>，直到项目的正常运行。</w:t>
      </w:r>
    </w:p>
    <w:bookmarkEnd w:id="3"/>
    <w:bookmarkEnd w:id="4"/>
    <w:p>
      <w:pPr>
        <w:spacing w:line="360" w:lineRule="auto"/>
        <w:rPr>
          <w:rFonts w:ascii="Times New Roman" w:hAnsi="Times New Roman" w:cs="Times New Roman"/>
          <w:color w:val="000000" w:themeColor="text1"/>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4725" cy="147955"/>
              <wp:effectExtent l="0" t="0" r="0" b="0"/>
              <wp:wrapNone/>
              <wp:docPr id="7" name="文本框 4"/>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9525">
                        <a:noFill/>
                      </a:ln>
                      <a:effectLst/>
                    </wps:spPr>
                    <wps:txbx>
                      <w:txbxContent>
                        <w:p>
                          <w:pPr>
                            <w:pStyle w:val="10"/>
                            <w:jc w:val="center"/>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9</w:t>
                          </w:r>
                          <w:r>
                            <w:fldChar w:fldCharType="end"/>
                          </w:r>
                          <w:r>
                            <w:rPr>
                              <w:rFonts w:hint="eastAsia"/>
                            </w:rPr>
                            <w:t>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76.75pt;mso-position-horizontal:center;mso-position-horizontal-relative:margin;mso-wrap-style:none;z-index:251661312;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9uWx0gAAAAQBAAAPAAAAAAAAAAEAIAAAACIAAABkcnMvZG93bnJldi54bWxQSwECFAAUAAAACACH&#10;TuJA2L5dJbgBAABUAwAADgAAAAAAAAABACAAAAAhAQAAZHJzL2Uyb0RvYy54bWxQSwUGAAAAAAYA&#10;BgBZAQAASwUAAAAA&#10;">
              <v:fill on="f" focussize="0,0"/>
              <v:stroke on="f"/>
              <v:imagedata o:title=""/>
              <o:lock v:ext="edit" aspectratio="f"/>
              <v:textbox inset="0mm,0mm,0mm,0mm" style="mso-fit-shape-to-text:t;">
                <w:txbxContent>
                  <w:p>
                    <w:pPr>
                      <w:pStyle w:val="10"/>
                      <w:jc w:val="center"/>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9</w:t>
                    </w:r>
                    <w:r>
                      <w:fldChar w:fldCharType="end"/>
                    </w:r>
                    <w:r>
                      <w:rPr>
                        <w:rFonts w:hint="eastAsia"/>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2C1"/>
    <w:rsid w:val="00021013"/>
    <w:rsid w:val="00030FAF"/>
    <w:rsid w:val="000400A7"/>
    <w:rsid w:val="0004086D"/>
    <w:rsid w:val="00045867"/>
    <w:rsid w:val="00054583"/>
    <w:rsid w:val="00057650"/>
    <w:rsid w:val="00075FD9"/>
    <w:rsid w:val="000900C8"/>
    <w:rsid w:val="0009096F"/>
    <w:rsid w:val="000911F6"/>
    <w:rsid w:val="000A7B0C"/>
    <w:rsid w:val="000C71B6"/>
    <w:rsid w:val="000D2D96"/>
    <w:rsid w:val="000F0C54"/>
    <w:rsid w:val="000F260D"/>
    <w:rsid w:val="001169E7"/>
    <w:rsid w:val="00135A1C"/>
    <w:rsid w:val="001369DB"/>
    <w:rsid w:val="00152C10"/>
    <w:rsid w:val="00161363"/>
    <w:rsid w:val="0016292A"/>
    <w:rsid w:val="00171188"/>
    <w:rsid w:val="00172A27"/>
    <w:rsid w:val="001C1D01"/>
    <w:rsid w:val="001C7B80"/>
    <w:rsid w:val="001E4050"/>
    <w:rsid w:val="001E5E8B"/>
    <w:rsid w:val="001F0D51"/>
    <w:rsid w:val="001F4638"/>
    <w:rsid w:val="0022440A"/>
    <w:rsid w:val="00241DEE"/>
    <w:rsid w:val="0027513D"/>
    <w:rsid w:val="00275EA1"/>
    <w:rsid w:val="00293989"/>
    <w:rsid w:val="002A36FE"/>
    <w:rsid w:val="002B37B5"/>
    <w:rsid w:val="002B5197"/>
    <w:rsid w:val="002C0E5E"/>
    <w:rsid w:val="002E763F"/>
    <w:rsid w:val="002F3B66"/>
    <w:rsid w:val="002F59B5"/>
    <w:rsid w:val="002F7546"/>
    <w:rsid w:val="0030095A"/>
    <w:rsid w:val="003222C2"/>
    <w:rsid w:val="0033257A"/>
    <w:rsid w:val="00332C7A"/>
    <w:rsid w:val="00342F61"/>
    <w:rsid w:val="003565CF"/>
    <w:rsid w:val="00360A6B"/>
    <w:rsid w:val="003838C9"/>
    <w:rsid w:val="00383FEF"/>
    <w:rsid w:val="0039788B"/>
    <w:rsid w:val="003A01C3"/>
    <w:rsid w:val="003B504F"/>
    <w:rsid w:val="003D222E"/>
    <w:rsid w:val="003E7FBB"/>
    <w:rsid w:val="003F15CF"/>
    <w:rsid w:val="003F5AC7"/>
    <w:rsid w:val="00437D2E"/>
    <w:rsid w:val="004538BD"/>
    <w:rsid w:val="004658EC"/>
    <w:rsid w:val="00493FBF"/>
    <w:rsid w:val="00496805"/>
    <w:rsid w:val="004B4966"/>
    <w:rsid w:val="004B5062"/>
    <w:rsid w:val="004C0893"/>
    <w:rsid w:val="004C3BF7"/>
    <w:rsid w:val="004C5FCB"/>
    <w:rsid w:val="004E0CD7"/>
    <w:rsid w:val="004E6579"/>
    <w:rsid w:val="00502608"/>
    <w:rsid w:val="005036DA"/>
    <w:rsid w:val="0050464E"/>
    <w:rsid w:val="005106D4"/>
    <w:rsid w:val="00536B8A"/>
    <w:rsid w:val="00544CB9"/>
    <w:rsid w:val="005502D5"/>
    <w:rsid w:val="00592DDF"/>
    <w:rsid w:val="005E61D4"/>
    <w:rsid w:val="005F224F"/>
    <w:rsid w:val="005F4B89"/>
    <w:rsid w:val="00617BEE"/>
    <w:rsid w:val="00627F02"/>
    <w:rsid w:val="0065660D"/>
    <w:rsid w:val="00676704"/>
    <w:rsid w:val="00693534"/>
    <w:rsid w:val="006A42B9"/>
    <w:rsid w:val="006C4427"/>
    <w:rsid w:val="006C66D2"/>
    <w:rsid w:val="006D1256"/>
    <w:rsid w:val="006E50A3"/>
    <w:rsid w:val="006F2CA1"/>
    <w:rsid w:val="007070C4"/>
    <w:rsid w:val="00716A1D"/>
    <w:rsid w:val="007335D9"/>
    <w:rsid w:val="0074268C"/>
    <w:rsid w:val="007932A7"/>
    <w:rsid w:val="00793B72"/>
    <w:rsid w:val="007B0BA7"/>
    <w:rsid w:val="007B610C"/>
    <w:rsid w:val="00806F80"/>
    <w:rsid w:val="00815A9B"/>
    <w:rsid w:val="008341AE"/>
    <w:rsid w:val="00847A6B"/>
    <w:rsid w:val="00847E9D"/>
    <w:rsid w:val="00887D16"/>
    <w:rsid w:val="00896F01"/>
    <w:rsid w:val="008A0C7B"/>
    <w:rsid w:val="008A2838"/>
    <w:rsid w:val="008F01F5"/>
    <w:rsid w:val="0090555D"/>
    <w:rsid w:val="00931D57"/>
    <w:rsid w:val="00934826"/>
    <w:rsid w:val="009449C5"/>
    <w:rsid w:val="009757CA"/>
    <w:rsid w:val="009906A9"/>
    <w:rsid w:val="009C0ABC"/>
    <w:rsid w:val="009C0C69"/>
    <w:rsid w:val="009F0120"/>
    <w:rsid w:val="009F0336"/>
    <w:rsid w:val="00A10817"/>
    <w:rsid w:val="00A131DF"/>
    <w:rsid w:val="00A134FA"/>
    <w:rsid w:val="00A30D25"/>
    <w:rsid w:val="00A32BD1"/>
    <w:rsid w:val="00A35606"/>
    <w:rsid w:val="00A629D2"/>
    <w:rsid w:val="00A926DA"/>
    <w:rsid w:val="00A93288"/>
    <w:rsid w:val="00A97FF6"/>
    <w:rsid w:val="00AA6766"/>
    <w:rsid w:val="00AC3485"/>
    <w:rsid w:val="00AE3CD8"/>
    <w:rsid w:val="00AE59DF"/>
    <w:rsid w:val="00AF506B"/>
    <w:rsid w:val="00B108E5"/>
    <w:rsid w:val="00B343D9"/>
    <w:rsid w:val="00B37998"/>
    <w:rsid w:val="00B4130D"/>
    <w:rsid w:val="00B46B4E"/>
    <w:rsid w:val="00B51697"/>
    <w:rsid w:val="00B665D0"/>
    <w:rsid w:val="00B91860"/>
    <w:rsid w:val="00BA0F1E"/>
    <w:rsid w:val="00BA59CB"/>
    <w:rsid w:val="00BA5DF5"/>
    <w:rsid w:val="00BB353A"/>
    <w:rsid w:val="00BB4BDC"/>
    <w:rsid w:val="00BC6E48"/>
    <w:rsid w:val="00BD7341"/>
    <w:rsid w:val="00BE3AAE"/>
    <w:rsid w:val="00BF3786"/>
    <w:rsid w:val="00C2149E"/>
    <w:rsid w:val="00C34715"/>
    <w:rsid w:val="00C35061"/>
    <w:rsid w:val="00C445D9"/>
    <w:rsid w:val="00C50977"/>
    <w:rsid w:val="00C517F4"/>
    <w:rsid w:val="00C552A2"/>
    <w:rsid w:val="00C62A46"/>
    <w:rsid w:val="00C65296"/>
    <w:rsid w:val="00C72C3C"/>
    <w:rsid w:val="00C76448"/>
    <w:rsid w:val="00C8432C"/>
    <w:rsid w:val="00C85510"/>
    <w:rsid w:val="00C91968"/>
    <w:rsid w:val="00CA2475"/>
    <w:rsid w:val="00CA282C"/>
    <w:rsid w:val="00CA2B38"/>
    <w:rsid w:val="00CB1601"/>
    <w:rsid w:val="00CB1D45"/>
    <w:rsid w:val="00CD4C1A"/>
    <w:rsid w:val="00CE7791"/>
    <w:rsid w:val="00CE7FEA"/>
    <w:rsid w:val="00D0030E"/>
    <w:rsid w:val="00D02B1F"/>
    <w:rsid w:val="00D21267"/>
    <w:rsid w:val="00D3064C"/>
    <w:rsid w:val="00D37E27"/>
    <w:rsid w:val="00D464A8"/>
    <w:rsid w:val="00D53C0A"/>
    <w:rsid w:val="00D60A7D"/>
    <w:rsid w:val="00D7349D"/>
    <w:rsid w:val="00D73C03"/>
    <w:rsid w:val="00D76743"/>
    <w:rsid w:val="00DB7547"/>
    <w:rsid w:val="00DD1F5B"/>
    <w:rsid w:val="00DE4CB8"/>
    <w:rsid w:val="00E10259"/>
    <w:rsid w:val="00E14652"/>
    <w:rsid w:val="00E166E2"/>
    <w:rsid w:val="00E555DB"/>
    <w:rsid w:val="00E73A03"/>
    <w:rsid w:val="00EA4001"/>
    <w:rsid w:val="00EC1341"/>
    <w:rsid w:val="00EC5623"/>
    <w:rsid w:val="00EF1F8D"/>
    <w:rsid w:val="00F33080"/>
    <w:rsid w:val="00F55205"/>
    <w:rsid w:val="00F5656C"/>
    <w:rsid w:val="00F92CE8"/>
    <w:rsid w:val="00F945DC"/>
    <w:rsid w:val="00FB16D9"/>
    <w:rsid w:val="01102C0E"/>
    <w:rsid w:val="011A3824"/>
    <w:rsid w:val="02304C1E"/>
    <w:rsid w:val="028B0F59"/>
    <w:rsid w:val="02DD26E3"/>
    <w:rsid w:val="02DD2FBE"/>
    <w:rsid w:val="033A72A6"/>
    <w:rsid w:val="037176C5"/>
    <w:rsid w:val="037C525F"/>
    <w:rsid w:val="0500094B"/>
    <w:rsid w:val="050C1ED9"/>
    <w:rsid w:val="05B36DB2"/>
    <w:rsid w:val="06BD7302"/>
    <w:rsid w:val="08BB0840"/>
    <w:rsid w:val="09A1370A"/>
    <w:rsid w:val="0B944B47"/>
    <w:rsid w:val="0BFB7931"/>
    <w:rsid w:val="0C593D29"/>
    <w:rsid w:val="0D9643E2"/>
    <w:rsid w:val="0E417C0E"/>
    <w:rsid w:val="0E5B62B4"/>
    <w:rsid w:val="0E5E095D"/>
    <w:rsid w:val="0EC5697A"/>
    <w:rsid w:val="0EED7A61"/>
    <w:rsid w:val="0F1E7544"/>
    <w:rsid w:val="0F8A3A8B"/>
    <w:rsid w:val="0FE908DB"/>
    <w:rsid w:val="10055116"/>
    <w:rsid w:val="10796FDE"/>
    <w:rsid w:val="10E031FB"/>
    <w:rsid w:val="10F13232"/>
    <w:rsid w:val="11025693"/>
    <w:rsid w:val="110823E5"/>
    <w:rsid w:val="11F65518"/>
    <w:rsid w:val="12605215"/>
    <w:rsid w:val="12C76575"/>
    <w:rsid w:val="141E52F0"/>
    <w:rsid w:val="14AE4C51"/>
    <w:rsid w:val="14DD7AD0"/>
    <w:rsid w:val="14FA0805"/>
    <w:rsid w:val="15107EAA"/>
    <w:rsid w:val="15C664B9"/>
    <w:rsid w:val="16A01C95"/>
    <w:rsid w:val="16F222A3"/>
    <w:rsid w:val="17F01ED9"/>
    <w:rsid w:val="182517DE"/>
    <w:rsid w:val="182C17A9"/>
    <w:rsid w:val="19917E71"/>
    <w:rsid w:val="19A02BDF"/>
    <w:rsid w:val="19B3729C"/>
    <w:rsid w:val="1A311256"/>
    <w:rsid w:val="1B840E79"/>
    <w:rsid w:val="1BB14739"/>
    <w:rsid w:val="1BF14AE2"/>
    <w:rsid w:val="1C336CF4"/>
    <w:rsid w:val="1C3C060F"/>
    <w:rsid w:val="1E430D77"/>
    <w:rsid w:val="1EFA4F2D"/>
    <w:rsid w:val="1FB84F71"/>
    <w:rsid w:val="203523E3"/>
    <w:rsid w:val="20664070"/>
    <w:rsid w:val="20C447E8"/>
    <w:rsid w:val="212E65DA"/>
    <w:rsid w:val="21E151FC"/>
    <w:rsid w:val="21ED6154"/>
    <w:rsid w:val="228A70D0"/>
    <w:rsid w:val="22BC5330"/>
    <w:rsid w:val="23F81BF8"/>
    <w:rsid w:val="24DB0F77"/>
    <w:rsid w:val="24EC4AF3"/>
    <w:rsid w:val="255670F9"/>
    <w:rsid w:val="2617065E"/>
    <w:rsid w:val="26D01826"/>
    <w:rsid w:val="27F756C2"/>
    <w:rsid w:val="28490AC5"/>
    <w:rsid w:val="2A235934"/>
    <w:rsid w:val="2A650E38"/>
    <w:rsid w:val="2AA13F0E"/>
    <w:rsid w:val="2AD64646"/>
    <w:rsid w:val="2B31629B"/>
    <w:rsid w:val="2B6D4422"/>
    <w:rsid w:val="2B9C021B"/>
    <w:rsid w:val="2D2B3EF4"/>
    <w:rsid w:val="2D6854D4"/>
    <w:rsid w:val="2DBE5FBA"/>
    <w:rsid w:val="2F7E4B70"/>
    <w:rsid w:val="305D005B"/>
    <w:rsid w:val="31915719"/>
    <w:rsid w:val="31A513ED"/>
    <w:rsid w:val="3210314E"/>
    <w:rsid w:val="326B191D"/>
    <w:rsid w:val="33130007"/>
    <w:rsid w:val="33131E8B"/>
    <w:rsid w:val="334B2D69"/>
    <w:rsid w:val="33964895"/>
    <w:rsid w:val="34220773"/>
    <w:rsid w:val="34583F07"/>
    <w:rsid w:val="3463593F"/>
    <w:rsid w:val="34BA2498"/>
    <w:rsid w:val="34DA6DB3"/>
    <w:rsid w:val="358E6AC2"/>
    <w:rsid w:val="35F41131"/>
    <w:rsid w:val="364D1AB2"/>
    <w:rsid w:val="36AB745A"/>
    <w:rsid w:val="37941A01"/>
    <w:rsid w:val="37BC1E6F"/>
    <w:rsid w:val="38126884"/>
    <w:rsid w:val="390B1D84"/>
    <w:rsid w:val="3A3F1216"/>
    <w:rsid w:val="3AA33DD0"/>
    <w:rsid w:val="3AE07279"/>
    <w:rsid w:val="3B0C0981"/>
    <w:rsid w:val="3C022DA4"/>
    <w:rsid w:val="3CD479C5"/>
    <w:rsid w:val="3D9E5D78"/>
    <w:rsid w:val="3E8B292B"/>
    <w:rsid w:val="3EC24CAD"/>
    <w:rsid w:val="3F38542B"/>
    <w:rsid w:val="40064A00"/>
    <w:rsid w:val="40CB0281"/>
    <w:rsid w:val="417D4296"/>
    <w:rsid w:val="41F65FA1"/>
    <w:rsid w:val="43733E9E"/>
    <w:rsid w:val="43B577A2"/>
    <w:rsid w:val="43DE63C2"/>
    <w:rsid w:val="44C820C9"/>
    <w:rsid w:val="44C8571B"/>
    <w:rsid w:val="45B45B68"/>
    <w:rsid w:val="466239A7"/>
    <w:rsid w:val="46844B32"/>
    <w:rsid w:val="46E046E0"/>
    <w:rsid w:val="470518CE"/>
    <w:rsid w:val="48437CA2"/>
    <w:rsid w:val="49056B24"/>
    <w:rsid w:val="494D0AD5"/>
    <w:rsid w:val="4996550B"/>
    <w:rsid w:val="49A20C06"/>
    <w:rsid w:val="49B00776"/>
    <w:rsid w:val="4B0E2342"/>
    <w:rsid w:val="4B405462"/>
    <w:rsid w:val="4BE75CC2"/>
    <w:rsid w:val="4C1C1521"/>
    <w:rsid w:val="4C1F0D79"/>
    <w:rsid w:val="4C9929BA"/>
    <w:rsid w:val="4E701051"/>
    <w:rsid w:val="4EA75356"/>
    <w:rsid w:val="4F217900"/>
    <w:rsid w:val="4F8D3500"/>
    <w:rsid w:val="50EE03A4"/>
    <w:rsid w:val="517C0A41"/>
    <w:rsid w:val="52A22684"/>
    <w:rsid w:val="52D32F81"/>
    <w:rsid w:val="53716AF0"/>
    <w:rsid w:val="53F23696"/>
    <w:rsid w:val="543E5274"/>
    <w:rsid w:val="56EA6BDE"/>
    <w:rsid w:val="56F66874"/>
    <w:rsid w:val="575E02A1"/>
    <w:rsid w:val="58532C56"/>
    <w:rsid w:val="5931573D"/>
    <w:rsid w:val="598B474F"/>
    <w:rsid w:val="59C8403E"/>
    <w:rsid w:val="59E2049D"/>
    <w:rsid w:val="59FD4209"/>
    <w:rsid w:val="5A487437"/>
    <w:rsid w:val="5B2A4CEC"/>
    <w:rsid w:val="5B4F2FF0"/>
    <w:rsid w:val="5BC70A2F"/>
    <w:rsid w:val="5C210223"/>
    <w:rsid w:val="5C2A6EB6"/>
    <w:rsid w:val="5C6B4808"/>
    <w:rsid w:val="5D125434"/>
    <w:rsid w:val="5DAD0AC4"/>
    <w:rsid w:val="5F28261E"/>
    <w:rsid w:val="5F7E58AB"/>
    <w:rsid w:val="5FDD6470"/>
    <w:rsid w:val="60967DA8"/>
    <w:rsid w:val="60CA46DB"/>
    <w:rsid w:val="60E4288E"/>
    <w:rsid w:val="614028AD"/>
    <w:rsid w:val="622F6B07"/>
    <w:rsid w:val="62832366"/>
    <w:rsid w:val="62852998"/>
    <w:rsid w:val="62BB5F6E"/>
    <w:rsid w:val="63405731"/>
    <w:rsid w:val="63835349"/>
    <w:rsid w:val="63CB62EC"/>
    <w:rsid w:val="64A1558B"/>
    <w:rsid w:val="65150919"/>
    <w:rsid w:val="65433EC8"/>
    <w:rsid w:val="656B6ED8"/>
    <w:rsid w:val="658D3F2D"/>
    <w:rsid w:val="65C272DC"/>
    <w:rsid w:val="65E41E24"/>
    <w:rsid w:val="65F2283E"/>
    <w:rsid w:val="660B13B1"/>
    <w:rsid w:val="663D5516"/>
    <w:rsid w:val="6719013C"/>
    <w:rsid w:val="67436D8A"/>
    <w:rsid w:val="67EF36C5"/>
    <w:rsid w:val="68027D8C"/>
    <w:rsid w:val="688B301A"/>
    <w:rsid w:val="68A10546"/>
    <w:rsid w:val="6A7373C2"/>
    <w:rsid w:val="6AAB7D5C"/>
    <w:rsid w:val="6C0D7958"/>
    <w:rsid w:val="6C1705E3"/>
    <w:rsid w:val="6DB4653E"/>
    <w:rsid w:val="6EE6387E"/>
    <w:rsid w:val="6FCC4EC8"/>
    <w:rsid w:val="7004059F"/>
    <w:rsid w:val="705C65C7"/>
    <w:rsid w:val="737417A3"/>
    <w:rsid w:val="740F18F8"/>
    <w:rsid w:val="74426E19"/>
    <w:rsid w:val="746F6ED1"/>
    <w:rsid w:val="747D3A01"/>
    <w:rsid w:val="74F21446"/>
    <w:rsid w:val="756A21F9"/>
    <w:rsid w:val="75863413"/>
    <w:rsid w:val="767D6A17"/>
    <w:rsid w:val="76F352E4"/>
    <w:rsid w:val="774E274E"/>
    <w:rsid w:val="77E37D01"/>
    <w:rsid w:val="785E3E56"/>
    <w:rsid w:val="79A41A9E"/>
    <w:rsid w:val="7A2E2F23"/>
    <w:rsid w:val="7AF44C3C"/>
    <w:rsid w:val="7DCF7F26"/>
    <w:rsid w:val="7DFB1065"/>
    <w:rsid w:val="7E1D53A8"/>
    <w:rsid w:val="7E9E654D"/>
    <w:rsid w:val="7EA605BD"/>
    <w:rsid w:val="7EB50940"/>
    <w:rsid w:val="7F0F6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line="360" w:lineRule="auto"/>
      <w:outlineLvl w:val="2"/>
    </w:pPr>
    <w:rPr>
      <w:b/>
      <w:bCs/>
      <w:sz w:val="24"/>
      <w:szCs w:val="32"/>
    </w:rPr>
  </w:style>
  <w:style w:type="paragraph" w:styleId="5">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spacing w:line="360" w:lineRule="auto"/>
      <w:ind w:firstLine="480" w:firstLineChars="200"/>
    </w:pPr>
    <w:rPr>
      <w:rFonts w:ascii="宋体" w:hAnsi="宋体"/>
      <w:sz w:val="24"/>
    </w:rPr>
  </w:style>
  <w:style w:type="paragraph" w:styleId="7">
    <w:name w:val="Plain Text"/>
    <w:basedOn w:val="1"/>
    <w:link w:val="25"/>
    <w:qFormat/>
    <w:uiPriority w:val="0"/>
    <w:rPr>
      <w:rFonts w:ascii="宋体" w:hAnsi="Courier New"/>
      <w:szCs w:val="20"/>
    </w:rPr>
  </w:style>
  <w:style w:type="paragraph" w:styleId="8">
    <w:name w:val="Date"/>
    <w:basedOn w:val="1"/>
    <w:next w:val="1"/>
    <w:link w:val="29"/>
    <w:qFormat/>
    <w:uiPriority w:val="0"/>
    <w:pPr>
      <w:ind w:left="100" w:leftChars="2500"/>
    </w:p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link w:val="24"/>
    <w:qFormat/>
    <w:uiPriority w:val="0"/>
    <w:pPr>
      <w:spacing w:before="240" w:after="60"/>
      <w:jc w:val="center"/>
      <w:outlineLvl w:val="0"/>
    </w:pPr>
    <w:rPr>
      <w:rFonts w:ascii="Cambria" w:hAnsi="Cambria"/>
      <w:b/>
      <w:bCs/>
      <w:sz w:val="32"/>
      <w:szCs w:val="32"/>
    </w:rPr>
  </w:style>
  <w:style w:type="paragraph" w:customStyle="1" w:styleId="16">
    <w:name w:val="正文文本缩进 21"/>
    <w:basedOn w:val="1"/>
    <w:qFormat/>
    <w:uiPriority w:val="0"/>
    <w:pPr>
      <w:ind w:firstLine="560" w:firstLineChars="200"/>
    </w:pPr>
    <w:rPr>
      <w:kern w:val="0"/>
      <w:sz w:val="28"/>
    </w:rPr>
  </w:style>
  <w:style w:type="paragraph" w:customStyle="1" w:styleId="17">
    <w:name w:val="正文文本缩进1"/>
    <w:basedOn w:val="1"/>
    <w:qFormat/>
    <w:uiPriority w:val="0"/>
    <w:pPr>
      <w:ind w:firstLine="528"/>
    </w:pPr>
    <w:rPr>
      <w:kern w:val="0"/>
      <w:sz w:val="28"/>
    </w:rPr>
  </w:style>
  <w:style w:type="character" w:customStyle="1" w:styleId="18">
    <w:name w:val="font11"/>
    <w:qFormat/>
    <w:uiPriority w:val="0"/>
    <w:rPr>
      <w:rFonts w:hint="eastAsia" w:ascii="宋体" w:hAnsi="宋体" w:eastAsia="宋体" w:cs="宋体"/>
      <w:color w:val="000000"/>
      <w:sz w:val="24"/>
      <w:szCs w:val="24"/>
      <w:u w:val="none"/>
      <w:vertAlign w:val="superscript"/>
    </w:rPr>
  </w:style>
  <w:style w:type="paragraph" w:customStyle="1" w:styleId="19">
    <w:name w:val="列出段落1"/>
    <w:basedOn w:val="1"/>
    <w:unhideWhenUsed/>
    <w:qFormat/>
    <w:uiPriority w:val="99"/>
    <w:pPr>
      <w:ind w:firstLine="420" w:firstLineChars="200"/>
    </w:pPr>
  </w:style>
  <w:style w:type="paragraph" w:customStyle="1" w:styleId="20">
    <w:name w:val="p0"/>
    <w:basedOn w:val="1"/>
    <w:qFormat/>
    <w:uiPriority w:val="0"/>
    <w:pPr>
      <w:widowControl/>
    </w:pPr>
    <w:rPr>
      <w:rFonts w:ascii="Calibri" w:hAnsi="Calibri" w:cs="宋体"/>
      <w:kern w:val="0"/>
      <w:szCs w:val="21"/>
    </w:rPr>
  </w:style>
  <w:style w:type="character" w:customStyle="1" w:styleId="21">
    <w:name w:val="批注框文本 字符"/>
    <w:basedOn w:val="15"/>
    <w:link w:val="9"/>
    <w:qFormat/>
    <w:uiPriority w:val="0"/>
    <w:rPr>
      <w:kern w:val="2"/>
      <w:sz w:val="18"/>
      <w:szCs w:val="18"/>
    </w:rPr>
  </w:style>
  <w:style w:type="paragraph" w:styleId="22">
    <w:name w:val="List Paragraph"/>
    <w:basedOn w:val="1"/>
    <w:qFormat/>
    <w:uiPriority w:val="99"/>
    <w:pPr>
      <w:ind w:firstLine="420" w:firstLineChars="200"/>
    </w:pPr>
  </w:style>
  <w:style w:type="paragraph" w:customStyle="1" w:styleId="23">
    <w:name w:val="_Style 1"/>
    <w:basedOn w:val="1"/>
    <w:qFormat/>
    <w:uiPriority w:val="0"/>
    <w:pPr>
      <w:ind w:firstLine="420" w:firstLineChars="200"/>
    </w:pPr>
  </w:style>
  <w:style w:type="character" w:customStyle="1" w:styleId="24">
    <w:name w:val="标题 字符"/>
    <w:link w:val="13"/>
    <w:qFormat/>
    <w:uiPriority w:val="0"/>
    <w:rPr>
      <w:rFonts w:ascii="Cambria" w:hAnsi="Cambria" w:eastAsiaTheme="minorEastAsia" w:cstheme="minorBidi"/>
      <w:b/>
      <w:bCs/>
      <w:kern w:val="2"/>
      <w:sz w:val="32"/>
      <w:szCs w:val="32"/>
    </w:rPr>
  </w:style>
  <w:style w:type="character" w:customStyle="1" w:styleId="25">
    <w:name w:val="纯文本 字符"/>
    <w:link w:val="7"/>
    <w:qFormat/>
    <w:uiPriority w:val="0"/>
    <w:rPr>
      <w:rFonts w:ascii="宋体" w:hAnsi="Courier New" w:eastAsiaTheme="minorEastAsia" w:cstheme="minorBidi"/>
      <w:kern w:val="2"/>
      <w:sz w:val="21"/>
    </w:rPr>
  </w:style>
  <w:style w:type="character" w:customStyle="1" w:styleId="26">
    <w:name w:val="普通文字 Char Char Char Char Char Char Char Char Char Char Char Char Char Char"/>
    <w:link w:val="27"/>
    <w:qFormat/>
    <w:uiPriority w:val="0"/>
    <w:rPr>
      <w:kern w:val="2"/>
      <w:sz w:val="28"/>
      <w:szCs w:val="28"/>
    </w:rPr>
  </w:style>
  <w:style w:type="paragraph" w:customStyle="1" w:styleId="27">
    <w:name w:val="普通文字"/>
    <w:basedOn w:val="1"/>
    <w:link w:val="26"/>
    <w:qFormat/>
    <w:uiPriority w:val="0"/>
    <w:pPr>
      <w:adjustRightInd w:val="0"/>
      <w:snapToGrid w:val="0"/>
      <w:spacing w:line="540" w:lineRule="exact"/>
      <w:ind w:firstLine="200" w:firstLineChars="200"/>
    </w:pPr>
    <w:rPr>
      <w:rFonts w:ascii="Times New Roman" w:hAnsi="Times New Roman" w:eastAsia="宋体" w:cs="Times New Roman"/>
      <w:sz w:val="28"/>
      <w:szCs w:val="28"/>
    </w:rPr>
  </w:style>
  <w:style w:type="paragraph" w:customStyle="1" w:styleId="28">
    <w:name w:val="鸭河口正文"/>
    <w:basedOn w:val="1"/>
    <w:qFormat/>
    <w:uiPriority w:val="0"/>
    <w:pPr>
      <w:spacing w:line="500" w:lineRule="exact"/>
      <w:ind w:firstLine="200" w:firstLineChars="200"/>
    </w:pPr>
    <w:rPr>
      <w:rFonts w:ascii="Times New Roman" w:hAnsi="Times New Roman" w:eastAsia="宋体" w:cs="Times New Roman"/>
      <w:kern w:val="0"/>
      <w:sz w:val="28"/>
      <w:szCs w:val="28"/>
    </w:rPr>
  </w:style>
  <w:style w:type="character" w:customStyle="1" w:styleId="29">
    <w:name w:val="日期 字符"/>
    <w:basedOn w:val="15"/>
    <w:link w:val="8"/>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53C86-CCEC-4523-835F-8AD19F83FE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694</Words>
  <Characters>3960</Characters>
  <Lines>33</Lines>
  <Paragraphs>9</Paragraphs>
  <TotalTime>2</TotalTime>
  <ScaleCrop>false</ScaleCrop>
  <LinksUpToDate>false</LinksUpToDate>
  <CharactersWithSpaces>4645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2019-07-31T08:12:00Z</dcterms:created>
  <dc:creator>叶子</dc:creator>
  <cp:lastModifiedBy>罗晶晶</cp:lastModifiedBy>
  <cp:lastPrinted>2020-06-12T02:50:00Z</cp:lastPrinted>
  <dcterms:modified xsi:type="dcterms:W3CDTF">2020-10-27T01:29:12Z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