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55" w:rsidRPr="008A5155" w:rsidRDefault="009564B6" w:rsidP="008A5155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8A5155">
        <w:rPr>
          <w:rFonts w:ascii="方正小标宋简体" w:eastAsia="方正小标宋简体" w:hAnsi="华文中宋" w:hint="eastAsia"/>
          <w:sz w:val="36"/>
          <w:szCs w:val="36"/>
        </w:rPr>
        <w:t>国家体育总局</w:t>
      </w:r>
      <w:r w:rsidRPr="008A5155">
        <w:rPr>
          <w:rFonts w:ascii="方正小标宋简体" w:eastAsia="方正小标宋简体" w:hAnsi="华文中宋" w:hint="eastAsia"/>
          <w:sz w:val="36"/>
          <w:szCs w:val="36"/>
        </w:rPr>
        <w:t>202</w:t>
      </w:r>
      <w:r w:rsidRPr="008A5155">
        <w:rPr>
          <w:rFonts w:ascii="方正小标宋简体" w:eastAsia="方正小标宋简体" w:hAnsi="华文中宋" w:hint="eastAsia"/>
          <w:sz w:val="36"/>
          <w:szCs w:val="36"/>
        </w:rPr>
        <w:t>1</w:t>
      </w:r>
      <w:r w:rsidRPr="008A5155">
        <w:rPr>
          <w:rFonts w:ascii="方正小标宋简体" w:eastAsia="方正小标宋简体" w:hAnsi="华文中宋" w:hint="eastAsia"/>
          <w:sz w:val="36"/>
          <w:szCs w:val="36"/>
        </w:rPr>
        <w:t>年度法规、</w:t>
      </w:r>
    </w:p>
    <w:p w:rsidR="00995967" w:rsidRPr="008A5155" w:rsidRDefault="009564B6" w:rsidP="008A5155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8A5155">
        <w:rPr>
          <w:rFonts w:ascii="方正小标宋简体" w:eastAsia="方正小标宋简体" w:hAnsi="华文中宋" w:hint="eastAsia"/>
          <w:sz w:val="36"/>
          <w:szCs w:val="36"/>
        </w:rPr>
        <w:t>规章</w:t>
      </w:r>
      <w:r w:rsidRPr="008A5155">
        <w:rPr>
          <w:rFonts w:ascii="方正小标宋简体" w:eastAsia="方正小标宋简体" w:hAnsi="华文中宋" w:hint="eastAsia"/>
          <w:sz w:val="36"/>
          <w:szCs w:val="36"/>
        </w:rPr>
        <w:t>和规范性文件制定计划</w:t>
      </w:r>
    </w:p>
    <w:p w:rsidR="008A5155" w:rsidRDefault="008A5155" w:rsidP="008A515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992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806"/>
        <w:gridCol w:w="3686"/>
        <w:gridCol w:w="1417"/>
        <w:gridCol w:w="1561"/>
        <w:gridCol w:w="1250"/>
        <w:gridCol w:w="1203"/>
      </w:tblGrid>
      <w:tr w:rsidR="00995967" w:rsidRPr="008A5155" w:rsidTr="00BE4A71">
        <w:trPr>
          <w:trHeight w:val="810"/>
          <w:tblHeader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起草</w:t>
            </w: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计划完成</w:t>
            </w: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负责单位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文件</w:t>
            </w:r>
            <w:r w:rsidRPr="008A5155">
              <w:rPr>
                <w:rFonts w:ascii="宋体" w:hAnsi="宋体" w:cs="宋体" w:hint="eastAsia"/>
                <w:b/>
                <w:kern w:val="0"/>
                <w:szCs w:val="21"/>
              </w:rPr>
              <w:t>层级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反兴奋剂条例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科教司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行政法规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国家体育总局规章和规范性文件制定程序规定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体育培训活动管理办法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运动员技术等级管理办法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体育竞赛裁判员管理办法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反兴奋剂管理办法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5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科教司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国内登山管理办法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登山中心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航空体育运动管理办法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航管中心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规章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体育总局关于进一步规范和加强地方体育行政执法工作的若干意见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6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体育总局关于鼓励支持社会力量办体育</w:t>
            </w:r>
            <w:r w:rsidRPr="008A5155">
              <w:rPr>
                <w:rFonts w:ascii="宋体" w:hAnsi="宋体" w:cs="仿宋" w:hint="eastAsia"/>
                <w:szCs w:val="21"/>
              </w:rPr>
              <w:t xml:space="preserve"> </w:t>
            </w:r>
            <w:r w:rsidRPr="008A5155">
              <w:rPr>
                <w:rFonts w:ascii="宋体" w:hAnsi="宋体" w:cs="仿宋" w:hint="eastAsia"/>
                <w:szCs w:val="21"/>
              </w:rPr>
              <w:t>加快推进体育事业改革发展的指导意见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体育总局关于加强体育领域信用体系建设的指导意见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/>
                <w:kern w:val="0"/>
                <w:szCs w:val="21"/>
                <w:lang w:val="e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体育总局关于进一步规范体育赛场行为的若干意见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6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/>
                <w:kern w:val="0"/>
                <w:szCs w:val="21"/>
                <w:lang w:val="e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体育总局决策咨询研究项目管理办法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体育总局体育决策咨询专家管理办法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  <w:t>政法司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关于加强全民健身公共服务体系建设的指导意见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6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群体司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体育总局与省（区、市）体育局联合组建备战</w:t>
            </w:r>
            <w:r w:rsidRPr="008A5155">
              <w:rPr>
                <w:rFonts w:ascii="宋体" w:hAnsi="宋体" w:cs="仿宋" w:hint="eastAsia"/>
                <w:szCs w:val="21"/>
              </w:rPr>
              <w:t>2022</w:t>
            </w:r>
            <w:r w:rsidRPr="008A5155">
              <w:rPr>
                <w:rFonts w:ascii="宋体" w:hAnsi="宋体" w:cs="仿宋" w:hint="eastAsia"/>
                <w:szCs w:val="21"/>
              </w:rPr>
              <w:t>年杭州亚运会和</w:t>
            </w:r>
            <w:r w:rsidRPr="008A5155">
              <w:rPr>
                <w:rFonts w:ascii="宋体" w:hAnsi="宋体" w:cs="仿宋" w:hint="eastAsia"/>
                <w:szCs w:val="21"/>
              </w:rPr>
              <w:t>2024</w:t>
            </w:r>
            <w:r w:rsidRPr="008A5155">
              <w:rPr>
                <w:rFonts w:ascii="宋体" w:hAnsi="宋体" w:cs="仿宋" w:hint="eastAsia"/>
                <w:szCs w:val="21"/>
              </w:rPr>
              <w:t>年巴黎奥运会国家集训队管理办法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  <w:lang w:val="en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国家训练营管理办法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体育总局关于印发《运动员技术等级标准》的通知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全国运动员注册与交流管理办法（试行）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关于我国体育运动项目统计世界冠军、奥运会冠军（金牌）的管理办法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关于我国运动员创造的世界纪录、亚洲纪录和全国纪录管理办法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体育总局关于印发《运动员、教练员体育运动奖章授予办法》的通知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proofErr w:type="gramStart"/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 w:val="en"/>
              </w:rPr>
              <w:t>竞体司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/>
                <w:kern w:val="0"/>
                <w:szCs w:val="21"/>
                <w:lang w:val="e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全国性体育协会内部控制管理办法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经济司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8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全国性体育协会会计基础工作规范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</w:t>
            </w:r>
            <w:bookmarkStart w:id="0" w:name="_GoBack"/>
            <w:bookmarkEnd w:id="0"/>
            <w:r w:rsidRPr="008A5155">
              <w:rPr>
                <w:rFonts w:ascii="宋体" w:hAnsi="宋体" w:cs="仿宋" w:hint="eastAsia"/>
                <w:szCs w:val="21"/>
              </w:rPr>
              <w:t>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经济司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br w:type="page"/>
            </w:r>
            <w:r w:rsidRPr="008A5155">
              <w:rPr>
                <w:rFonts w:ascii="宋体" w:hAnsi="宋体" w:cs="仿宋" w:hint="eastAsia"/>
                <w:szCs w:val="21"/>
              </w:rPr>
              <w:t>中央集中彩票公益金支持体育事业专项资金预算绩效管理办法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经济司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br w:type="page"/>
            </w:r>
            <w:r w:rsidRPr="008A5155">
              <w:rPr>
                <w:rFonts w:ascii="宋体" w:hAnsi="宋体" w:cs="仿宋" w:hint="eastAsia"/>
                <w:szCs w:val="21"/>
              </w:rPr>
              <w:t>中央集中彩票公益金支持体育事业专项资金管理工作规程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经济司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国家体育产业基地管理办法（试行）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修订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71" w:rsidRDefault="009564B6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经济司、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装备中心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 w:rsidRPr="008A5155">
              <w:rPr>
                <w:rFonts w:ascii="宋体" w:hAnsi="宋体" w:cs="宋体"/>
                <w:kern w:val="0"/>
                <w:szCs w:val="21"/>
                <w:lang w:val="en"/>
              </w:rPr>
              <w:t>28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国际化体育科技合作平台建设管理办法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10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体育行业重点科技项目清单管理办法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6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国家体育科普基地管理办法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9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国家体育总局工程研究中心管理办法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12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国家队复合型科研医疗队伍管理办法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10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2022</w:t>
            </w:r>
            <w:r w:rsidRPr="008A5155">
              <w:rPr>
                <w:rFonts w:ascii="宋体" w:hAnsi="宋体" w:cs="仿宋" w:hint="eastAsia"/>
                <w:szCs w:val="21"/>
              </w:rPr>
              <w:t>年普通高等学校运动训练、武术与民族传统体育专业招生管理办法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11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2022</w:t>
            </w:r>
            <w:r w:rsidRPr="008A5155">
              <w:rPr>
                <w:rFonts w:ascii="宋体" w:hAnsi="宋体" w:cs="仿宋" w:hint="eastAsia"/>
                <w:szCs w:val="21"/>
              </w:rPr>
              <w:t>年普通高等学校运动训练、武术与民族传统体育专业招生管理办法操作细则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szCs w:val="21"/>
              </w:rPr>
              <w:t>11</w:t>
            </w:r>
            <w:r w:rsidRPr="008A5155"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2022</w:t>
            </w:r>
            <w:r w:rsidRPr="008A5155">
              <w:rPr>
                <w:rFonts w:ascii="宋体" w:hAnsi="宋体" w:cs="仿宋" w:hint="eastAsia"/>
                <w:szCs w:val="21"/>
              </w:rPr>
              <w:t>年体育</w:t>
            </w:r>
            <w:proofErr w:type="gramStart"/>
            <w:r w:rsidRPr="008A5155">
              <w:rPr>
                <w:rFonts w:ascii="宋体" w:hAnsi="宋体" w:cs="仿宋" w:hint="eastAsia"/>
                <w:szCs w:val="21"/>
              </w:rPr>
              <w:t>单招及部分</w:t>
            </w:r>
            <w:proofErr w:type="gramEnd"/>
            <w:r w:rsidRPr="008A5155">
              <w:rPr>
                <w:rFonts w:ascii="宋体" w:hAnsi="宋体" w:cs="仿宋" w:hint="eastAsia"/>
                <w:szCs w:val="21"/>
              </w:rPr>
              <w:t>高校高水平运动队招生专业考试考务工作有关事宜的通知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  <w:tr w:rsidR="00995967" w:rsidRPr="008A5155" w:rsidTr="00BE4A71">
        <w:trPr>
          <w:trHeight w:val="935"/>
          <w:jc w:val="center"/>
        </w:trPr>
        <w:tc>
          <w:tcPr>
            <w:tcW w:w="806" w:type="dxa"/>
            <w:vAlign w:val="center"/>
          </w:tcPr>
          <w:p w:rsidR="00995967" w:rsidRPr="008A5155" w:rsidRDefault="009564B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5155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686" w:type="dxa"/>
            <w:vAlign w:val="center"/>
          </w:tcPr>
          <w:p w:rsidR="00995967" w:rsidRPr="008A5155" w:rsidRDefault="009564B6" w:rsidP="008A5155">
            <w:pPr>
              <w:jc w:val="left"/>
              <w:rPr>
                <w:rFonts w:ascii="宋体" w:hAnsi="宋体" w:cs="仿宋"/>
                <w:szCs w:val="21"/>
              </w:rPr>
            </w:pPr>
            <w:r w:rsidRPr="008A5155">
              <w:rPr>
                <w:rFonts w:ascii="宋体" w:hAnsi="宋体" w:cs="仿宋" w:hint="eastAsia"/>
                <w:szCs w:val="21"/>
              </w:rPr>
              <w:t>关于做好</w:t>
            </w:r>
            <w:r w:rsidRPr="008A5155">
              <w:rPr>
                <w:rFonts w:ascii="宋体" w:hAnsi="宋体" w:cs="仿宋" w:hint="eastAsia"/>
                <w:szCs w:val="21"/>
              </w:rPr>
              <w:t>2022</w:t>
            </w:r>
            <w:r w:rsidRPr="008A5155">
              <w:rPr>
                <w:rFonts w:ascii="宋体" w:hAnsi="宋体" w:cs="仿宋" w:hint="eastAsia"/>
                <w:szCs w:val="21"/>
              </w:rPr>
              <w:t>高校保送录取运动员有关事宜的通知</w:t>
            </w:r>
          </w:p>
        </w:tc>
        <w:tc>
          <w:tcPr>
            <w:tcW w:w="1417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起草</w:t>
            </w:r>
          </w:p>
        </w:tc>
        <w:tc>
          <w:tcPr>
            <w:tcW w:w="1561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2021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年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11</w:t>
            </w: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50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科教司</w:t>
            </w:r>
          </w:p>
        </w:tc>
        <w:tc>
          <w:tcPr>
            <w:tcW w:w="1203" w:type="dxa"/>
            <w:vAlign w:val="center"/>
          </w:tcPr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规范性</w:t>
            </w:r>
          </w:p>
          <w:p w:rsidR="00995967" w:rsidRPr="008A5155" w:rsidRDefault="009564B6">
            <w:pPr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8A5155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文件</w:t>
            </w:r>
          </w:p>
        </w:tc>
      </w:tr>
    </w:tbl>
    <w:p w:rsidR="00995967" w:rsidRDefault="00995967"/>
    <w:sectPr w:rsidR="00995967" w:rsidSect="008A515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B6" w:rsidRDefault="009564B6">
      <w:r>
        <w:separator/>
      </w:r>
    </w:p>
  </w:endnote>
  <w:endnote w:type="continuationSeparator" w:id="0">
    <w:p w:rsidR="009564B6" w:rsidRDefault="0095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67" w:rsidRDefault="009564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4A71" w:rsidRPr="00BE4A71">
      <w:rPr>
        <w:noProof/>
        <w:lang w:val="zh-CN"/>
      </w:rPr>
      <w:t>1</w:t>
    </w:r>
    <w:r>
      <w:fldChar w:fldCharType="end"/>
    </w:r>
  </w:p>
  <w:p w:rsidR="00995967" w:rsidRDefault="009959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B6" w:rsidRDefault="009564B6">
      <w:r>
        <w:separator/>
      </w:r>
    </w:p>
  </w:footnote>
  <w:footnote w:type="continuationSeparator" w:id="0">
    <w:p w:rsidR="009564B6" w:rsidRDefault="0095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DC3F"/>
    <w:rsid w:val="779FDC3F"/>
    <w:rsid w:val="7BEF9355"/>
    <w:rsid w:val="7CFD5BFA"/>
    <w:rsid w:val="97FD271F"/>
    <w:rsid w:val="DDDF5E45"/>
    <w:rsid w:val="E8FFA7FE"/>
    <w:rsid w:val="008A5155"/>
    <w:rsid w:val="009564B6"/>
    <w:rsid w:val="00995967"/>
    <w:rsid w:val="00B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libingning</dc:creator>
  <cp:lastModifiedBy>zfs-zfs</cp:lastModifiedBy>
  <cp:revision>2</cp:revision>
  <cp:lastPrinted>2021-02-23T10:02:00Z</cp:lastPrinted>
  <dcterms:created xsi:type="dcterms:W3CDTF">2021-02-11T09:17:00Z</dcterms:created>
  <dcterms:modified xsi:type="dcterms:W3CDTF">2021-03-03T08:18:00Z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