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>
      <w:pPr>
        <w:widowControl/>
        <w:snapToGrid w:val="0"/>
        <w:spacing w:line="400" w:lineRule="atLeast"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  <w:t>中国铁人三项运动协会</w:t>
      </w:r>
    </w:p>
    <w:p>
      <w:pPr>
        <w:widowControl/>
        <w:snapToGrid w:val="0"/>
        <w:spacing w:line="400" w:lineRule="atLeast"/>
        <w:jc w:val="center"/>
        <w:rPr>
          <w:rFonts w:ascii="华文中宋" w:hAnsi="华文中宋" w:eastAsia="华文中宋" w:cs="华文中宋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  <w:t>参赛运动员</w:t>
      </w: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  <w:t>体检指导意见</w:t>
      </w:r>
      <w:bookmarkEnd w:id="0"/>
    </w:p>
    <w:p>
      <w:pPr>
        <w:widowControl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一、体检的必要性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ascii="仿宋" w:hAnsi="仿宋" w:eastAsia="仿宋" w:cs="仿宋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636270</wp:posOffset>
                </wp:positionV>
                <wp:extent cx="5067935" cy="2187575"/>
                <wp:effectExtent l="0" t="0" r="0" b="0"/>
                <wp:wrapNone/>
                <wp:docPr id="1" name="任意多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067935" cy="2187575"/>
                        </a:xfrm>
                        <a:custGeom>
                          <a:avLst/>
                          <a:gdLst>
                            <a:gd name="G0" fmla="val 0"/>
                          </a:gdLst>
                          <a:ahLst/>
                          <a:cxnLst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0" y="G0"/>
                            </a:cxn>
                            <a:cxn ang="0">
                              <a:pos x="0" y="G0"/>
                            </a:cxn>
                          </a:cxnLst>
                          <a:pathLst>
                            <a:path w="14078" h="6077">
                              <a:moveTo>
                                <a:pt x="14077" y="0"/>
                              </a:moveTo>
                              <a:lnTo>
                                <a:pt x="14077" y="0"/>
                              </a:lnTo>
                            </a:path>
                            <a:path w="14078" h="6077">
                              <a:moveTo>
                                <a:pt x="0" y="6076"/>
                              </a:moveTo>
                              <a:lnTo>
                                <a:pt x="0" y="6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3.1pt;margin-top:50.1pt;height:172.25pt;width:399.05pt;z-index:1024;mso-width-relative:page;mso-height-relative:page;" stroked="t" coordsize="14078,6077" o:gfxdata="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J1lGhXZAAAACgEAAA8AAAAA&#10;AAAAAQAgAAAAIgAAAGRycy9kb3ducmV2LnhtbFBLAQIUABQAAAAIAIdO4kBn9ymEMAMAAD4IAAAO&#10;AAAAAAAAAAEAIAAAACgBAABkcnMvZTJvRG9jLnhtbFBLBQYAAAAABgAGAFkBAADKBgAAAAA=&#10;" path="m14077,0l14077,0em0,6076l0,6076e">
                <v:path o:connecttype="segments" o:connectlocs="@0,@0;@0,@0;0,@0;0,@0" o:connectangles="0,0,0,0"/>
                <v:fill focussize="0,0"/>
                <v:stroke color="#FF0000" joinstyle="round" endcap="round"/>
                <v:imagedata o:title=""/>
                <o:lock v:ext="edit" text="t" aspectratio="t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（一）铁人三项运动</w:t>
      </w:r>
      <w:r>
        <w:rPr>
          <w:rFonts w:hint="eastAsia" w:ascii="仿宋" w:hAnsi="仿宋" w:eastAsia="仿宋" w:cs="仿宋"/>
          <w:kern w:val="0"/>
          <w:sz w:val="24"/>
        </w:rPr>
        <w:t>具有赛程长、强度高、赛场环境不稳定等特点。对人体的刺激是剧烈和深重的，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会不可避免地发生各种急性伤病，以心血管、呼吸、中枢神经、胃肠道和运动（骨和肌肉等）系统的刺激或损害为主，重者可危及生命。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（二）由于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</w:t>
      </w:r>
      <w:r>
        <w:rPr>
          <w:rFonts w:hint="eastAsia" w:ascii="仿宋" w:hAnsi="仿宋" w:eastAsia="仿宋" w:cs="仿宋"/>
          <w:kern w:val="0"/>
          <w:sz w:val="24"/>
        </w:rPr>
        <w:t>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（三）为了</w:t>
      </w:r>
      <w:r>
        <w:rPr>
          <w:rFonts w:hint="eastAsia" w:ascii="仿宋" w:hAnsi="仿宋" w:eastAsia="仿宋" w:cs="仿宋"/>
          <w:kern w:val="0"/>
          <w:sz w:val="24"/>
        </w:rPr>
        <w:t>最大程度地保障参赛运动员的健康安全，确立“超前预防”思想，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特制定此体检指导意见。运动员未能按要求提供体检证明或检查结果不符合以下要求的，不得参赛。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二、综合要求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（一）赛前体检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运动员必须及时了解自身的健康和体能状况，并在赛前或最长不超过赛前六个月的时间，自行到“二级甲”或以上等级的医院进行体检。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（二）自我监控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完全排除身体潜在的风险；由于</w:t>
      </w:r>
      <w:r>
        <w:rPr>
          <w:rFonts w:hint="eastAsia" w:ascii="仿宋" w:hAnsi="仿宋" w:eastAsia="仿宋" w:cs="仿宋"/>
          <w:kern w:val="0"/>
          <w:sz w:val="24"/>
        </w:rPr>
        <w:t>“人身体状况的可变性”，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更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证明运动员完全有能力安全完成比赛。因此</w:t>
      </w:r>
      <w:r>
        <w:rPr>
          <w:rFonts w:hint="eastAsia" w:ascii="仿宋" w:hAnsi="仿宋" w:eastAsia="仿宋" w:cs="仿宋"/>
          <w:kern w:val="0"/>
          <w:sz w:val="24"/>
        </w:rPr>
        <w:t>每位参赛运动员必须做到：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1．赛前主动确保自身状况良好，没有感冒、发热、病毒性或细菌性扁桃体炎、其它急慢性伤病等。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赛前或赛中</w:t>
      </w:r>
      <w:r>
        <w:rPr>
          <w:rFonts w:hint="eastAsia" w:ascii="仿宋" w:hAnsi="仿宋" w:eastAsia="仿宋" w:cs="仿宋"/>
          <w:kern w:val="0"/>
          <w:sz w:val="24"/>
        </w:rPr>
        <w:t>出现身体异常症状，应主动退出比赛，及时告知比赛组委会，尽快就医。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三、体检项目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以下体检项目是根据铁人三项运动中的常见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急性伤病所设，其中第（一）至（三）项为必检项目，比赛组委会将在赛前对其进行审查。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内外科一般检查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重点询问和甄别参赛运动员有无以下情况：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1．心血管系统疾病，如高血压、瓣膜病、冠心病、心肌病；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2．中枢神经系统疾病，如癫痫、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严重神经衰弱综合征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3．猝死等家族史；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4．运动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性应激性或急性伤病的既往史；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呼吸系统疾病，如过敏性支气管哮喘、急或慢性呼吸道感染；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胃肠道疾病，如消化道溃疡活动期。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（二）血压检查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1．50岁以下的运动员：收缩压≤130mmHg（17.3KPa），舒张压≤85mmHg（11.3KPa）；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2．50岁以上（包括50岁）的运动员：收缩压≤140mmHg（18.6KPa），舒张压≤90mmHg（12KPa）。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（三）心电图检查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心电图报告须附医师诊断意见，评估标准如下：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1．正常心电图（经医院确诊无明显异常）：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（1）窦性心律；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（2）成人心率40～100次/分（专业运动员心率可低于40次/分）。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2．不符合参赛条件的异常心电图包括但不限于：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（1）窦性心动过速，成人心率＞100次/分；室性心动过速；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（2）频发的窦性心律不齐；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（3）窦性停搏；房性、交界性、室性期前收缩或逸搏；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（4）病态窦房结综合症；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（5）Ⅱ度及以上的窦房、房室传导、左束支传导等阻滞；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（6）预激综合征；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（8）其他心电图异常，如房颤。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（四）“血生化全项”（可酌情加做）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判断肝肾功能，血糖血脂、血清离子、心肌酶谱等的情况。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（五）“彩色超声心动图”（可酌情加做）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>判断心室、心房、瓣膜、心肌及其运动（收缩能力和顺应性）、射血分数及心输出量等的情况，规避心脏结构紊乱。</w:t>
      </w:r>
    </w:p>
    <w:p/>
    <w:sectPr>
      <w:pgSz w:w="11906" w:h="16838"/>
      <w:pgMar w:top="1021" w:right="1191" w:bottom="851" w:left="119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72CA"/>
    <w:multiLevelType w:val="multilevel"/>
    <w:tmpl w:val="63AB72CA"/>
    <w:lvl w:ilvl="0" w:tentative="0">
      <w:start w:val="1"/>
      <w:numFmt w:val="japaneseCounting"/>
      <w:lvlText w:val="（%1）"/>
      <w:lvlJc w:val="left"/>
      <w:pPr>
        <w:tabs>
          <w:tab w:val="left" w:pos="1417"/>
        </w:tabs>
        <w:ind w:left="1417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4E"/>
    <w:rsid w:val="00132B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2018-08-14T06:16:00Z</dcterms:created>
  <dc:creator>门户一部</dc:creator>
  <cp:lastModifiedBy>门户一部</cp:lastModifiedBy>
  <dcterms:modified xsi:type="dcterms:W3CDTF">2018-08-14T06:16:29Z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