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p>
    <w:p>
      <w:pPr>
        <w:jc w:val="center"/>
        <w:rPr>
          <w:rFonts w:eastAsia="黑体"/>
          <w:sz w:val="36"/>
          <w:szCs w:val="36"/>
        </w:rPr>
      </w:pPr>
    </w:p>
    <w:p>
      <w:pPr>
        <w:pStyle w:val="12"/>
        <w:jc w:val="center"/>
        <w:rPr>
          <w:sz w:val="36"/>
          <w:szCs w:val="36"/>
        </w:rPr>
      </w:pPr>
      <w:r>
        <w:rPr>
          <w:sz w:val="36"/>
          <w:szCs w:val="36"/>
        </w:rPr>
        <w:t>T/CSSS-2020-004</w:t>
      </w:r>
    </w:p>
    <w:p>
      <w:pPr>
        <w:pStyle w:val="12"/>
        <w:jc w:val="center"/>
        <w:rPr>
          <w:rFonts w:ascii="黑体" w:eastAsia="黑体" w:cs="黑体"/>
          <w:sz w:val="36"/>
          <w:szCs w:val="36"/>
        </w:rPr>
      </w:pPr>
      <w:r>
        <w:rPr>
          <w:rFonts w:hint="eastAsia" w:ascii="黑体" w:eastAsia="黑体" w:cs="黑体"/>
          <w:sz w:val="36"/>
          <w:szCs w:val="36"/>
        </w:rPr>
        <w:t>《公共体育设施维护管理规范》</w:t>
      </w:r>
    </w:p>
    <w:p>
      <w:pPr>
        <w:pStyle w:val="12"/>
        <w:jc w:val="center"/>
        <w:rPr>
          <w:rFonts w:ascii="黑体" w:eastAsia="黑体" w:cs="黑体"/>
          <w:sz w:val="36"/>
          <w:szCs w:val="36"/>
        </w:rPr>
      </w:pPr>
    </w:p>
    <w:p>
      <w:pPr>
        <w:pStyle w:val="12"/>
        <w:jc w:val="center"/>
        <w:rPr>
          <w:rFonts w:ascii="黑体" w:eastAsia="黑体" w:cs="黑体"/>
          <w:sz w:val="72"/>
          <w:szCs w:val="72"/>
        </w:rPr>
      </w:pPr>
      <w:r>
        <w:rPr>
          <w:rFonts w:hint="eastAsia" w:ascii="黑体" w:eastAsia="黑体" w:cs="黑体"/>
          <w:sz w:val="72"/>
          <w:szCs w:val="72"/>
        </w:rPr>
        <w:t>编</w:t>
      </w:r>
      <w:r>
        <w:rPr>
          <w:rFonts w:ascii="黑体" w:eastAsia="黑体" w:cs="黑体"/>
          <w:sz w:val="72"/>
          <w:szCs w:val="72"/>
        </w:rPr>
        <w:t xml:space="preserve"> </w:t>
      </w:r>
      <w:r>
        <w:rPr>
          <w:rFonts w:hint="eastAsia" w:ascii="黑体" w:eastAsia="黑体" w:cs="黑体"/>
          <w:sz w:val="72"/>
          <w:szCs w:val="72"/>
        </w:rPr>
        <w:t>制</w:t>
      </w:r>
      <w:r>
        <w:rPr>
          <w:rFonts w:ascii="黑体" w:eastAsia="黑体" w:cs="黑体"/>
          <w:sz w:val="72"/>
          <w:szCs w:val="72"/>
        </w:rPr>
        <w:t xml:space="preserve"> </w:t>
      </w:r>
      <w:r>
        <w:rPr>
          <w:rFonts w:hint="eastAsia" w:ascii="黑体" w:eastAsia="黑体" w:cs="黑体"/>
          <w:sz w:val="72"/>
          <w:szCs w:val="72"/>
        </w:rPr>
        <w:t>说</w:t>
      </w:r>
      <w:r>
        <w:rPr>
          <w:rFonts w:ascii="黑体" w:eastAsia="黑体" w:cs="黑体"/>
          <w:sz w:val="72"/>
          <w:szCs w:val="72"/>
        </w:rPr>
        <w:t xml:space="preserve"> </w:t>
      </w:r>
      <w:r>
        <w:rPr>
          <w:rFonts w:hint="eastAsia" w:ascii="黑体" w:eastAsia="黑体" w:cs="黑体"/>
          <w:sz w:val="72"/>
          <w:szCs w:val="72"/>
        </w:rPr>
        <w:t>明</w:t>
      </w: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eastAsia="黑体"/>
          <w:sz w:val="36"/>
          <w:szCs w:val="36"/>
        </w:rPr>
      </w:pPr>
    </w:p>
    <w:p>
      <w:pPr>
        <w:jc w:val="center"/>
        <w:rPr>
          <w:rFonts w:ascii="黑体" w:hAnsi="黑体" w:eastAsia="黑体" w:cs="黑体"/>
          <w:sz w:val="36"/>
          <w:szCs w:val="36"/>
        </w:rPr>
      </w:pPr>
      <w:r>
        <w:rPr>
          <w:rFonts w:ascii="黑体" w:hAnsi="黑体" w:eastAsia="黑体"/>
          <w:sz w:val="36"/>
          <w:szCs w:val="36"/>
        </w:rPr>
        <w:t>2022</w:t>
      </w:r>
      <w:r>
        <w:rPr>
          <w:rFonts w:hint="eastAsia" w:ascii="黑体" w:hAnsi="黑体" w:eastAsia="黑体" w:cs="黑体"/>
          <w:sz w:val="36"/>
          <w:szCs w:val="36"/>
        </w:rPr>
        <w:t>年</w:t>
      </w:r>
      <w:r>
        <w:rPr>
          <w:rFonts w:ascii="黑体" w:hAnsi="黑体" w:eastAsia="黑体"/>
          <w:sz w:val="36"/>
          <w:szCs w:val="36"/>
        </w:rPr>
        <w:t>9</w:t>
      </w:r>
      <w:r>
        <w:rPr>
          <w:rFonts w:hint="eastAsia" w:ascii="黑体" w:hAnsi="黑体" w:eastAsia="黑体" w:cs="黑体"/>
          <w:sz w:val="36"/>
          <w:szCs w:val="36"/>
        </w:rPr>
        <w:t>月</w:t>
      </w:r>
      <w:r>
        <w:rPr>
          <w:rFonts w:ascii="黑体" w:hAnsi="黑体" w:eastAsia="黑体" w:cs="黑体"/>
          <w:sz w:val="36"/>
          <w:szCs w:val="36"/>
        </w:rPr>
        <w:t>5</w:t>
      </w:r>
      <w:r>
        <w:rPr>
          <w:rFonts w:hint="eastAsia" w:ascii="黑体" w:hAnsi="黑体" w:eastAsia="黑体" w:cs="黑体"/>
          <w:sz w:val="36"/>
          <w:szCs w:val="36"/>
        </w:rPr>
        <w:t>日</w:t>
      </w:r>
    </w:p>
    <w:p>
      <w:pPr>
        <w:rPr>
          <w:rFonts w:ascii="黑体" w:hAnsi="黑体" w:eastAsia="黑体"/>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68760762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7"/>
          </w:pPr>
          <w:r>
            <w:rPr>
              <w:lang w:val="zh-CN"/>
            </w:rPr>
            <w:t>目录</w:t>
          </w:r>
        </w:p>
        <w:p>
          <w:pPr>
            <w:pStyle w:val="7"/>
            <w:tabs>
              <w:tab w:val="left" w:pos="840"/>
              <w:tab w:val="right" w:leader="dot" w:pos="8296"/>
            </w:tabs>
          </w:pPr>
          <w:r>
            <w:fldChar w:fldCharType="begin"/>
          </w:r>
          <w:r>
            <w:instrText xml:space="preserve"> TOC \o "1-3" \h \z \u </w:instrText>
          </w:r>
          <w:r>
            <w:fldChar w:fldCharType="separate"/>
          </w:r>
          <w:r>
            <w:fldChar w:fldCharType="begin"/>
          </w:r>
          <w:r>
            <w:instrText xml:space="preserve"> HYPERLINK \l "_Toc113339802" </w:instrText>
          </w:r>
          <w:r>
            <w:fldChar w:fldCharType="separate"/>
          </w:r>
          <w:r>
            <w:rPr>
              <w:rStyle w:val="11"/>
              <w:rFonts w:ascii="仿宋" w:hAnsi="仿宋" w:eastAsia="仿宋"/>
            </w:rPr>
            <w:t>一、</w:t>
          </w:r>
          <w:r>
            <w:tab/>
          </w:r>
          <w:r>
            <w:rPr>
              <w:rStyle w:val="11"/>
              <w:rFonts w:ascii="仿宋" w:hAnsi="仿宋" w:eastAsia="仿宋"/>
            </w:rPr>
            <w:t>工作内容</w:t>
          </w:r>
          <w:r>
            <w:tab/>
          </w:r>
          <w:r>
            <w:fldChar w:fldCharType="begin"/>
          </w:r>
          <w:r>
            <w:instrText xml:space="preserve"> PAGEREF _Toc113339802 \h </w:instrText>
          </w:r>
          <w:r>
            <w:fldChar w:fldCharType="separate"/>
          </w:r>
          <w:r>
            <w:t>1</w:t>
          </w:r>
          <w:r>
            <w:fldChar w:fldCharType="end"/>
          </w:r>
          <w:r>
            <w:fldChar w:fldCharType="end"/>
          </w:r>
        </w:p>
        <w:p>
          <w:pPr>
            <w:pStyle w:val="8"/>
            <w:tabs>
              <w:tab w:val="left" w:pos="1050"/>
              <w:tab w:val="right" w:leader="dot" w:pos="8296"/>
            </w:tabs>
          </w:pPr>
          <w:r>
            <w:fldChar w:fldCharType="begin"/>
          </w:r>
          <w:r>
            <w:instrText xml:space="preserve"> HYPERLINK \l "_Toc113339803" </w:instrText>
          </w:r>
          <w:r>
            <w:fldChar w:fldCharType="separate"/>
          </w:r>
          <w:r>
            <w:rPr>
              <w:rStyle w:val="11"/>
              <w:rFonts w:ascii="仿宋" w:hAnsi="仿宋" w:eastAsia="仿宋"/>
            </w:rPr>
            <w:t>1.</w:t>
          </w:r>
          <w:r>
            <w:tab/>
          </w:r>
          <w:r>
            <w:rPr>
              <w:rStyle w:val="11"/>
              <w:rFonts w:ascii="仿宋" w:hAnsi="仿宋" w:eastAsia="仿宋"/>
            </w:rPr>
            <w:t>任务来源</w:t>
          </w:r>
          <w:r>
            <w:tab/>
          </w:r>
          <w:r>
            <w:fldChar w:fldCharType="begin"/>
          </w:r>
          <w:r>
            <w:instrText xml:space="preserve"> PAGEREF _Toc113339803 \h </w:instrText>
          </w:r>
          <w:r>
            <w:fldChar w:fldCharType="separate"/>
          </w:r>
          <w:r>
            <w:t>1</w:t>
          </w:r>
          <w:r>
            <w:fldChar w:fldCharType="end"/>
          </w:r>
          <w:r>
            <w:fldChar w:fldCharType="end"/>
          </w:r>
        </w:p>
        <w:p>
          <w:pPr>
            <w:pStyle w:val="8"/>
            <w:tabs>
              <w:tab w:val="left" w:pos="1050"/>
              <w:tab w:val="right" w:leader="dot" w:pos="8296"/>
            </w:tabs>
          </w:pPr>
          <w:r>
            <w:fldChar w:fldCharType="begin"/>
          </w:r>
          <w:r>
            <w:instrText xml:space="preserve"> HYPERLINK \l "_Toc113339804" </w:instrText>
          </w:r>
          <w:r>
            <w:fldChar w:fldCharType="separate"/>
          </w:r>
          <w:r>
            <w:rPr>
              <w:rStyle w:val="11"/>
              <w:rFonts w:ascii="仿宋" w:hAnsi="仿宋" w:eastAsia="仿宋"/>
            </w:rPr>
            <w:t>2.</w:t>
          </w:r>
          <w:r>
            <w:tab/>
          </w:r>
          <w:r>
            <w:rPr>
              <w:rStyle w:val="11"/>
              <w:rFonts w:ascii="仿宋" w:hAnsi="仿宋" w:eastAsia="仿宋"/>
            </w:rPr>
            <w:t>起草单位</w:t>
          </w:r>
          <w:r>
            <w:tab/>
          </w:r>
          <w:r>
            <w:fldChar w:fldCharType="begin"/>
          </w:r>
          <w:r>
            <w:instrText xml:space="preserve"> PAGEREF _Toc113339804 \h </w:instrText>
          </w:r>
          <w:r>
            <w:fldChar w:fldCharType="separate"/>
          </w:r>
          <w:r>
            <w:t>1</w:t>
          </w:r>
          <w:r>
            <w:fldChar w:fldCharType="end"/>
          </w:r>
          <w:r>
            <w:fldChar w:fldCharType="end"/>
          </w:r>
        </w:p>
        <w:p>
          <w:pPr>
            <w:pStyle w:val="8"/>
            <w:tabs>
              <w:tab w:val="left" w:pos="1050"/>
              <w:tab w:val="right" w:leader="dot" w:pos="8296"/>
            </w:tabs>
          </w:pPr>
          <w:r>
            <w:fldChar w:fldCharType="begin"/>
          </w:r>
          <w:r>
            <w:instrText xml:space="preserve"> HYPERLINK \l "_Toc113339805" </w:instrText>
          </w:r>
          <w:r>
            <w:fldChar w:fldCharType="separate"/>
          </w:r>
          <w:r>
            <w:rPr>
              <w:rStyle w:val="11"/>
              <w:rFonts w:ascii="仿宋" w:hAnsi="仿宋" w:eastAsia="仿宋"/>
            </w:rPr>
            <w:t>3.</w:t>
          </w:r>
          <w:r>
            <w:tab/>
          </w:r>
          <w:r>
            <w:rPr>
              <w:rStyle w:val="11"/>
              <w:rFonts w:ascii="仿宋" w:hAnsi="仿宋" w:eastAsia="仿宋"/>
            </w:rPr>
            <w:t>协作单位</w:t>
          </w:r>
          <w:r>
            <w:tab/>
          </w:r>
          <w:r>
            <w:fldChar w:fldCharType="begin"/>
          </w:r>
          <w:r>
            <w:instrText xml:space="preserve"> PAGEREF _Toc113339805 \h </w:instrText>
          </w:r>
          <w:r>
            <w:fldChar w:fldCharType="separate"/>
          </w:r>
          <w:r>
            <w:t>1</w:t>
          </w:r>
          <w:r>
            <w:fldChar w:fldCharType="end"/>
          </w:r>
          <w:r>
            <w:fldChar w:fldCharType="end"/>
          </w:r>
        </w:p>
        <w:p>
          <w:pPr>
            <w:pStyle w:val="8"/>
            <w:tabs>
              <w:tab w:val="left" w:pos="1050"/>
              <w:tab w:val="right" w:leader="dot" w:pos="8296"/>
            </w:tabs>
          </w:pPr>
          <w:r>
            <w:fldChar w:fldCharType="begin"/>
          </w:r>
          <w:r>
            <w:instrText xml:space="preserve"> HYPERLINK \l "_Toc113339806" </w:instrText>
          </w:r>
          <w:r>
            <w:fldChar w:fldCharType="separate"/>
          </w:r>
          <w:r>
            <w:rPr>
              <w:rStyle w:val="11"/>
              <w:rFonts w:ascii="仿宋" w:hAnsi="仿宋" w:eastAsia="仿宋"/>
            </w:rPr>
            <w:t>4.</w:t>
          </w:r>
          <w:r>
            <w:tab/>
          </w:r>
          <w:r>
            <w:rPr>
              <w:rStyle w:val="11"/>
              <w:rFonts w:ascii="仿宋" w:hAnsi="仿宋" w:eastAsia="仿宋"/>
            </w:rPr>
            <w:t>主要起草人</w:t>
          </w:r>
          <w:r>
            <w:tab/>
          </w:r>
          <w:r>
            <w:fldChar w:fldCharType="begin"/>
          </w:r>
          <w:r>
            <w:instrText xml:space="preserve"> PAGEREF _Toc113339806 \h </w:instrText>
          </w:r>
          <w:r>
            <w:fldChar w:fldCharType="separate"/>
          </w:r>
          <w:r>
            <w:t>1</w:t>
          </w:r>
          <w:r>
            <w:fldChar w:fldCharType="end"/>
          </w:r>
          <w:r>
            <w:fldChar w:fldCharType="end"/>
          </w:r>
        </w:p>
        <w:p>
          <w:pPr>
            <w:pStyle w:val="7"/>
            <w:tabs>
              <w:tab w:val="left" w:pos="840"/>
              <w:tab w:val="right" w:leader="dot" w:pos="8296"/>
            </w:tabs>
          </w:pPr>
          <w:r>
            <w:fldChar w:fldCharType="begin"/>
          </w:r>
          <w:r>
            <w:instrText xml:space="preserve"> HYPERLINK \l "_Toc113339807" </w:instrText>
          </w:r>
          <w:r>
            <w:fldChar w:fldCharType="separate"/>
          </w:r>
          <w:r>
            <w:rPr>
              <w:rStyle w:val="11"/>
              <w:rFonts w:ascii="仿宋" w:hAnsi="仿宋" w:eastAsia="仿宋"/>
            </w:rPr>
            <w:t>二、</w:t>
          </w:r>
          <w:r>
            <w:tab/>
          </w:r>
          <w:r>
            <w:rPr>
              <w:rStyle w:val="11"/>
              <w:rFonts w:ascii="仿宋" w:hAnsi="仿宋" w:eastAsia="仿宋"/>
            </w:rPr>
            <w:t>制定标准的必要性和意义</w:t>
          </w:r>
          <w:r>
            <w:tab/>
          </w:r>
          <w:r>
            <w:fldChar w:fldCharType="begin"/>
          </w:r>
          <w:r>
            <w:instrText xml:space="preserve"> PAGEREF _Toc113339807 \h </w:instrText>
          </w:r>
          <w:r>
            <w:fldChar w:fldCharType="separate"/>
          </w:r>
          <w:r>
            <w:t>1</w:t>
          </w:r>
          <w:r>
            <w:fldChar w:fldCharType="end"/>
          </w:r>
          <w:r>
            <w:fldChar w:fldCharType="end"/>
          </w:r>
        </w:p>
        <w:p>
          <w:pPr>
            <w:pStyle w:val="7"/>
            <w:tabs>
              <w:tab w:val="left" w:pos="840"/>
              <w:tab w:val="right" w:leader="dot" w:pos="8296"/>
            </w:tabs>
          </w:pPr>
          <w:r>
            <w:fldChar w:fldCharType="begin"/>
          </w:r>
          <w:r>
            <w:instrText xml:space="preserve"> HYPERLINK \l "_Toc113339808" </w:instrText>
          </w:r>
          <w:r>
            <w:fldChar w:fldCharType="separate"/>
          </w:r>
          <w:r>
            <w:rPr>
              <w:rStyle w:val="11"/>
              <w:rFonts w:ascii="仿宋" w:hAnsi="仿宋" w:eastAsia="仿宋"/>
            </w:rPr>
            <w:t>三、</w:t>
          </w:r>
          <w:r>
            <w:tab/>
          </w:r>
          <w:r>
            <w:rPr>
              <w:rStyle w:val="11"/>
              <w:rFonts w:ascii="仿宋" w:hAnsi="仿宋" w:eastAsia="仿宋"/>
            </w:rPr>
            <w:t>主要工作过程</w:t>
          </w:r>
          <w:r>
            <w:tab/>
          </w:r>
          <w:r>
            <w:fldChar w:fldCharType="begin"/>
          </w:r>
          <w:r>
            <w:instrText xml:space="preserve"> PAGEREF _Toc113339808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"_Toc113339809" </w:instrText>
          </w:r>
          <w:r>
            <w:fldChar w:fldCharType="separate"/>
          </w:r>
          <w:r>
            <w:rPr>
              <w:rStyle w:val="11"/>
              <w:rFonts w:ascii="仿宋" w:hAnsi="仿宋" w:eastAsia="仿宋"/>
            </w:rPr>
            <w:t>1.</w:t>
          </w:r>
          <w:r>
            <w:tab/>
          </w:r>
          <w:r>
            <w:rPr>
              <w:rStyle w:val="11"/>
              <w:rFonts w:ascii="仿宋" w:hAnsi="仿宋" w:eastAsia="仿宋"/>
            </w:rPr>
            <w:t>筹备阶段</w:t>
          </w:r>
          <w:r>
            <w:tab/>
          </w:r>
          <w:r>
            <w:fldChar w:fldCharType="begin"/>
          </w:r>
          <w:r>
            <w:instrText xml:space="preserve"> PAGEREF _Toc113339809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"_Toc113339810" </w:instrText>
          </w:r>
          <w:r>
            <w:fldChar w:fldCharType="separate"/>
          </w:r>
          <w:r>
            <w:rPr>
              <w:rStyle w:val="11"/>
              <w:rFonts w:ascii="仿宋" w:hAnsi="仿宋" w:eastAsia="仿宋"/>
            </w:rPr>
            <w:t>2.</w:t>
          </w:r>
          <w:r>
            <w:tab/>
          </w:r>
          <w:r>
            <w:rPr>
              <w:rStyle w:val="11"/>
              <w:rFonts w:ascii="仿宋" w:hAnsi="仿宋" w:eastAsia="仿宋"/>
            </w:rPr>
            <w:t>标准草案拟定阶段</w:t>
          </w:r>
          <w:r>
            <w:tab/>
          </w:r>
          <w:r>
            <w:fldChar w:fldCharType="begin"/>
          </w:r>
          <w:r>
            <w:instrText xml:space="preserve"> PAGEREF _Toc113339810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"_Toc113339811" </w:instrText>
          </w:r>
          <w:r>
            <w:fldChar w:fldCharType="separate"/>
          </w:r>
          <w:r>
            <w:rPr>
              <w:rStyle w:val="11"/>
              <w:rFonts w:ascii="仿宋" w:hAnsi="仿宋" w:eastAsia="仿宋"/>
            </w:rPr>
            <w:t>3.</w:t>
          </w:r>
          <w:r>
            <w:tab/>
          </w:r>
          <w:r>
            <w:rPr>
              <w:rStyle w:val="11"/>
              <w:rFonts w:ascii="仿宋" w:hAnsi="仿宋" w:eastAsia="仿宋"/>
            </w:rPr>
            <w:t>标准立项申报</w:t>
          </w:r>
          <w:r>
            <w:tab/>
          </w:r>
          <w:r>
            <w:fldChar w:fldCharType="begin"/>
          </w:r>
          <w:r>
            <w:instrText xml:space="preserve"> PAGEREF _Toc113339811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"_Toc113339812" </w:instrText>
          </w:r>
          <w:r>
            <w:fldChar w:fldCharType="separate"/>
          </w:r>
          <w:r>
            <w:rPr>
              <w:rStyle w:val="11"/>
              <w:rFonts w:ascii="仿宋" w:hAnsi="仿宋" w:eastAsia="仿宋"/>
            </w:rPr>
            <w:t>4.</w:t>
          </w:r>
          <w:r>
            <w:tab/>
          </w:r>
          <w:r>
            <w:rPr>
              <w:rStyle w:val="11"/>
              <w:rFonts w:ascii="仿宋" w:hAnsi="仿宋" w:eastAsia="仿宋"/>
            </w:rPr>
            <w:t>标准论证会与标准修订</w:t>
          </w:r>
          <w:r>
            <w:tab/>
          </w:r>
          <w:r>
            <w:fldChar w:fldCharType="begin"/>
          </w:r>
          <w:r>
            <w:instrText xml:space="preserve"> PAGEREF _Toc113339812 \h </w:instrText>
          </w:r>
          <w:r>
            <w:fldChar w:fldCharType="separate"/>
          </w:r>
          <w:r>
            <w:t>2</w:t>
          </w:r>
          <w:r>
            <w:fldChar w:fldCharType="end"/>
          </w:r>
          <w:r>
            <w:fldChar w:fldCharType="end"/>
          </w:r>
        </w:p>
        <w:p>
          <w:pPr>
            <w:pStyle w:val="7"/>
            <w:tabs>
              <w:tab w:val="left" w:pos="840"/>
              <w:tab w:val="right" w:leader="dot" w:pos="8296"/>
            </w:tabs>
          </w:pPr>
          <w:r>
            <w:fldChar w:fldCharType="begin"/>
          </w:r>
          <w:r>
            <w:instrText xml:space="preserve"> HYPERLINK \l "_Toc113339813" </w:instrText>
          </w:r>
          <w:r>
            <w:fldChar w:fldCharType="separate"/>
          </w:r>
          <w:r>
            <w:rPr>
              <w:rStyle w:val="11"/>
              <w:rFonts w:ascii="仿宋" w:hAnsi="仿宋" w:eastAsia="仿宋"/>
            </w:rPr>
            <w:t>四、</w:t>
          </w:r>
          <w:r>
            <w:tab/>
          </w:r>
          <w:r>
            <w:rPr>
              <w:rStyle w:val="11"/>
              <w:rFonts w:ascii="仿宋" w:hAnsi="仿宋" w:eastAsia="仿宋"/>
            </w:rPr>
            <w:t>制定标准的原则和依据，与现行法律、法规、标准的关系</w:t>
          </w:r>
          <w:r>
            <w:tab/>
          </w:r>
          <w:r>
            <w:fldChar w:fldCharType="begin"/>
          </w:r>
          <w:r>
            <w:instrText xml:space="preserve"> PAGEREF _Toc113339813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"_Toc113339814" </w:instrText>
          </w:r>
          <w:r>
            <w:fldChar w:fldCharType="separate"/>
          </w:r>
          <w:r>
            <w:rPr>
              <w:rStyle w:val="11"/>
              <w:rFonts w:ascii="仿宋" w:hAnsi="仿宋" w:eastAsia="仿宋"/>
            </w:rPr>
            <w:t>1.</w:t>
          </w:r>
          <w:r>
            <w:tab/>
          </w:r>
          <w:r>
            <w:rPr>
              <w:rStyle w:val="11"/>
              <w:rFonts w:ascii="仿宋" w:hAnsi="仿宋" w:eastAsia="仿宋"/>
            </w:rPr>
            <w:t>制定标准的原则和依据</w:t>
          </w:r>
          <w:r>
            <w:tab/>
          </w:r>
          <w:r>
            <w:fldChar w:fldCharType="begin"/>
          </w:r>
          <w:r>
            <w:instrText xml:space="preserve"> PAGEREF _Toc113339814 \h </w:instrText>
          </w:r>
          <w:r>
            <w:fldChar w:fldCharType="separate"/>
          </w:r>
          <w:r>
            <w:t>2</w:t>
          </w:r>
          <w:r>
            <w:fldChar w:fldCharType="end"/>
          </w:r>
          <w:r>
            <w:fldChar w:fldCharType="end"/>
          </w:r>
        </w:p>
        <w:p>
          <w:pPr>
            <w:pStyle w:val="8"/>
            <w:tabs>
              <w:tab w:val="left" w:pos="1050"/>
              <w:tab w:val="right" w:leader="dot" w:pos="8296"/>
            </w:tabs>
          </w:pPr>
          <w:r>
            <w:fldChar w:fldCharType="begin"/>
          </w:r>
          <w:r>
            <w:instrText xml:space="preserve"> HYPERLINK \l "_Toc113339815" </w:instrText>
          </w:r>
          <w:r>
            <w:fldChar w:fldCharType="separate"/>
          </w:r>
          <w:r>
            <w:rPr>
              <w:rStyle w:val="11"/>
              <w:rFonts w:ascii="仿宋" w:hAnsi="仿宋" w:eastAsia="仿宋"/>
            </w:rPr>
            <w:t>2.</w:t>
          </w:r>
          <w:r>
            <w:tab/>
          </w:r>
          <w:r>
            <w:rPr>
              <w:rStyle w:val="11"/>
              <w:rFonts w:ascii="仿宋" w:hAnsi="仿宋" w:eastAsia="仿宋"/>
            </w:rPr>
            <w:t>与现行法律、法规、标准的关系</w:t>
          </w:r>
          <w:r>
            <w:tab/>
          </w:r>
          <w:r>
            <w:fldChar w:fldCharType="begin"/>
          </w:r>
          <w:r>
            <w:instrText xml:space="preserve"> PAGEREF _Toc113339815 \h </w:instrText>
          </w:r>
          <w:r>
            <w:fldChar w:fldCharType="separate"/>
          </w:r>
          <w:r>
            <w:t>3</w:t>
          </w:r>
          <w:r>
            <w:fldChar w:fldCharType="end"/>
          </w:r>
          <w:r>
            <w:fldChar w:fldCharType="end"/>
          </w:r>
        </w:p>
        <w:p>
          <w:pPr>
            <w:pStyle w:val="7"/>
            <w:tabs>
              <w:tab w:val="left" w:pos="840"/>
              <w:tab w:val="right" w:leader="dot" w:pos="8296"/>
            </w:tabs>
          </w:pPr>
          <w:r>
            <w:fldChar w:fldCharType="begin"/>
          </w:r>
          <w:r>
            <w:instrText xml:space="preserve"> HYPERLINK \l "_Toc113339816" </w:instrText>
          </w:r>
          <w:r>
            <w:fldChar w:fldCharType="separate"/>
          </w:r>
          <w:r>
            <w:rPr>
              <w:rStyle w:val="11"/>
              <w:rFonts w:ascii="仿宋" w:hAnsi="仿宋" w:eastAsia="仿宋"/>
            </w:rPr>
            <w:t>五、</w:t>
          </w:r>
          <w:r>
            <w:tab/>
          </w:r>
          <w:r>
            <w:rPr>
              <w:rStyle w:val="11"/>
              <w:rFonts w:ascii="仿宋" w:hAnsi="仿宋" w:eastAsia="仿宋"/>
            </w:rPr>
            <w:t>主要条款的说明，主要技术指标、参数、实验验证的论述。</w:t>
          </w:r>
          <w:r>
            <w:tab/>
          </w:r>
          <w:r>
            <w:fldChar w:fldCharType="begin"/>
          </w:r>
          <w:r>
            <w:instrText xml:space="preserve"> PAGEREF _Toc113339816 \h </w:instrText>
          </w:r>
          <w:r>
            <w:fldChar w:fldCharType="separate"/>
          </w:r>
          <w:r>
            <w:t>4</w:t>
          </w:r>
          <w:r>
            <w:fldChar w:fldCharType="end"/>
          </w:r>
          <w:r>
            <w:fldChar w:fldCharType="end"/>
          </w:r>
        </w:p>
        <w:p>
          <w:pPr>
            <w:pStyle w:val="7"/>
            <w:tabs>
              <w:tab w:val="left" w:pos="840"/>
              <w:tab w:val="right" w:leader="dot" w:pos="8296"/>
            </w:tabs>
          </w:pPr>
          <w:r>
            <w:fldChar w:fldCharType="begin"/>
          </w:r>
          <w:r>
            <w:instrText xml:space="preserve"> HYPERLINK \l "_Toc113339817" </w:instrText>
          </w:r>
          <w:r>
            <w:fldChar w:fldCharType="separate"/>
          </w:r>
          <w:r>
            <w:rPr>
              <w:rStyle w:val="11"/>
              <w:rFonts w:ascii="仿宋" w:hAnsi="仿宋" w:eastAsia="仿宋"/>
            </w:rPr>
            <w:t>六、</w:t>
          </w:r>
          <w:r>
            <w:tab/>
          </w:r>
          <w:r>
            <w:rPr>
              <w:rStyle w:val="11"/>
              <w:rFonts w:ascii="仿宋" w:hAnsi="仿宋" w:eastAsia="仿宋"/>
            </w:rPr>
            <w:t>重大意见分歧的处理依据和结果。</w:t>
          </w:r>
          <w:r>
            <w:tab/>
          </w:r>
          <w:r>
            <w:fldChar w:fldCharType="begin"/>
          </w:r>
          <w:r>
            <w:instrText xml:space="preserve"> PAGEREF _Toc113339817 \h </w:instrText>
          </w:r>
          <w:r>
            <w:fldChar w:fldCharType="separate"/>
          </w:r>
          <w:r>
            <w:t>5</w:t>
          </w:r>
          <w:r>
            <w:fldChar w:fldCharType="end"/>
          </w:r>
          <w:r>
            <w:fldChar w:fldCharType="end"/>
          </w:r>
        </w:p>
        <w:p>
          <w:pPr>
            <w:pStyle w:val="7"/>
            <w:tabs>
              <w:tab w:val="left" w:pos="840"/>
              <w:tab w:val="right" w:leader="dot" w:pos="8296"/>
            </w:tabs>
          </w:pPr>
          <w:r>
            <w:fldChar w:fldCharType="begin"/>
          </w:r>
          <w:r>
            <w:instrText xml:space="preserve"> HYPERLINK \l "_Toc113339818" </w:instrText>
          </w:r>
          <w:r>
            <w:fldChar w:fldCharType="separate"/>
          </w:r>
          <w:r>
            <w:rPr>
              <w:rStyle w:val="11"/>
              <w:rFonts w:ascii="仿宋" w:hAnsi="仿宋" w:eastAsia="仿宋"/>
            </w:rPr>
            <w:t>七、</w:t>
          </w:r>
          <w:r>
            <w:tab/>
          </w:r>
          <w:r>
            <w:rPr>
              <w:rStyle w:val="11"/>
              <w:rFonts w:ascii="仿宋" w:hAnsi="仿宋" w:eastAsia="仿宋"/>
            </w:rPr>
            <w:t>与国内外同类标准水平的对比情况。</w:t>
          </w:r>
          <w:r>
            <w:tab/>
          </w:r>
          <w:r>
            <w:fldChar w:fldCharType="begin"/>
          </w:r>
          <w:r>
            <w:instrText xml:space="preserve"> PAGEREF _Toc113339818 \h </w:instrText>
          </w:r>
          <w:r>
            <w:fldChar w:fldCharType="separate"/>
          </w:r>
          <w:r>
            <w:t>5</w:t>
          </w:r>
          <w:r>
            <w:fldChar w:fldCharType="end"/>
          </w:r>
          <w:r>
            <w:fldChar w:fldCharType="end"/>
          </w:r>
        </w:p>
        <w:p>
          <w:pPr>
            <w:pStyle w:val="7"/>
            <w:tabs>
              <w:tab w:val="left" w:pos="840"/>
              <w:tab w:val="right" w:leader="dot" w:pos="8296"/>
            </w:tabs>
          </w:pPr>
          <w:r>
            <w:fldChar w:fldCharType="begin"/>
          </w:r>
          <w:r>
            <w:instrText xml:space="preserve"> HYPERLINK \l "_Toc113339819" </w:instrText>
          </w:r>
          <w:r>
            <w:fldChar w:fldCharType="separate"/>
          </w:r>
          <w:r>
            <w:rPr>
              <w:rStyle w:val="11"/>
              <w:rFonts w:ascii="仿宋" w:hAnsi="仿宋" w:eastAsia="仿宋"/>
            </w:rPr>
            <w:t>八、</w:t>
          </w:r>
          <w:r>
            <w:tab/>
          </w:r>
          <w:r>
            <w:rPr>
              <w:rStyle w:val="11"/>
              <w:rFonts w:ascii="仿宋" w:hAnsi="仿宋" w:eastAsia="仿宋"/>
            </w:rPr>
            <w:t>实施标准的措施</w:t>
          </w:r>
          <w:r>
            <w:tab/>
          </w:r>
          <w:r>
            <w:fldChar w:fldCharType="begin"/>
          </w:r>
          <w:r>
            <w:instrText xml:space="preserve"> PAGEREF _Toc113339819 \h </w:instrText>
          </w:r>
          <w:r>
            <w:fldChar w:fldCharType="separate"/>
          </w:r>
          <w:r>
            <w:t>5</w:t>
          </w:r>
          <w:r>
            <w:fldChar w:fldCharType="end"/>
          </w:r>
          <w:r>
            <w:fldChar w:fldCharType="end"/>
          </w:r>
        </w:p>
        <w:p>
          <w:pPr>
            <w:pStyle w:val="8"/>
            <w:tabs>
              <w:tab w:val="left" w:pos="1050"/>
              <w:tab w:val="right" w:leader="dot" w:pos="8296"/>
            </w:tabs>
          </w:pPr>
          <w:r>
            <w:fldChar w:fldCharType="begin"/>
          </w:r>
          <w:r>
            <w:instrText xml:space="preserve"> HYPERLINK \l "_Toc113339820" </w:instrText>
          </w:r>
          <w:r>
            <w:fldChar w:fldCharType="separate"/>
          </w:r>
          <w:r>
            <w:rPr>
              <w:rStyle w:val="11"/>
              <w:rFonts w:ascii="仿宋" w:hAnsi="仿宋" w:eastAsia="仿宋"/>
            </w:rPr>
            <w:t>1.</w:t>
          </w:r>
          <w:r>
            <w:tab/>
          </w:r>
          <w:r>
            <w:rPr>
              <w:rStyle w:val="11"/>
              <w:rFonts w:ascii="仿宋" w:hAnsi="仿宋" w:eastAsia="仿宋"/>
            </w:rPr>
            <w:t>保障措施</w:t>
          </w:r>
          <w:r>
            <w:tab/>
          </w:r>
          <w:r>
            <w:fldChar w:fldCharType="begin"/>
          </w:r>
          <w:r>
            <w:instrText xml:space="preserve"> PAGEREF _Toc113339820 \h </w:instrText>
          </w:r>
          <w:r>
            <w:fldChar w:fldCharType="separate"/>
          </w:r>
          <w:r>
            <w:t>5</w:t>
          </w:r>
          <w:r>
            <w:fldChar w:fldCharType="end"/>
          </w:r>
          <w:r>
            <w:fldChar w:fldCharType="end"/>
          </w:r>
        </w:p>
        <w:p>
          <w:pPr>
            <w:pStyle w:val="8"/>
            <w:tabs>
              <w:tab w:val="left" w:pos="1050"/>
              <w:tab w:val="right" w:leader="dot" w:pos="8296"/>
            </w:tabs>
          </w:pPr>
          <w:r>
            <w:fldChar w:fldCharType="begin"/>
          </w:r>
          <w:r>
            <w:instrText xml:space="preserve"> HYPERLINK \l "_Toc113339821" </w:instrText>
          </w:r>
          <w:r>
            <w:fldChar w:fldCharType="separate"/>
          </w:r>
          <w:r>
            <w:rPr>
              <w:rStyle w:val="11"/>
              <w:rFonts w:ascii="仿宋" w:hAnsi="仿宋" w:eastAsia="仿宋"/>
            </w:rPr>
            <w:t>2.</w:t>
          </w:r>
          <w:r>
            <w:tab/>
          </w:r>
          <w:r>
            <w:rPr>
              <w:rStyle w:val="11"/>
              <w:rFonts w:ascii="仿宋" w:hAnsi="仿宋" w:eastAsia="仿宋"/>
            </w:rPr>
            <w:t>标准的培训</w:t>
          </w:r>
          <w:r>
            <w:tab/>
          </w:r>
          <w:r>
            <w:fldChar w:fldCharType="begin"/>
          </w:r>
          <w:r>
            <w:instrText xml:space="preserve"> PAGEREF _Toc113339821 \h </w:instrText>
          </w:r>
          <w:r>
            <w:fldChar w:fldCharType="separate"/>
          </w:r>
          <w:r>
            <w:t>6</w:t>
          </w:r>
          <w:r>
            <w:fldChar w:fldCharType="end"/>
          </w:r>
          <w:r>
            <w:fldChar w:fldCharType="end"/>
          </w:r>
        </w:p>
        <w:p>
          <w:pPr>
            <w:pStyle w:val="8"/>
            <w:tabs>
              <w:tab w:val="left" w:pos="1050"/>
              <w:tab w:val="right" w:leader="dot" w:pos="8296"/>
            </w:tabs>
          </w:pPr>
          <w:r>
            <w:fldChar w:fldCharType="begin"/>
          </w:r>
          <w:r>
            <w:instrText xml:space="preserve"> HYPERLINK \l "_Toc113339822" </w:instrText>
          </w:r>
          <w:r>
            <w:fldChar w:fldCharType="separate"/>
          </w:r>
          <w:r>
            <w:rPr>
              <w:rStyle w:val="11"/>
              <w:rFonts w:ascii="仿宋" w:hAnsi="仿宋" w:eastAsia="仿宋"/>
            </w:rPr>
            <w:t>3.</w:t>
          </w:r>
          <w:r>
            <w:tab/>
          </w:r>
          <w:r>
            <w:rPr>
              <w:rStyle w:val="11"/>
              <w:rFonts w:ascii="仿宋" w:hAnsi="仿宋" w:eastAsia="仿宋"/>
            </w:rPr>
            <w:t>试点示范</w:t>
          </w:r>
          <w:r>
            <w:tab/>
          </w:r>
          <w:r>
            <w:fldChar w:fldCharType="begin"/>
          </w:r>
          <w:r>
            <w:instrText xml:space="preserve"> PAGEREF _Toc113339822 \h </w:instrText>
          </w:r>
          <w:r>
            <w:fldChar w:fldCharType="separate"/>
          </w:r>
          <w:r>
            <w:t>6</w:t>
          </w:r>
          <w:r>
            <w:fldChar w:fldCharType="end"/>
          </w:r>
          <w:r>
            <w:fldChar w:fldCharType="end"/>
          </w:r>
        </w:p>
        <w:p>
          <w:pPr>
            <w:pStyle w:val="8"/>
            <w:tabs>
              <w:tab w:val="left" w:pos="1050"/>
              <w:tab w:val="right" w:leader="dot" w:pos="8296"/>
            </w:tabs>
          </w:pPr>
          <w:r>
            <w:fldChar w:fldCharType="begin"/>
          </w:r>
          <w:r>
            <w:instrText xml:space="preserve"> HYPERLINK \l "_Toc113339823" </w:instrText>
          </w:r>
          <w:r>
            <w:fldChar w:fldCharType="separate"/>
          </w:r>
          <w:r>
            <w:rPr>
              <w:rStyle w:val="11"/>
              <w:rFonts w:ascii="仿宋" w:hAnsi="仿宋" w:eastAsia="仿宋"/>
            </w:rPr>
            <w:t>4.</w:t>
          </w:r>
          <w:r>
            <w:tab/>
          </w:r>
          <w:r>
            <w:rPr>
              <w:rStyle w:val="11"/>
              <w:rFonts w:ascii="仿宋" w:hAnsi="仿宋" w:eastAsia="仿宋"/>
            </w:rPr>
            <w:t>经费落实情况</w:t>
          </w:r>
          <w:r>
            <w:tab/>
          </w:r>
          <w:r>
            <w:fldChar w:fldCharType="begin"/>
          </w:r>
          <w:r>
            <w:instrText xml:space="preserve"> PAGEREF _Toc113339823 \h </w:instrText>
          </w:r>
          <w:r>
            <w:fldChar w:fldCharType="separate"/>
          </w:r>
          <w:r>
            <w:t>6</w:t>
          </w:r>
          <w:r>
            <w:fldChar w:fldCharType="end"/>
          </w:r>
          <w:r>
            <w:fldChar w:fldCharType="end"/>
          </w:r>
        </w:p>
        <w:p>
          <w:pPr>
            <w:pStyle w:val="7"/>
            <w:tabs>
              <w:tab w:val="left" w:pos="840"/>
              <w:tab w:val="right" w:leader="dot" w:pos="8296"/>
            </w:tabs>
          </w:pPr>
          <w:r>
            <w:fldChar w:fldCharType="begin"/>
          </w:r>
          <w:r>
            <w:instrText xml:space="preserve"> HYPERLINK \l "_Toc113339824" </w:instrText>
          </w:r>
          <w:r>
            <w:fldChar w:fldCharType="separate"/>
          </w:r>
          <w:r>
            <w:rPr>
              <w:rStyle w:val="11"/>
              <w:rFonts w:ascii="仿宋" w:hAnsi="仿宋" w:eastAsia="仿宋"/>
            </w:rPr>
            <w:t>九、</w:t>
          </w:r>
          <w:r>
            <w:tab/>
          </w:r>
          <w:r>
            <w:rPr>
              <w:rStyle w:val="11"/>
              <w:rFonts w:ascii="仿宋" w:hAnsi="仿宋" w:eastAsia="仿宋"/>
            </w:rPr>
            <w:t>其他应说明的事项。</w:t>
          </w:r>
          <w:r>
            <w:tab/>
          </w:r>
          <w:r>
            <w:fldChar w:fldCharType="begin"/>
          </w:r>
          <w:r>
            <w:instrText xml:space="preserve"> PAGEREF _Toc113339824 \h </w:instrText>
          </w:r>
          <w:r>
            <w:fldChar w:fldCharType="separate"/>
          </w:r>
          <w:r>
            <w:t>6</w:t>
          </w:r>
          <w:r>
            <w:fldChar w:fldCharType="end"/>
          </w:r>
          <w:r>
            <w:fldChar w:fldCharType="end"/>
          </w:r>
        </w:p>
        <w:p>
          <w:r>
            <w:rPr>
              <w:b/>
              <w:bCs/>
              <w:lang w:val="zh-CN"/>
            </w:rPr>
            <w:fldChar w:fldCharType="end"/>
          </w:r>
        </w:p>
      </w:sdtContent>
    </w:sdt>
    <w:p/>
    <w:p>
      <w:pPr>
        <w:sectPr>
          <w:pgSz w:w="11906" w:h="16838"/>
          <w:pgMar w:top="1440" w:right="1800" w:bottom="1440" w:left="1800" w:header="851" w:footer="992" w:gutter="0"/>
          <w:cols w:space="425" w:num="1"/>
          <w:docGrid w:type="lines" w:linePitch="312" w:charSpace="0"/>
        </w:sectPr>
      </w:pPr>
    </w:p>
    <w:p>
      <w:pPr>
        <w:pStyle w:val="25"/>
        <w:numPr>
          <w:ilvl w:val="0"/>
          <w:numId w:val="3"/>
        </w:numPr>
        <w:ind w:firstLineChars="0"/>
        <w:outlineLvl w:val="0"/>
        <w:rPr>
          <w:rFonts w:ascii="仿宋" w:hAnsi="仿宋" w:eastAsia="仿宋"/>
          <w:sz w:val="28"/>
          <w:szCs w:val="32"/>
        </w:rPr>
      </w:pPr>
      <w:bookmarkStart w:id="0" w:name="_Toc113339802"/>
      <w:r>
        <w:rPr>
          <w:rFonts w:hint="eastAsia" w:ascii="仿宋" w:hAnsi="仿宋" w:eastAsia="仿宋"/>
          <w:sz w:val="28"/>
          <w:szCs w:val="32"/>
        </w:rPr>
        <w:t>工作内容</w:t>
      </w:r>
      <w:bookmarkEnd w:id="0"/>
    </w:p>
    <w:p>
      <w:pPr>
        <w:pStyle w:val="25"/>
        <w:numPr>
          <w:ilvl w:val="0"/>
          <w:numId w:val="4"/>
        </w:numPr>
        <w:spacing w:before="156" w:beforeLines="50" w:after="156" w:afterLines="50"/>
        <w:ind w:firstLineChars="0"/>
        <w:outlineLvl w:val="1"/>
        <w:rPr>
          <w:rFonts w:ascii="仿宋" w:hAnsi="仿宋" w:eastAsia="仿宋"/>
          <w:sz w:val="24"/>
          <w:szCs w:val="28"/>
        </w:rPr>
      </w:pPr>
      <w:bookmarkStart w:id="1" w:name="_Toc113339803"/>
      <w:r>
        <w:rPr>
          <w:rFonts w:hint="eastAsia" w:ascii="仿宋" w:hAnsi="仿宋" w:eastAsia="仿宋"/>
          <w:sz w:val="24"/>
          <w:szCs w:val="28"/>
        </w:rPr>
        <w:t>任务来源</w:t>
      </w:r>
      <w:bookmarkEnd w:id="1"/>
    </w:p>
    <w:p>
      <w:pPr>
        <w:spacing w:before="156" w:beforeLines="50" w:after="156" w:afterLines="50" w:line="360" w:lineRule="auto"/>
        <w:ind w:firstLine="480" w:firstLineChars="200"/>
        <w:rPr>
          <w:rFonts w:hint="eastAsia" w:ascii="仿宋" w:hAnsi="仿宋" w:eastAsia="仿宋"/>
          <w:sz w:val="24"/>
          <w:szCs w:val="28"/>
        </w:rPr>
      </w:pPr>
      <w:r>
        <w:rPr>
          <w:rFonts w:hint="eastAsia" w:ascii="仿宋" w:hAnsi="仿宋" w:eastAsia="仿宋"/>
          <w:sz w:val="24"/>
          <w:szCs w:val="28"/>
        </w:rPr>
        <w:t>随着全民健身事业的持续发展，各地体育主管部门及相关部门已在所属区、街道、社区建设广泛的公共体育设施。上海卷柏信息技术有限公司自2</w:t>
      </w:r>
      <w:r>
        <w:rPr>
          <w:rFonts w:ascii="仿宋" w:hAnsi="仿宋" w:eastAsia="仿宋"/>
          <w:sz w:val="24"/>
          <w:szCs w:val="28"/>
        </w:rPr>
        <w:t>018</w:t>
      </w:r>
      <w:r>
        <w:rPr>
          <w:rFonts w:hint="eastAsia" w:ascii="仿宋" w:hAnsi="仿宋" w:eastAsia="仿宋"/>
          <w:sz w:val="24"/>
          <w:szCs w:val="28"/>
        </w:rPr>
        <w:t>年起，持续多年承接了上海市部分区(/县</w:t>
      </w:r>
      <w:r>
        <w:rPr>
          <w:rFonts w:ascii="仿宋" w:hAnsi="仿宋" w:eastAsia="仿宋"/>
          <w:sz w:val="24"/>
          <w:szCs w:val="28"/>
        </w:rPr>
        <w:t>)</w:t>
      </w:r>
      <w:r>
        <w:rPr>
          <w:rFonts w:hint="eastAsia" w:ascii="仿宋" w:hAnsi="仿宋" w:eastAsia="仿宋"/>
          <w:sz w:val="24"/>
          <w:szCs w:val="28"/>
        </w:rPr>
        <w:t>的公共体育设施的运维管理工作，在实际工作推进过程中，持续梳理并规范体育设施管理的操作流程，时至今日，流程渐趋成熟，为了便于让公共体育设施管理的工作</w:t>
      </w:r>
      <w:bookmarkStart w:id="24" w:name="_GoBack"/>
      <w:bookmarkEnd w:id="24"/>
      <w:r>
        <w:rPr>
          <w:rFonts w:hint="eastAsia" w:ascii="仿宋" w:hAnsi="仿宋" w:eastAsia="仿宋"/>
          <w:sz w:val="24"/>
          <w:szCs w:val="28"/>
        </w:rPr>
        <w:t>更具规范性，公司层面拟推动形成此项团标。</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《公共体育设施维护管理规范</w:t>
      </w:r>
      <w:r>
        <w:rPr>
          <w:rFonts w:ascii="仿宋" w:hAnsi="仿宋" w:eastAsia="仿宋"/>
          <w:sz w:val="24"/>
          <w:szCs w:val="28"/>
        </w:rPr>
        <w:t>》在中国体育科学学会2020年第一批团体标准制定计划中列入学会团体标准制定计划，项目编号为CSSS-2020-004。</w:t>
      </w:r>
    </w:p>
    <w:p>
      <w:pPr>
        <w:pStyle w:val="25"/>
        <w:numPr>
          <w:ilvl w:val="0"/>
          <w:numId w:val="4"/>
        </w:numPr>
        <w:spacing w:before="156" w:beforeLines="50" w:after="156" w:afterLines="50"/>
        <w:ind w:firstLineChars="0"/>
        <w:outlineLvl w:val="1"/>
        <w:rPr>
          <w:rFonts w:ascii="仿宋" w:hAnsi="仿宋" w:eastAsia="仿宋"/>
          <w:sz w:val="24"/>
          <w:szCs w:val="28"/>
        </w:rPr>
      </w:pPr>
      <w:bookmarkStart w:id="2" w:name="_Toc113339804"/>
      <w:r>
        <w:rPr>
          <w:rFonts w:hint="eastAsia" w:ascii="仿宋" w:hAnsi="仿宋" w:eastAsia="仿宋"/>
          <w:sz w:val="24"/>
          <w:szCs w:val="28"/>
        </w:rPr>
        <w:t>起草单位</w:t>
      </w:r>
      <w:bookmarkEnd w:id="2"/>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上海卷柏信息技术有公司</w:t>
      </w:r>
    </w:p>
    <w:p>
      <w:pPr>
        <w:pStyle w:val="25"/>
        <w:numPr>
          <w:ilvl w:val="0"/>
          <w:numId w:val="4"/>
        </w:numPr>
        <w:spacing w:before="156" w:beforeLines="50" w:after="156" w:afterLines="50"/>
        <w:ind w:firstLineChars="0"/>
        <w:outlineLvl w:val="1"/>
        <w:rPr>
          <w:rFonts w:ascii="仿宋" w:hAnsi="仿宋" w:eastAsia="仿宋"/>
          <w:sz w:val="24"/>
          <w:szCs w:val="28"/>
        </w:rPr>
      </w:pPr>
      <w:bookmarkStart w:id="3" w:name="_Toc113339805"/>
      <w:r>
        <w:rPr>
          <w:rFonts w:hint="eastAsia" w:ascii="仿宋" w:hAnsi="仿宋" w:eastAsia="仿宋"/>
          <w:sz w:val="24"/>
          <w:szCs w:val="28"/>
        </w:rPr>
        <w:t>协作单位</w:t>
      </w:r>
      <w:bookmarkEnd w:id="3"/>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国家体育总局体育科学研究所</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北京国体世纪质量认证中心有限公司</w:t>
      </w:r>
    </w:p>
    <w:p>
      <w:pPr>
        <w:pStyle w:val="25"/>
        <w:numPr>
          <w:ilvl w:val="0"/>
          <w:numId w:val="4"/>
        </w:numPr>
        <w:spacing w:before="156" w:beforeLines="50" w:after="156" w:afterLines="50"/>
        <w:ind w:firstLineChars="0"/>
        <w:outlineLvl w:val="1"/>
        <w:rPr>
          <w:rFonts w:ascii="仿宋" w:hAnsi="仿宋" w:eastAsia="仿宋"/>
          <w:sz w:val="24"/>
          <w:szCs w:val="28"/>
        </w:rPr>
      </w:pPr>
      <w:bookmarkStart w:id="4" w:name="_Toc113339806"/>
      <w:r>
        <w:rPr>
          <w:rFonts w:hint="eastAsia" w:ascii="仿宋" w:hAnsi="仿宋" w:eastAsia="仿宋"/>
          <w:sz w:val="24"/>
          <w:szCs w:val="28"/>
        </w:rPr>
        <w:t>主要起草人</w:t>
      </w:r>
      <w:bookmarkEnd w:id="4"/>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李久健、刘立新、黄希发、张学谦、李爽、李志、胡子林</w:t>
      </w:r>
    </w:p>
    <w:p>
      <w:pPr>
        <w:pStyle w:val="25"/>
        <w:numPr>
          <w:ilvl w:val="0"/>
          <w:numId w:val="3"/>
        </w:numPr>
        <w:ind w:firstLineChars="0"/>
        <w:outlineLvl w:val="0"/>
        <w:rPr>
          <w:rFonts w:ascii="仿宋" w:hAnsi="仿宋" w:eastAsia="仿宋"/>
          <w:sz w:val="28"/>
          <w:szCs w:val="32"/>
        </w:rPr>
      </w:pPr>
      <w:bookmarkStart w:id="5" w:name="_Toc113339807"/>
      <w:r>
        <w:rPr>
          <w:rFonts w:hint="eastAsia" w:ascii="仿宋" w:hAnsi="仿宋" w:eastAsia="仿宋"/>
          <w:sz w:val="28"/>
          <w:szCs w:val="32"/>
        </w:rPr>
        <w:t>制定标准的必要性和意义</w:t>
      </w:r>
      <w:bookmarkEnd w:id="5"/>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加强公共体育设施建设，发展群众体育，是各级人民政府的重要公共服务职能，是贯彻全民健身国家战略、实施健康中国行动的必然要求。国务院办公厅印发《体育强国建设纲要》和《全民健身计划</w:t>
      </w:r>
      <w:r>
        <w:rPr>
          <w:rFonts w:ascii="仿宋" w:hAnsi="仿宋" w:eastAsia="仿宋"/>
          <w:sz w:val="24"/>
          <w:szCs w:val="28"/>
        </w:rPr>
        <w:t>2021-2025》明确指出：到2025年，全民健身公共服务体系更加完善，人民群众体育健身更加便利，县（市、区）、乡镇（街道）、行政村（社区）三级公共健身设施和社区15分钟健身圈实现全覆盖。</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在国家各项政策方针指引之下，公共体育设施的建设速度在持续加速，越来越多的体育设施投入到全民健身服务中，但对于公共体育设施尤其是室外体育设施的服务保障方面却存在诸多差异，全民健身服务保障不足。</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本标准的制定，旨在通过对公共体育设施的管理流程、管理方法及管理质量方面明确具体要求与指标，为全国广大基层职能机构及社会团体、企业在在公共体育设施管理工作提供有效的指引与工作评判标准。</w:t>
      </w:r>
    </w:p>
    <w:p>
      <w:pPr>
        <w:pStyle w:val="25"/>
        <w:numPr>
          <w:ilvl w:val="0"/>
          <w:numId w:val="3"/>
        </w:numPr>
        <w:ind w:firstLineChars="0"/>
        <w:outlineLvl w:val="0"/>
        <w:rPr>
          <w:rFonts w:ascii="仿宋" w:hAnsi="仿宋" w:eastAsia="仿宋"/>
          <w:sz w:val="28"/>
          <w:szCs w:val="32"/>
        </w:rPr>
      </w:pPr>
      <w:bookmarkStart w:id="6" w:name="_Toc113339808"/>
      <w:r>
        <w:rPr>
          <w:rFonts w:hint="eastAsia" w:ascii="仿宋" w:hAnsi="仿宋" w:eastAsia="仿宋"/>
          <w:sz w:val="28"/>
          <w:szCs w:val="32"/>
        </w:rPr>
        <w:t>主要工作过程</w:t>
      </w:r>
      <w:bookmarkEnd w:id="6"/>
    </w:p>
    <w:p>
      <w:pPr>
        <w:pStyle w:val="25"/>
        <w:numPr>
          <w:ilvl w:val="0"/>
          <w:numId w:val="5"/>
        </w:numPr>
        <w:spacing w:before="156" w:beforeLines="50" w:after="156" w:afterLines="50"/>
        <w:ind w:firstLineChars="0"/>
        <w:outlineLvl w:val="1"/>
        <w:rPr>
          <w:rFonts w:ascii="仿宋" w:hAnsi="仿宋" w:eastAsia="仿宋"/>
          <w:sz w:val="24"/>
          <w:szCs w:val="28"/>
        </w:rPr>
      </w:pPr>
      <w:bookmarkStart w:id="7" w:name="_Toc113339809"/>
      <w:r>
        <w:rPr>
          <w:rFonts w:hint="eastAsia" w:ascii="仿宋" w:hAnsi="仿宋" w:eastAsia="仿宋"/>
          <w:sz w:val="24"/>
          <w:szCs w:val="28"/>
        </w:rPr>
        <w:t>筹备阶段</w:t>
      </w:r>
      <w:bookmarkEnd w:id="7"/>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020</w:t>
      </w:r>
      <w:r>
        <w:rPr>
          <w:rFonts w:hint="eastAsia" w:ascii="仿宋" w:hAnsi="仿宋" w:eastAsia="仿宋"/>
          <w:sz w:val="24"/>
          <w:szCs w:val="28"/>
        </w:rPr>
        <w:t>年7月至9月，确立了此标准的拟定意向，并组织上海卷柏信息技术有限公司项目实施团队梳理工作流程，为标准草案准备素材。</w:t>
      </w:r>
    </w:p>
    <w:p>
      <w:pPr>
        <w:pStyle w:val="25"/>
        <w:numPr>
          <w:ilvl w:val="0"/>
          <w:numId w:val="5"/>
        </w:numPr>
        <w:spacing w:before="156" w:beforeLines="50" w:after="156" w:afterLines="50"/>
        <w:ind w:firstLineChars="0"/>
        <w:outlineLvl w:val="1"/>
        <w:rPr>
          <w:rFonts w:ascii="仿宋" w:hAnsi="仿宋" w:eastAsia="仿宋"/>
          <w:sz w:val="24"/>
          <w:szCs w:val="28"/>
        </w:rPr>
      </w:pPr>
      <w:bookmarkStart w:id="8" w:name="_Toc113339810"/>
      <w:r>
        <w:rPr>
          <w:rFonts w:hint="eastAsia" w:ascii="仿宋" w:hAnsi="仿宋" w:eastAsia="仿宋"/>
          <w:sz w:val="24"/>
          <w:szCs w:val="28"/>
        </w:rPr>
        <w:t>标准草案拟定阶段</w:t>
      </w:r>
      <w:bookmarkEnd w:id="8"/>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020</w:t>
      </w:r>
      <w:r>
        <w:rPr>
          <w:rFonts w:hint="eastAsia" w:ascii="仿宋" w:hAnsi="仿宋" w:eastAsia="仿宋"/>
          <w:sz w:val="24"/>
          <w:szCs w:val="28"/>
        </w:rPr>
        <w:t>年1</w:t>
      </w:r>
      <w:r>
        <w:rPr>
          <w:rFonts w:ascii="仿宋" w:hAnsi="仿宋" w:eastAsia="仿宋"/>
          <w:sz w:val="24"/>
          <w:szCs w:val="28"/>
        </w:rPr>
        <w:t>0</w:t>
      </w:r>
      <w:r>
        <w:rPr>
          <w:rFonts w:hint="eastAsia" w:ascii="仿宋" w:hAnsi="仿宋" w:eastAsia="仿宋"/>
          <w:sz w:val="24"/>
          <w:szCs w:val="28"/>
        </w:rPr>
        <w:t>月至1</w:t>
      </w:r>
      <w:r>
        <w:rPr>
          <w:rFonts w:ascii="仿宋" w:hAnsi="仿宋" w:eastAsia="仿宋"/>
          <w:sz w:val="24"/>
          <w:szCs w:val="28"/>
        </w:rPr>
        <w:t>1</w:t>
      </w:r>
      <w:r>
        <w:rPr>
          <w:rFonts w:hint="eastAsia" w:ascii="仿宋" w:hAnsi="仿宋" w:eastAsia="仿宋"/>
          <w:sz w:val="24"/>
          <w:szCs w:val="28"/>
        </w:rPr>
        <w:t>月，完成初版草案的内容编撰与修订</w:t>
      </w:r>
    </w:p>
    <w:p>
      <w:pPr>
        <w:pStyle w:val="25"/>
        <w:numPr>
          <w:ilvl w:val="0"/>
          <w:numId w:val="5"/>
        </w:numPr>
        <w:spacing w:before="156" w:beforeLines="50" w:after="156" w:afterLines="50"/>
        <w:ind w:firstLineChars="0"/>
        <w:outlineLvl w:val="1"/>
        <w:rPr>
          <w:rFonts w:ascii="仿宋" w:hAnsi="仿宋" w:eastAsia="仿宋"/>
          <w:sz w:val="24"/>
          <w:szCs w:val="28"/>
        </w:rPr>
      </w:pPr>
      <w:bookmarkStart w:id="9" w:name="_Toc113339811"/>
      <w:r>
        <w:rPr>
          <w:rFonts w:hint="eastAsia" w:ascii="仿宋" w:hAnsi="仿宋" w:eastAsia="仿宋"/>
          <w:sz w:val="24"/>
          <w:szCs w:val="28"/>
        </w:rPr>
        <w:t>标准立项申报</w:t>
      </w:r>
      <w:bookmarkEnd w:id="9"/>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020</w:t>
      </w:r>
      <w:r>
        <w:rPr>
          <w:rFonts w:hint="eastAsia" w:ascii="仿宋" w:hAnsi="仿宋" w:eastAsia="仿宋"/>
          <w:sz w:val="24"/>
          <w:szCs w:val="28"/>
        </w:rPr>
        <w:t>年1</w:t>
      </w:r>
      <w:r>
        <w:rPr>
          <w:rFonts w:ascii="仿宋" w:hAnsi="仿宋" w:eastAsia="仿宋"/>
          <w:sz w:val="24"/>
          <w:szCs w:val="28"/>
        </w:rPr>
        <w:t>1</w:t>
      </w:r>
      <w:r>
        <w:rPr>
          <w:rFonts w:hint="eastAsia" w:ascii="仿宋" w:hAnsi="仿宋" w:eastAsia="仿宋"/>
          <w:sz w:val="24"/>
          <w:szCs w:val="28"/>
        </w:rPr>
        <w:t>月，完成标准在中国体育科学学会的团体标准立项申报</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020</w:t>
      </w:r>
      <w:r>
        <w:rPr>
          <w:rFonts w:hint="eastAsia" w:ascii="仿宋" w:hAnsi="仿宋" w:eastAsia="仿宋"/>
          <w:sz w:val="24"/>
          <w:szCs w:val="28"/>
        </w:rPr>
        <w:t>年1</w:t>
      </w:r>
      <w:r>
        <w:rPr>
          <w:rFonts w:ascii="仿宋" w:hAnsi="仿宋" w:eastAsia="仿宋"/>
          <w:sz w:val="24"/>
          <w:szCs w:val="28"/>
        </w:rPr>
        <w:t>2</w:t>
      </w:r>
      <w:r>
        <w:rPr>
          <w:rFonts w:hint="eastAsia" w:ascii="仿宋" w:hAnsi="仿宋" w:eastAsia="仿宋"/>
          <w:sz w:val="24"/>
          <w:szCs w:val="28"/>
        </w:rPr>
        <w:t>月，中国体育科学学会标准化工作委员会组织专家对</w:t>
      </w:r>
      <w:r>
        <w:rPr>
          <w:rFonts w:ascii="仿宋" w:hAnsi="仿宋" w:eastAsia="仿宋"/>
          <w:sz w:val="24"/>
          <w:szCs w:val="28"/>
        </w:rPr>
        <w:t>2020年度体育团体标准立项申报材料进行了评审</w:t>
      </w:r>
      <w:r>
        <w:rPr>
          <w:rFonts w:hint="eastAsia" w:ascii="仿宋" w:hAnsi="仿宋" w:eastAsia="仿宋"/>
          <w:sz w:val="24"/>
          <w:szCs w:val="28"/>
        </w:rPr>
        <w:t>，经过专家评审同意对《</w:t>
      </w:r>
      <w:bookmarkStart w:id="10" w:name="_Hlk114643472"/>
      <w:r>
        <w:rPr>
          <w:rFonts w:hint="eastAsia" w:ascii="仿宋" w:hAnsi="仿宋" w:eastAsia="仿宋"/>
          <w:sz w:val="24"/>
          <w:szCs w:val="28"/>
        </w:rPr>
        <w:t>公共体育设施维护管理规范</w:t>
      </w:r>
      <w:bookmarkEnd w:id="10"/>
      <w:r>
        <w:rPr>
          <w:rFonts w:hint="eastAsia" w:ascii="仿宋" w:hAnsi="仿宋" w:eastAsia="仿宋"/>
          <w:sz w:val="24"/>
          <w:szCs w:val="28"/>
        </w:rPr>
        <w:t>》</w:t>
      </w:r>
      <w:r>
        <w:rPr>
          <w:rFonts w:ascii="仿宋" w:hAnsi="仿宋" w:eastAsia="仿宋"/>
          <w:sz w:val="24"/>
          <w:szCs w:val="28"/>
        </w:rPr>
        <w:t>标准项目予以立项。</w:t>
      </w:r>
    </w:p>
    <w:p>
      <w:pPr>
        <w:pStyle w:val="25"/>
        <w:numPr>
          <w:ilvl w:val="0"/>
          <w:numId w:val="5"/>
        </w:numPr>
        <w:spacing w:before="156" w:beforeLines="50" w:after="156" w:afterLines="50"/>
        <w:ind w:firstLineChars="0"/>
        <w:outlineLvl w:val="1"/>
        <w:rPr>
          <w:rFonts w:ascii="仿宋" w:hAnsi="仿宋" w:eastAsia="仿宋"/>
          <w:sz w:val="24"/>
          <w:szCs w:val="28"/>
        </w:rPr>
      </w:pPr>
      <w:bookmarkStart w:id="11" w:name="_Toc113339812"/>
      <w:r>
        <w:rPr>
          <w:rFonts w:hint="eastAsia" w:ascii="仿宋" w:hAnsi="仿宋" w:eastAsia="仿宋"/>
          <w:sz w:val="24"/>
          <w:szCs w:val="28"/>
        </w:rPr>
        <w:t>标准论证会与标准修订</w:t>
      </w:r>
      <w:bookmarkEnd w:id="11"/>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021</w:t>
      </w:r>
      <w:r>
        <w:rPr>
          <w:rFonts w:hint="eastAsia" w:ascii="仿宋" w:hAnsi="仿宋" w:eastAsia="仿宋"/>
          <w:sz w:val="24"/>
          <w:szCs w:val="28"/>
        </w:rPr>
        <w:t>年1</w:t>
      </w:r>
      <w:r>
        <w:rPr>
          <w:rFonts w:ascii="仿宋" w:hAnsi="仿宋" w:eastAsia="仿宋"/>
          <w:sz w:val="24"/>
          <w:szCs w:val="28"/>
        </w:rPr>
        <w:t>2</w:t>
      </w:r>
      <w:r>
        <w:rPr>
          <w:rFonts w:hint="eastAsia" w:ascii="仿宋" w:hAnsi="仿宋" w:eastAsia="仿宋"/>
          <w:sz w:val="24"/>
          <w:szCs w:val="28"/>
        </w:rPr>
        <w:t>月1</w:t>
      </w:r>
      <w:r>
        <w:rPr>
          <w:rFonts w:ascii="仿宋" w:hAnsi="仿宋" w:eastAsia="仿宋"/>
          <w:sz w:val="24"/>
          <w:szCs w:val="28"/>
        </w:rPr>
        <w:t>0</w:t>
      </w:r>
      <w:r>
        <w:rPr>
          <w:rFonts w:hint="eastAsia" w:ascii="仿宋" w:hAnsi="仿宋" w:eastAsia="仿宋"/>
          <w:sz w:val="24"/>
          <w:szCs w:val="28"/>
        </w:rPr>
        <w:t>日，中国体育科学学会组织标准论证会。在会上标准起草人汇报标准文本、进展情况和下一步工作计划，专家论证标准文本、编制说明的科学性、合理性和可操作性等，提出关于标准的修订意见与建议，标准起草人结合意见与建议对标准文本进行修订。</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2</w:t>
      </w:r>
      <w:r>
        <w:rPr>
          <w:rFonts w:ascii="仿宋" w:hAnsi="仿宋" w:eastAsia="仿宋"/>
          <w:sz w:val="24"/>
          <w:szCs w:val="28"/>
        </w:rPr>
        <w:t>022</w:t>
      </w:r>
      <w:r>
        <w:rPr>
          <w:rFonts w:hint="eastAsia" w:ascii="仿宋" w:hAnsi="仿宋" w:eastAsia="仿宋"/>
          <w:sz w:val="24"/>
          <w:szCs w:val="28"/>
        </w:rPr>
        <w:t>年</w:t>
      </w:r>
      <w:r>
        <w:rPr>
          <w:rFonts w:ascii="仿宋" w:hAnsi="仿宋" w:eastAsia="仿宋"/>
          <w:sz w:val="24"/>
          <w:szCs w:val="28"/>
        </w:rPr>
        <w:t>3</w:t>
      </w:r>
      <w:r>
        <w:rPr>
          <w:rFonts w:hint="eastAsia" w:ascii="仿宋" w:hAnsi="仿宋" w:eastAsia="仿宋"/>
          <w:sz w:val="24"/>
          <w:szCs w:val="28"/>
        </w:rPr>
        <w:t>月至7月，专家组对标准文本进行第二轮审阅并提出若干修订意见与建议，标准起草人对标准文本进行第二轮修订。</w:t>
      </w:r>
    </w:p>
    <w:p>
      <w:pPr>
        <w:pStyle w:val="25"/>
        <w:numPr>
          <w:ilvl w:val="0"/>
          <w:numId w:val="3"/>
        </w:numPr>
        <w:ind w:firstLineChars="0"/>
        <w:outlineLvl w:val="0"/>
        <w:rPr>
          <w:rFonts w:ascii="仿宋" w:hAnsi="仿宋" w:eastAsia="仿宋"/>
          <w:sz w:val="28"/>
          <w:szCs w:val="32"/>
        </w:rPr>
      </w:pPr>
      <w:bookmarkStart w:id="12" w:name="_Toc113339813"/>
      <w:r>
        <w:rPr>
          <w:rFonts w:hint="eastAsia" w:ascii="仿宋" w:hAnsi="仿宋" w:eastAsia="仿宋"/>
          <w:sz w:val="28"/>
          <w:szCs w:val="32"/>
        </w:rPr>
        <w:t>制定标准的原则和依据，与现行法律、法规、标准的关系</w:t>
      </w:r>
      <w:bookmarkEnd w:id="12"/>
    </w:p>
    <w:p>
      <w:pPr>
        <w:pStyle w:val="25"/>
        <w:numPr>
          <w:ilvl w:val="0"/>
          <w:numId w:val="6"/>
        </w:numPr>
        <w:spacing w:before="156" w:beforeLines="50" w:after="156" w:afterLines="50"/>
        <w:ind w:firstLineChars="0"/>
        <w:outlineLvl w:val="1"/>
        <w:rPr>
          <w:rFonts w:ascii="仿宋" w:hAnsi="仿宋" w:eastAsia="仿宋"/>
          <w:sz w:val="24"/>
          <w:szCs w:val="28"/>
        </w:rPr>
      </w:pPr>
      <w:bookmarkStart w:id="13" w:name="_Toc113339814"/>
      <w:r>
        <w:rPr>
          <w:rFonts w:ascii="仿宋" w:hAnsi="仿宋" w:eastAsia="仿宋"/>
          <w:sz w:val="24"/>
          <w:szCs w:val="28"/>
        </w:rPr>
        <w:t>制定标准的原则和依据</w:t>
      </w:r>
      <w:bookmarkEnd w:id="13"/>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（1）标准</w:t>
      </w:r>
      <w:r>
        <w:rPr>
          <w:rFonts w:ascii="仿宋" w:hAnsi="仿宋" w:eastAsia="仿宋"/>
          <w:sz w:val="24"/>
          <w:szCs w:val="28"/>
        </w:rPr>
        <w:t>编写规则</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本标准按照《</w:t>
      </w:r>
      <w:r>
        <w:rPr>
          <w:rFonts w:ascii="仿宋" w:hAnsi="仿宋" w:eastAsia="仿宋"/>
          <w:sz w:val="24"/>
          <w:szCs w:val="28"/>
        </w:rPr>
        <w:t>GB/T 1.1-2020 标准化工作导则 第1部分_标准化文件的结构和起草规则</w:t>
      </w:r>
      <w:r>
        <w:rPr>
          <w:rFonts w:hint="eastAsia" w:ascii="仿宋" w:hAnsi="仿宋" w:eastAsia="仿宋"/>
          <w:sz w:val="24"/>
          <w:szCs w:val="28"/>
        </w:rPr>
        <w:t>》的</w:t>
      </w:r>
      <w:r>
        <w:rPr>
          <w:rFonts w:ascii="仿宋" w:hAnsi="仿宋" w:eastAsia="仿宋"/>
          <w:sz w:val="24"/>
          <w:szCs w:val="28"/>
        </w:rPr>
        <w:t>编写规则进行编写</w:t>
      </w:r>
      <w:r>
        <w:rPr>
          <w:rFonts w:hint="eastAsia" w:ascii="仿宋" w:hAnsi="仿宋" w:eastAsia="仿宋"/>
          <w:sz w:val="24"/>
          <w:szCs w:val="28"/>
        </w:rPr>
        <w:t>。</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w:t>
      </w:r>
      <w:r>
        <w:rPr>
          <w:rFonts w:ascii="仿宋" w:hAnsi="仿宋" w:eastAsia="仿宋"/>
          <w:sz w:val="24"/>
          <w:szCs w:val="28"/>
        </w:rPr>
        <w:t>2</w:t>
      </w:r>
      <w:r>
        <w:rPr>
          <w:rFonts w:hint="eastAsia" w:ascii="仿宋" w:hAnsi="仿宋" w:eastAsia="仿宋"/>
          <w:sz w:val="24"/>
          <w:szCs w:val="28"/>
        </w:rPr>
        <w:t>）标准</w:t>
      </w:r>
      <w:r>
        <w:rPr>
          <w:rFonts w:ascii="仿宋" w:hAnsi="仿宋" w:eastAsia="仿宋"/>
          <w:sz w:val="24"/>
          <w:szCs w:val="28"/>
        </w:rPr>
        <w:t>编写规则</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本标准本着规范工作流程、保障安全</w:t>
      </w:r>
      <w:r>
        <w:rPr>
          <w:rFonts w:ascii="仿宋" w:hAnsi="仿宋" w:eastAsia="仿宋"/>
          <w:sz w:val="24"/>
          <w:szCs w:val="28"/>
        </w:rPr>
        <w:t>原则进行内容编写。</w:t>
      </w:r>
    </w:p>
    <w:p>
      <w:pPr>
        <w:pStyle w:val="25"/>
        <w:numPr>
          <w:ilvl w:val="0"/>
          <w:numId w:val="6"/>
        </w:numPr>
        <w:spacing w:before="156" w:beforeLines="50" w:after="156" w:afterLines="50"/>
        <w:ind w:firstLineChars="0"/>
        <w:outlineLvl w:val="1"/>
        <w:rPr>
          <w:rFonts w:ascii="仿宋" w:hAnsi="仿宋" w:eastAsia="仿宋"/>
          <w:sz w:val="24"/>
          <w:szCs w:val="28"/>
        </w:rPr>
      </w:pPr>
      <w:bookmarkStart w:id="14" w:name="_Toc113339815"/>
      <w:r>
        <w:rPr>
          <w:rFonts w:hint="eastAsia" w:ascii="仿宋" w:hAnsi="仿宋" w:eastAsia="仿宋"/>
          <w:sz w:val="24"/>
          <w:szCs w:val="28"/>
        </w:rPr>
        <w:t>与现行法律、法规、标准的关系</w:t>
      </w:r>
      <w:bookmarkEnd w:id="14"/>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在</w:t>
      </w:r>
      <w:r>
        <w:rPr>
          <w:rFonts w:ascii="仿宋" w:hAnsi="仿宋" w:eastAsia="仿宋"/>
          <w:sz w:val="24"/>
          <w:szCs w:val="28"/>
        </w:rPr>
        <w:t>2003年6月26日由国务院公布的《公共文化体育设施条例》中，对于文化体育设施管理方面做了整体性的要求，未包含对于管理详细措施的要求。</w:t>
      </w:r>
    </w:p>
    <w:p>
      <w:pPr>
        <w:spacing w:before="156" w:beforeLines="50" w:after="156" w:afterLines="50" w:line="360" w:lineRule="auto"/>
        <w:ind w:firstLine="480" w:firstLineChars="200"/>
        <w:rPr>
          <w:rFonts w:ascii="仿宋" w:hAnsi="仿宋" w:eastAsia="仿宋"/>
          <w:sz w:val="24"/>
          <w:szCs w:val="28"/>
        </w:rPr>
      </w:pPr>
      <w:r>
        <w:rPr>
          <w:rFonts w:ascii="仿宋" w:hAnsi="仿宋" w:eastAsia="仿宋"/>
          <w:sz w:val="24"/>
          <w:szCs w:val="28"/>
        </w:rPr>
        <w:t>2009年8月30日由国务院第560号公布《全民健身条例》中对公共体育设施纳入了全民健身保障条目中。2016年修订的《全民健身条例》，明确了公共体育设施的规划与建设主体，以及将公共体育设施作为全民健身的保障措施。</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在</w:t>
      </w:r>
      <w:r>
        <w:rPr>
          <w:rFonts w:ascii="仿宋" w:hAnsi="仿宋" w:eastAsia="仿宋"/>
          <w:sz w:val="24"/>
          <w:szCs w:val="28"/>
        </w:rPr>
        <w:t>2017年由全国体育用品标准化委员会提出的《GB/T 34290-2017公共体育设施</w:t>
      </w:r>
      <w:r>
        <w:rPr>
          <w:rFonts w:hint="eastAsia" w:ascii="仿宋" w:hAnsi="仿宋" w:eastAsia="仿宋"/>
          <w:sz w:val="24"/>
          <w:szCs w:val="28"/>
        </w:rPr>
        <w:t xml:space="preserve"> </w:t>
      </w:r>
      <w:r>
        <w:rPr>
          <w:rFonts w:ascii="仿宋" w:hAnsi="仿宋" w:eastAsia="仿宋"/>
          <w:sz w:val="24"/>
          <w:szCs w:val="28"/>
        </w:rPr>
        <w:t>室外健身设施的配置与管理》国家标准，对于体育设施检的管理与维护做了相对简单地明确，对于如何去组织落实具体管理与维护的工作，</w:t>
      </w:r>
      <w:r>
        <w:rPr>
          <w:rFonts w:hint="eastAsia" w:ascii="仿宋" w:hAnsi="仿宋" w:eastAsia="仿宋"/>
          <w:sz w:val="24"/>
          <w:szCs w:val="28"/>
        </w:rPr>
        <w:t>未做出</w:t>
      </w:r>
      <w:r>
        <w:rPr>
          <w:rFonts w:ascii="仿宋" w:hAnsi="仿宋" w:eastAsia="仿宋"/>
          <w:sz w:val="24"/>
          <w:szCs w:val="28"/>
        </w:rPr>
        <w:t>明确的要求。</w:t>
      </w:r>
    </w:p>
    <w:p>
      <w:pPr>
        <w:spacing w:before="156" w:beforeLines="50" w:after="156" w:afterLines="50" w:line="360" w:lineRule="auto"/>
        <w:ind w:firstLine="480" w:firstLineChars="200"/>
        <w:rPr>
          <w:rFonts w:ascii="仿宋" w:hAnsi="仿宋" w:eastAsia="仿宋"/>
          <w:sz w:val="24"/>
          <w:szCs w:val="28"/>
        </w:rPr>
      </w:pPr>
      <w:r>
        <w:rPr>
          <w:rFonts w:ascii="仿宋" w:hAnsi="仿宋" w:eastAsia="仿宋"/>
          <w:sz w:val="24"/>
          <w:szCs w:val="28"/>
        </w:rPr>
        <w:t>2020年9月30日国办发〔2020〕36号《国务院办公厅关于加强全民健身场地设施建设发展群众体育的意见》中，对于公共体育设施的建设及全民健身服务保障平台方面做了要求，推进“互联网+健身”，体育设施管理工作的信息化在此契机下将会发挥更大的作用。</w:t>
      </w:r>
    </w:p>
    <w:p>
      <w:pPr>
        <w:spacing w:line="540" w:lineRule="exact"/>
        <w:ind w:firstLine="480" w:firstLineChars="200"/>
        <w:rPr>
          <w:rFonts w:ascii="仿宋" w:hAnsi="仿宋" w:eastAsia="仿宋" w:cs="Calibri"/>
          <w:sz w:val="24"/>
          <w:szCs w:val="32"/>
        </w:rPr>
      </w:pPr>
      <w:r>
        <w:rPr>
          <w:rFonts w:hint="eastAsia" w:ascii="仿宋" w:hAnsi="仿宋" w:eastAsia="仿宋" w:cs="Calibri"/>
          <w:sz w:val="24"/>
          <w:szCs w:val="32"/>
        </w:rPr>
        <w:t>2021年10月8日体育总局印发《“十四五”体育发展规划》中提出明确的目标：全民健身水平达到新高度，构建更高水平的全民健身公共服务体系，广泛开展全民健身活动，推进全民健身场地设施建设，推动全民健身与全民健康深度融合，提高科学健身指导水平，推动全民健身智慧化发展。</w:t>
      </w:r>
    </w:p>
    <w:p>
      <w:pPr>
        <w:spacing w:line="540" w:lineRule="exact"/>
        <w:ind w:firstLine="480" w:firstLineChars="200"/>
        <w:rPr>
          <w:rFonts w:ascii="仿宋" w:hAnsi="仿宋" w:eastAsia="仿宋" w:cs="Calibri"/>
          <w:sz w:val="24"/>
          <w:szCs w:val="32"/>
        </w:rPr>
      </w:pPr>
      <w:r>
        <w:rPr>
          <w:rFonts w:hint="eastAsia" w:ascii="仿宋" w:hAnsi="仿宋" w:eastAsia="仿宋" w:cs="Calibri"/>
          <w:sz w:val="24"/>
          <w:szCs w:val="32"/>
        </w:rPr>
        <w:t>2021年12月28日体育总局、财政部、市场监管总局发布了关于印发《关于加强公共场所全民健身器材配建管理工作的意见》的通知，强调了加强公共场所全民健身器材配建管理工作的必要性。在意见中从以下五方面明确了相关要求：一、总体要求；二、加快建立健全工作机制；三、对器材配建管理进行全面梳理排查；四、进一步规范器材配建管理工作；五、加强组织领导。</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本标准结合以上相关现行法律、法规、标准的情况，针对公共体育设施的运维管理的事项及要求，进行的定义，并明确要求。</w:t>
      </w:r>
    </w:p>
    <w:p>
      <w:pPr>
        <w:pStyle w:val="25"/>
        <w:numPr>
          <w:ilvl w:val="0"/>
          <w:numId w:val="3"/>
        </w:numPr>
        <w:ind w:firstLineChars="0"/>
        <w:outlineLvl w:val="0"/>
        <w:rPr>
          <w:rFonts w:ascii="仿宋" w:hAnsi="仿宋" w:eastAsia="仿宋"/>
          <w:sz w:val="28"/>
          <w:szCs w:val="32"/>
        </w:rPr>
      </w:pPr>
      <w:bookmarkStart w:id="15" w:name="_Toc113339816"/>
      <w:r>
        <w:rPr>
          <w:rFonts w:hint="eastAsia" w:ascii="仿宋" w:hAnsi="仿宋" w:eastAsia="仿宋"/>
          <w:sz w:val="28"/>
          <w:szCs w:val="32"/>
        </w:rPr>
        <w:t>主要条款的说明，主要技术指标、参数、实验验证的论述。</w:t>
      </w:r>
      <w:bookmarkEnd w:id="15"/>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本标准规定了公共体育设施（以下简称“设施”）在维护管理工作中的术语和定义、通用要求、管理制度与职责、人员设备与工具管理、设施维护管理、设施维护管理评价，主要条条款说明如下：</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（一）范围、规范性引用文件、术语和定义</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该部分定义了标准适用的范围、引用的其他标准情况。术语和定义部分明确了该标准所涉及的一些术语。</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（二）通用要求</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该部分对设施运维管理工作提出来整体的通用要求，涵盖了安全、产品、管理、质量监控、记录档案等方面的要求。</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由于在设施运维管理过程中及到对于设施的安装监管，引用了产品标准GB</w:t>
      </w:r>
      <w:r>
        <w:rPr>
          <w:rFonts w:ascii="仿宋" w:hAnsi="仿宋" w:eastAsia="仿宋"/>
          <w:sz w:val="24"/>
          <w:szCs w:val="28"/>
        </w:rPr>
        <w:t>19272</w:t>
      </w:r>
      <w:r>
        <w:rPr>
          <w:rFonts w:hint="eastAsia" w:ascii="仿宋" w:hAnsi="仿宋" w:eastAsia="仿宋"/>
          <w:sz w:val="24"/>
          <w:szCs w:val="28"/>
        </w:rPr>
        <w:t>；在运维过程中引用GB</w:t>
      </w:r>
      <w:r>
        <w:rPr>
          <w:rFonts w:ascii="仿宋" w:hAnsi="仿宋" w:eastAsia="仿宋"/>
          <w:sz w:val="24"/>
          <w:szCs w:val="28"/>
        </w:rPr>
        <w:t>/T34290</w:t>
      </w:r>
      <w:r>
        <w:rPr>
          <w:rFonts w:hint="eastAsia" w:ascii="仿宋" w:hAnsi="仿宋" w:eastAsia="仿宋"/>
          <w:sz w:val="24"/>
          <w:szCs w:val="28"/>
        </w:rPr>
        <w:t>标准中部分条目。</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（三）管理制度与职责</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该部分别从制度及其制定要求、管理职责的明确两方面梳理要求条目，以便于设施管理单位的在实际管理过程中进行参考。</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（四）人员设施与工具</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该部分明确了在人员、设备与工具的管理要求。在6</w:t>
      </w:r>
      <w:r>
        <w:rPr>
          <w:rFonts w:ascii="仿宋" w:hAnsi="仿宋" w:eastAsia="仿宋"/>
          <w:sz w:val="24"/>
          <w:szCs w:val="28"/>
        </w:rPr>
        <w:t>.2.2</w:t>
      </w:r>
      <w:r>
        <w:rPr>
          <w:rFonts w:hint="eastAsia" w:ascii="仿宋" w:hAnsi="仿宋" w:eastAsia="仿宋"/>
          <w:sz w:val="24"/>
          <w:szCs w:val="28"/>
        </w:rPr>
        <w:t>与6</w:t>
      </w:r>
      <w:r>
        <w:rPr>
          <w:rFonts w:ascii="仿宋" w:hAnsi="仿宋" w:eastAsia="仿宋"/>
          <w:sz w:val="24"/>
          <w:szCs w:val="28"/>
        </w:rPr>
        <w:t>.2.3</w:t>
      </w:r>
      <w:r>
        <w:rPr>
          <w:rFonts w:hint="eastAsia" w:ascii="仿宋" w:hAnsi="仿宋" w:eastAsia="仿宋"/>
          <w:sz w:val="24"/>
          <w:szCs w:val="28"/>
        </w:rPr>
        <w:t>中，特别列出了设施管理中对于管理平台在软件与硬件方面的要求。互联网技术发展到当前这个阶段，利用互联网技术辅助管理已被广泛应用，在体育设施管理的领域可以充分发挥移互联网技术优势。</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（五）设施维护管理</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该部分重点说明了设施维护管理的整体流程以及各关键流程的节点的管理要求，包含了设施维护管理过程的整体要求说明、运维管理流程、设施普查、设施检查、设施维修和应急管理各方面要求。</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在7</w:t>
      </w:r>
      <w:r>
        <w:rPr>
          <w:rFonts w:ascii="仿宋" w:hAnsi="仿宋" w:eastAsia="仿宋"/>
          <w:sz w:val="24"/>
          <w:szCs w:val="28"/>
        </w:rPr>
        <w:t>.1</w:t>
      </w:r>
      <w:r>
        <w:rPr>
          <w:rFonts w:hint="eastAsia" w:ascii="仿宋" w:hAnsi="仿宋" w:eastAsia="仿宋"/>
          <w:sz w:val="24"/>
          <w:szCs w:val="28"/>
        </w:rPr>
        <w:t>中，明确了对运维管理的目标、计划、流程闭环方面的要求。在7</w:t>
      </w:r>
      <w:r>
        <w:rPr>
          <w:rFonts w:ascii="仿宋" w:hAnsi="仿宋" w:eastAsia="仿宋"/>
          <w:sz w:val="24"/>
          <w:szCs w:val="28"/>
        </w:rPr>
        <w:t>.2</w:t>
      </w:r>
      <w:r>
        <w:rPr>
          <w:rFonts w:hint="eastAsia" w:ascii="仿宋" w:hAnsi="仿宋" w:eastAsia="仿宋"/>
          <w:sz w:val="24"/>
          <w:szCs w:val="28"/>
        </w:rPr>
        <w:t>中，明确了设施普查流程的工作开展方式及工作内容。在7</w:t>
      </w:r>
      <w:r>
        <w:rPr>
          <w:rFonts w:ascii="仿宋" w:hAnsi="仿宋" w:eastAsia="仿宋"/>
          <w:sz w:val="24"/>
          <w:szCs w:val="28"/>
        </w:rPr>
        <w:t>.3</w:t>
      </w:r>
      <w:r>
        <w:rPr>
          <w:rFonts w:hint="eastAsia" w:ascii="仿宋" w:hAnsi="仿宋" w:eastAsia="仿宋"/>
          <w:sz w:val="24"/>
          <w:szCs w:val="28"/>
        </w:rPr>
        <w:t>中明确设施检查的工作开展方式与工作内容，包含对于设施损坏报修以及报修审核的要求，这是下一流程工作基础。第7</w:t>
      </w:r>
      <w:r>
        <w:rPr>
          <w:rFonts w:ascii="仿宋" w:hAnsi="仿宋" w:eastAsia="仿宋"/>
          <w:sz w:val="24"/>
          <w:szCs w:val="28"/>
        </w:rPr>
        <w:t>.4</w:t>
      </w:r>
      <w:r>
        <w:rPr>
          <w:rFonts w:hint="eastAsia" w:ascii="仿宋" w:hAnsi="仿宋" w:eastAsia="仿宋"/>
          <w:sz w:val="24"/>
          <w:szCs w:val="28"/>
        </w:rPr>
        <w:t>中，明确设施维修方面的工作要求以及例外情况处理。在7</w:t>
      </w:r>
      <w:r>
        <w:rPr>
          <w:rFonts w:ascii="仿宋" w:hAnsi="仿宋" w:eastAsia="仿宋"/>
          <w:sz w:val="24"/>
          <w:szCs w:val="28"/>
        </w:rPr>
        <w:t>.5</w:t>
      </w:r>
      <w:r>
        <w:rPr>
          <w:rFonts w:hint="eastAsia" w:ascii="仿宋" w:hAnsi="仿宋" w:eastAsia="仿宋"/>
          <w:sz w:val="24"/>
          <w:szCs w:val="28"/>
        </w:rPr>
        <w:t>中，明确了对于设施管理单位的应急管理要求及应急管理流程，以便当遇到紧急情况时有对应的处理预案。</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（六）设施维护管理评价</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该部分分别从设施管理单位对管理质量监督和对管理评价两方面提出了管理要求。其中8</w:t>
      </w:r>
      <w:r>
        <w:rPr>
          <w:rFonts w:ascii="仿宋" w:hAnsi="仿宋" w:eastAsia="仿宋"/>
          <w:sz w:val="24"/>
          <w:szCs w:val="28"/>
        </w:rPr>
        <w:t>.1</w:t>
      </w:r>
      <w:r>
        <w:rPr>
          <w:rFonts w:hint="eastAsia" w:ascii="仿宋" w:hAnsi="仿宋" w:eastAsia="仿宋"/>
          <w:sz w:val="24"/>
          <w:szCs w:val="28"/>
        </w:rPr>
        <w:t>提出质量监督与评价方面管理整体要求，8</w:t>
      </w:r>
      <w:r>
        <w:rPr>
          <w:rFonts w:ascii="仿宋" w:hAnsi="仿宋" w:eastAsia="仿宋"/>
          <w:sz w:val="24"/>
          <w:szCs w:val="28"/>
        </w:rPr>
        <w:t>.2</w:t>
      </w:r>
      <w:r>
        <w:rPr>
          <w:rFonts w:hint="eastAsia" w:ascii="仿宋" w:hAnsi="仿宋" w:eastAsia="仿宋"/>
          <w:sz w:val="24"/>
          <w:szCs w:val="28"/>
        </w:rPr>
        <w:t>明确了各流程节点的关键考核指标要求，在实际工作中可依据具体设施管理整体现状参照制定具体的指标值。</w:t>
      </w:r>
    </w:p>
    <w:p>
      <w:pPr>
        <w:pStyle w:val="25"/>
        <w:numPr>
          <w:ilvl w:val="0"/>
          <w:numId w:val="3"/>
        </w:numPr>
        <w:ind w:firstLineChars="0"/>
        <w:outlineLvl w:val="0"/>
        <w:rPr>
          <w:rFonts w:ascii="仿宋" w:hAnsi="仿宋" w:eastAsia="仿宋"/>
          <w:sz w:val="28"/>
          <w:szCs w:val="32"/>
        </w:rPr>
      </w:pPr>
      <w:bookmarkStart w:id="16" w:name="_Toc113339817"/>
      <w:r>
        <w:rPr>
          <w:rFonts w:hint="eastAsia" w:ascii="仿宋" w:hAnsi="仿宋" w:eastAsia="仿宋"/>
          <w:sz w:val="28"/>
          <w:szCs w:val="32"/>
        </w:rPr>
        <w:t>重大意见分歧的处理依据和结果。</w:t>
      </w:r>
      <w:bookmarkEnd w:id="16"/>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暂无。</w:t>
      </w:r>
    </w:p>
    <w:p>
      <w:pPr>
        <w:pStyle w:val="25"/>
        <w:numPr>
          <w:ilvl w:val="0"/>
          <w:numId w:val="3"/>
        </w:numPr>
        <w:ind w:firstLineChars="0"/>
        <w:outlineLvl w:val="0"/>
        <w:rPr>
          <w:rFonts w:ascii="仿宋" w:hAnsi="仿宋" w:eastAsia="仿宋"/>
          <w:sz w:val="28"/>
          <w:szCs w:val="32"/>
        </w:rPr>
      </w:pPr>
      <w:bookmarkStart w:id="17" w:name="_Toc113339818"/>
      <w:r>
        <w:rPr>
          <w:rFonts w:hint="eastAsia" w:ascii="仿宋" w:hAnsi="仿宋" w:eastAsia="仿宋"/>
          <w:sz w:val="28"/>
          <w:szCs w:val="32"/>
        </w:rPr>
        <w:t>与国内外同类标准水平的对比情况。</w:t>
      </w:r>
      <w:bookmarkEnd w:id="17"/>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本标准关于产品安全相关要求，采用《</w:t>
      </w:r>
      <w:r>
        <w:rPr>
          <w:rFonts w:ascii="仿宋" w:hAnsi="仿宋" w:eastAsia="仿宋"/>
          <w:sz w:val="24"/>
          <w:szCs w:val="28"/>
        </w:rPr>
        <w:t>GB 19272室外健身器材的安全通用要求》</w:t>
      </w:r>
      <w:r>
        <w:rPr>
          <w:rFonts w:hint="eastAsia" w:ascii="仿宋" w:hAnsi="仿宋" w:eastAsia="仿宋"/>
          <w:sz w:val="24"/>
          <w:szCs w:val="28"/>
        </w:rPr>
        <w:t>的要求；</w:t>
      </w:r>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本标准相对于</w:t>
      </w:r>
      <w:r>
        <w:rPr>
          <w:rFonts w:ascii="仿宋" w:hAnsi="仿宋" w:eastAsia="仿宋"/>
          <w:sz w:val="24"/>
          <w:szCs w:val="28"/>
        </w:rPr>
        <w:t>《GB/T 34290-2017公共体育设施</w:t>
      </w:r>
      <w:r>
        <w:rPr>
          <w:rFonts w:hint="eastAsia" w:ascii="仿宋" w:hAnsi="仿宋" w:eastAsia="仿宋"/>
          <w:sz w:val="24"/>
          <w:szCs w:val="28"/>
        </w:rPr>
        <w:t xml:space="preserve"> </w:t>
      </w:r>
      <w:r>
        <w:rPr>
          <w:rFonts w:ascii="仿宋" w:hAnsi="仿宋" w:eastAsia="仿宋"/>
          <w:sz w:val="24"/>
          <w:szCs w:val="28"/>
        </w:rPr>
        <w:t>室外健身设施的配置与管理》</w:t>
      </w:r>
      <w:r>
        <w:rPr>
          <w:rFonts w:hint="eastAsia" w:ascii="仿宋" w:hAnsi="仿宋" w:eastAsia="仿宋"/>
          <w:sz w:val="24"/>
          <w:szCs w:val="28"/>
        </w:rPr>
        <w:t>，在管理方面做了细致的要求。</w:t>
      </w:r>
    </w:p>
    <w:p>
      <w:pPr>
        <w:pStyle w:val="25"/>
        <w:numPr>
          <w:ilvl w:val="0"/>
          <w:numId w:val="3"/>
        </w:numPr>
        <w:ind w:firstLineChars="0"/>
        <w:outlineLvl w:val="0"/>
        <w:rPr>
          <w:rFonts w:ascii="仿宋" w:hAnsi="仿宋" w:eastAsia="仿宋"/>
          <w:sz w:val="28"/>
          <w:szCs w:val="32"/>
        </w:rPr>
      </w:pPr>
      <w:bookmarkStart w:id="18" w:name="_Toc113339819"/>
      <w:r>
        <w:rPr>
          <w:rFonts w:hint="eastAsia" w:ascii="仿宋" w:hAnsi="仿宋" w:eastAsia="仿宋"/>
          <w:sz w:val="28"/>
          <w:szCs w:val="32"/>
        </w:rPr>
        <w:t>实施标准的措施</w:t>
      </w:r>
      <w:bookmarkEnd w:id="18"/>
    </w:p>
    <w:p>
      <w:pPr>
        <w:pStyle w:val="25"/>
        <w:numPr>
          <w:ilvl w:val="0"/>
          <w:numId w:val="7"/>
        </w:numPr>
        <w:spacing w:before="156" w:beforeLines="50" w:after="156" w:afterLines="50"/>
        <w:ind w:firstLineChars="0"/>
        <w:outlineLvl w:val="1"/>
        <w:rPr>
          <w:rFonts w:ascii="仿宋" w:hAnsi="仿宋" w:eastAsia="仿宋"/>
          <w:sz w:val="24"/>
          <w:szCs w:val="28"/>
        </w:rPr>
      </w:pPr>
      <w:bookmarkStart w:id="19" w:name="_Toc113339820"/>
      <w:r>
        <w:rPr>
          <w:rFonts w:ascii="仿宋" w:hAnsi="仿宋" w:eastAsia="仿宋"/>
          <w:sz w:val="24"/>
          <w:szCs w:val="28"/>
        </w:rPr>
        <w:t>保障措施</w:t>
      </w:r>
      <w:bookmarkEnd w:id="19"/>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为保障标准在实施工作可靠落地，由中国体育科学学会牵头，组织标准制定相关单位和标准适用单位制定标准推广方案，设立标准应用推广专项，在专项中，召开标准交流会，</w:t>
      </w:r>
      <w:r>
        <w:rPr>
          <w:rFonts w:hint="eastAsia" w:ascii="仿宋" w:hAnsi="仿宋" w:eastAsia="仿宋" w:cs="Calibri"/>
          <w:sz w:val="24"/>
          <w:szCs w:val="32"/>
        </w:rPr>
        <w:t>使得能够真实客观地体现标准的示范作用，发挥其价值，为在更大范围内推广应用标准，标准推广应用项目组对于标准推广应用交流会将分别从会议筹备、会议组织、会议召开、形成结论等多个环节，明确工作要求，认真实施。</w:t>
      </w:r>
    </w:p>
    <w:p>
      <w:pPr>
        <w:pStyle w:val="25"/>
        <w:numPr>
          <w:ilvl w:val="0"/>
          <w:numId w:val="7"/>
        </w:numPr>
        <w:spacing w:before="156" w:beforeLines="50" w:after="156" w:afterLines="50"/>
        <w:ind w:firstLineChars="0"/>
        <w:outlineLvl w:val="1"/>
        <w:rPr>
          <w:rFonts w:ascii="仿宋" w:hAnsi="仿宋" w:eastAsia="仿宋"/>
          <w:sz w:val="24"/>
          <w:szCs w:val="28"/>
        </w:rPr>
      </w:pPr>
      <w:bookmarkStart w:id="20" w:name="_Toc113339821"/>
      <w:r>
        <w:rPr>
          <w:rFonts w:hint="eastAsia" w:ascii="仿宋" w:hAnsi="仿宋" w:eastAsia="仿宋"/>
          <w:sz w:val="24"/>
          <w:szCs w:val="28"/>
        </w:rPr>
        <w:t>标准的培训</w:t>
      </w:r>
      <w:bookmarkEnd w:id="20"/>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此标准源于设施管理工作，应用于设施管理工作。在团队执行体育设施管理工作过程中做定期的标准推广与培训会议，体现标准的示范性，范围覆盖华东、华北、西北、西南、华南等多个区域。</w:t>
      </w:r>
    </w:p>
    <w:p>
      <w:pPr>
        <w:pStyle w:val="25"/>
        <w:numPr>
          <w:ilvl w:val="0"/>
          <w:numId w:val="7"/>
        </w:numPr>
        <w:spacing w:before="156" w:beforeLines="50" w:after="156" w:afterLines="50"/>
        <w:ind w:firstLineChars="0"/>
        <w:outlineLvl w:val="1"/>
        <w:rPr>
          <w:rFonts w:ascii="仿宋" w:hAnsi="仿宋" w:eastAsia="仿宋"/>
          <w:sz w:val="24"/>
          <w:szCs w:val="28"/>
        </w:rPr>
      </w:pPr>
      <w:bookmarkStart w:id="21" w:name="_Toc113339822"/>
      <w:r>
        <w:rPr>
          <w:rFonts w:hint="eastAsia" w:ascii="仿宋" w:hAnsi="仿宋" w:eastAsia="仿宋"/>
          <w:sz w:val="24"/>
          <w:szCs w:val="28"/>
        </w:rPr>
        <w:t>试点示范</w:t>
      </w:r>
      <w:bookmarkEnd w:id="21"/>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在标准的推广应用中，在上海市普陀区、新疆维吾尔族自治区乌鲁木齐市和江苏省泰州市等地开展团体标准的试点示范，并在深圳市龙岗区、海南省海口市和五指山市等地方进行应用推广。</w:t>
      </w:r>
    </w:p>
    <w:p>
      <w:pPr>
        <w:pStyle w:val="25"/>
        <w:numPr>
          <w:ilvl w:val="0"/>
          <w:numId w:val="7"/>
        </w:numPr>
        <w:spacing w:before="156" w:beforeLines="50" w:after="156" w:afterLines="50"/>
        <w:ind w:firstLineChars="0"/>
        <w:outlineLvl w:val="1"/>
        <w:rPr>
          <w:rFonts w:ascii="仿宋" w:hAnsi="仿宋" w:eastAsia="仿宋"/>
          <w:sz w:val="24"/>
          <w:szCs w:val="28"/>
        </w:rPr>
      </w:pPr>
      <w:bookmarkStart w:id="22" w:name="_Toc113339823"/>
      <w:r>
        <w:rPr>
          <w:rFonts w:ascii="仿宋" w:hAnsi="仿宋" w:eastAsia="仿宋"/>
          <w:sz w:val="24"/>
          <w:szCs w:val="28"/>
        </w:rPr>
        <w:t>经费落实情况</w:t>
      </w:r>
      <w:bookmarkEnd w:id="22"/>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标准制订所涉及经费，将由标准参与单位明确经费落实具体措施。</w:t>
      </w:r>
    </w:p>
    <w:p>
      <w:pPr>
        <w:pStyle w:val="25"/>
        <w:numPr>
          <w:ilvl w:val="0"/>
          <w:numId w:val="3"/>
        </w:numPr>
        <w:ind w:firstLineChars="0"/>
        <w:outlineLvl w:val="0"/>
        <w:rPr>
          <w:rFonts w:ascii="仿宋" w:hAnsi="仿宋" w:eastAsia="仿宋"/>
          <w:sz w:val="28"/>
          <w:szCs w:val="32"/>
        </w:rPr>
      </w:pPr>
      <w:bookmarkStart w:id="23" w:name="_Toc113339824"/>
      <w:r>
        <w:rPr>
          <w:rFonts w:hint="eastAsia" w:ascii="仿宋" w:hAnsi="仿宋" w:eastAsia="仿宋"/>
          <w:sz w:val="28"/>
          <w:szCs w:val="32"/>
        </w:rPr>
        <w:t>其他应说明的事项。</w:t>
      </w:r>
      <w:bookmarkEnd w:id="23"/>
    </w:p>
    <w:p>
      <w:pPr>
        <w:spacing w:before="156" w:beforeLines="50" w:after="156" w:afterLines="50" w:line="360" w:lineRule="auto"/>
        <w:ind w:firstLine="480" w:firstLineChars="200"/>
        <w:rPr>
          <w:rFonts w:ascii="仿宋" w:hAnsi="仿宋" w:eastAsia="仿宋"/>
          <w:sz w:val="24"/>
          <w:szCs w:val="28"/>
        </w:rPr>
      </w:pPr>
      <w:r>
        <w:rPr>
          <w:rFonts w:hint="eastAsia" w:ascii="仿宋" w:hAnsi="仿宋" w:eastAsia="仿宋"/>
          <w:sz w:val="24"/>
          <w:szCs w:val="28"/>
        </w:rPr>
        <w:t>暂无。</w:t>
      </w:r>
    </w:p>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248"/>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27941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tabs>
        <w:tab w:val="left" w:pos="1248"/>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729E0"/>
    <w:multiLevelType w:val="multilevel"/>
    <w:tmpl w:val="09D729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FC5285"/>
    <w:multiLevelType w:val="multilevel"/>
    <w:tmpl w:val="13FC52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F737F3"/>
    <w:multiLevelType w:val="multilevel"/>
    <w:tmpl w:val="21F737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4C50F90"/>
    <w:multiLevelType w:val="multilevel"/>
    <w:tmpl w:val="44C50F90"/>
    <w:lvl w:ilvl="0" w:tentative="0">
      <w:start w:val="1"/>
      <w:numFmt w:val="lowerLetter"/>
      <w:pStyle w:val="23"/>
      <w:lvlText w:val="%1)"/>
      <w:lvlJc w:val="left"/>
      <w:pPr>
        <w:tabs>
          <w:tab w:val="left" w:pos="851"/>
        </w:tabs>
        <w:ind w:left="851" w:hanging="426"/>
      </w:pPr>
      <w:rPr>
        <w:rFonts w:hint="eastAsia" w:ascii="宋体" w:hAnsi="Times New Roman" w:eastAsia="宋体"/>
        <w:sz w:val="21"/>
      </w:rPr>
    </w:lvl>
    <w:lvl w:ilvl="1" w:tentative="0">
      <w:start w:val="1"/>
      <w:numFmt w:val="decimal"/>
      <w:pStyle w:val="20"/>
      <w:lvlText w:val="%2)"/>
      <w:lvlJc w:val="left"/>
      <w:pPr>
        <w:tabs>
          <w:tab w:val="left" w:pos="1276"/>
        </w:tabs>
        <w:ind w:left="1276" w:hanging="425"/>
      </w:pPr>
      <w:rPr>
        <w:rFonts w:hint="eastAsia" w:ascii="宋体" w:hAnsi="Times New Roman" w:eastAsia="宋体"/>
        <w:sz w:val="21"/>
      </w:rPr>
    </w:lvl>
    <w:lvl w:ilvl="2" w:tentative="0">
      <w:start w:val="1"/>
      <w:numFmt w:val="decimal"/>
      <w:pStyle w:val="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ED45C83"/>
    <w:multiLevelType w:val="multilevel"/>
    <w:tmpl w:val="4ED45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45535A"/>
    <w:multiLevelType w:val="multilevel"/>
    <w:tmpl w:val="614553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eastAsia"/>
      </w:rPr>
    </w:lvl>
    <w:lvl w:ilvl="1" w:tentative="0">
      <w:start w:val="1"/>
      <w:numFmt w:val="decimal"/>
      <w:pStyle w:val="18"/>
      <w:suff w:val="nothing"/>
      <w:lvlText w:val="%1%2　"/>
      <w:lvlJc w:val="left"/>
      <w:pPr>
        <w:ind w:left="0" w:firstLine="0"/>
      </w:pPr>
      <w:rPr>
        <w:rFonts w:hint="eastAsia" w:ascii="黑体" w:eastAsia="黑体"/>
        <w:b w:val="0"/>
        <w:i w:val="0"/>
        <w:sz w:val="21"/>
      </w:rPr>
    </w:lvl>
    <w:lvl w:ilvl="2" w:tentative="0">
      <w:start w:val="1"/>
      <w:numFmt w:val="decimal"/>
      <w:pStyle w:val="1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pStyle w:val="15"/>
      <w:suff w:val="nothing"/>
      <w:lvlText w:val="%1%2.%3.%4.%5　"/>
      <w:lvlJc w:val="left"/>
      <w:pPr>
        <w:ind w:left="0" w:firstLine="0"/>
      </w:pPr>
      <w:rPr>
        <w:rFonts w:hint="eastAsia" w:ascii="黑体" w:eastAsia="黑体"/>
        <w:b w:val="0"/>
        <w:i w:val="0"/>
        <w:sz w:val="21"/>
      </w:rPr>
    </w:lvl>
    <w:lvl w:ilvl="5" w:tentative="0">
      <w:start w:val="1"/>
      <w:numFmt w:val="decimal"/>
      <w:pStyle w:val="16"/>
      <w:suff w:val="nothing"/>
      <w:lvlText w:val="%1%2.%3.%4.%5.%6　"/>
      <w:lvlJc w:val="left"/>
      <w:pPr>
        <w:ind w:left="0" w:firstLine="0"/>
      </w:pPr>
      <w:rPr>
        <w:rFonts w:hint="eastAsia" w:ascii="黑体" w:eastAsia="黑体"/>
        <w:b w:val="0"/>
        <w:i w:val="0"/>
        <w:sz w:val="21"/>
      </w:rPr>
    </w:lvl>
    <w:lvl w:ilvl="6" w:tentative="0">
      <w:start w:val="1"/>
      <w:numFmt w:val="decimal"/>
      <w:pStyle w:val="1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E9201D"/>
    <w:rsid w:val="000A061A"/>
    <w:rsid w:val="00103C30"/>
    <w:rsid w:val="0014552B"/>
    <w:rsid w:val="00190B0E"/>
    <w:rsid w:val="001A6A83"/>
    <w:rsid w:val="001C58D9"/>
    <w:rsid w:val="00226731"/>
    <w:rsid w:val="00255BEE"/>
    <w:rsid w:val="00265DCF"/>
    <w:rsid w:val="002D5051"/>
    <w:rsid w:val="002E0397"/>
    <w:rsid w:val="00323E26"/>
    <w:rsid w:val="00377DDD"/>
    <w:rsid w:val="003952E6"/>
    <w:rsid w:val="003D23B9"/>
    <w:rsid w:val="003F11DC"/>
    <w:rsid w:val="003F7015"/>
    <w:rsid w:val="00434591"/>
    <w:rsid w:val="0044532A"/>
    <w:rsid w:val="00480A16"/>
    <w:rsid w:val="004A268D"/>
    <w:rsid w:val="004F6741"/>
    <w:rsid w:val="005237B3"/>
    <w:rsid w:val="00524AEB"/>
    <w:rsid w:val="00542899"/>
    <w:rsid w:val="00566572"/>
    <w:rsid w:val="005758E7"/>
    <w:rsid w:val="00592FAD"/>
    <w:rsid w:val="005A6714"/>
    <w:rsid w:val="005A71FF"/>
    <w:rsid w:val="005C5F30"/>
    <w:rsid w:val="005C79EE"/>
    <w:rsid w:val="005E2DAB"/>
    <w:rsid w:val="0060175C"/>
    <w:rsid w:val="00602AF0"/>
    <w:rsid w:val="006760F3"/>
    <w:rsid w:val="00696B7C"/>
    <w:rsid w:val="006F56B9"/>
    <w:rsid w:val="007005B7"/>
    <w:rsid w:val="00741197"/>
    <w:rsid w:val="00746BB8"/>
    <w:rsid w:val="00775BFB"/>
    <w:rsid w:val="007B54FD"/>
    <w:rsid w:val="007D3A9A"/>
    <w:rsid w:val="008959E2"/>
    <w:rsid w:val="008E19F7"/>
    <w:rsid w:val="009068E3"/>
    <w:rsid w:val="00951003"/>
    <w:rsid w:val="00985B9B"/>
    <w:rsid w:val="00997CEE"/>
    <w:rsid w:val="009E194B"/>
    <w:rsid w:val="00A1294E"/>
    <w:rsid w:val="00A549B1"/>
    <w:rsid w:val="00AE1098"/>
    <w:rsid w:val="00B16AD6"/>
    <w:rsid w:val="00B27A55"/>
    <w:rsid w:val="00B70FA4"/>
    <w:rsid w:val="00B831A0"/>
    <w:rsid w:val="00B85F6E"/>
    <w:rsid w:val="00BA37D9"/>
    <w:rsid w:val="00BA3BE8"/>
    <w:rsid w:val="00BB35EA"/>
    <w:rsid w:val="00BF5DB5"/>
    <w:rsid w:val="00C25B1A"/>
    <w:rsid w:val="00CA0312"/>
    <w:rsid w:val="00CC756C"/>
    <w:rsid w:val="00D02E1C"/>
    <w:rsid w:val="00D70C8B"/>
    <w:rsid w:val="00DC7127"/>
    <w:rsid w:val="00E07990"/>
    <w:rsid w:val="00E2266F"/>
    <w:rsid w:val="00E615CD"/>
    <w:rsid w:val="00E9201D"/>
    <w:rsid w:val="00EB41B0"/>
    <w:rsid w:val="00EC1B25"/>
    <w:rsid w:val="00EE2AE5"/>
    <w:rsid w:val="00EF68A5"/>
    <w:rsid w:val="00F26B7B"/>
    <w:rsid w:val="00FD74EB"/>
    <w:rsid w:val="1A89314A"/>
    <w:rsid w:val="2BCD41DB"/>
    <w:rsid w:val="7A7A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30"/>
    <w:semiHidden/>
    <w:unhideWhenUsed/>
    <w:qFormat/>
    <w:uiPriority w:val="99"/>
    <w:rPr>
      <w:sz w:val="18"/>
      <w:szCs w:val="18"/>
    </w:rPr>
  </w:style>
  <w:style w:type="paragraph" w:styleId="5">
    <w:name w:val="footer"/>
    <w:basedOn w:val="1"/>
    <w:link w:val="29"/>
    <w:unhideWhenUsed/>
    <w:qFormat/>
    <w:uiPriority w:val="99"/>
    <w:pPr>
      <w:tabs>
        <w:tab w:val="center" w:pos="4153"/>
        <w:tab w:val="right" w:pos="8306"/>
      </w:tabs>
      <w:snapToGrid w:val="0"/>
      <w:jc w:val="left"/>
    </w:pPr>
    <w:rPr>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3">
    <w:name w:val="日期 字符"/>
    <w:basedOn w:val="10"/>
    <w:link w:val="3"/>
    <w:semiHidden/>
    <w:qFormat/>
    <w:uiPriority w:val="99"/>
  </w:style>
  <w:style w:type="paragraph" w:customStyle="1" w:styleId="14">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5">
    <w:name w:val="标准文件_三级条标题"/>
    <w:basedOn w:val="14"/>
    <w:next w:val="1"/>
    <w:qFormat/>
    <w:uiPriority w:val="0"/>
    <w:pPr>
      <w:widowControl/>
      <w:numPr>
        <w:ilvl w:val="4"/>
      </w:numPr>
      <w:outlineLvl w:val="3"/>
    </w:pPr>
  </w:style>
  <w:style w:type="paragraph" w:customStyle="1" w:styleId="16">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7">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8">
    <w:name w:val="标准文件_章标题"/>
    <w:next w:val="1"/>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9">
    <w:name w:val="标准文件_一级条标题"/>
    <w:basedOn w:val="18"/>
    <w:next w:val="1"/>
    <w:qFormat/>
    <w:uiPriority w:val="0"/>
    <w:pPr>
      <w:numPr>
        <w:ilvl w:val="2"/>
      </w:numPr>
      <w:spacing w:before="50" w:beforeLines="50" w:after="50" w:afterLines="50"/>
      <w:outlineLvl w:val="1"/>
    </w:pPr>
  </w:style>
  <w:style w:type="paragraph" w:customStyle="1" w:styleId="20">
    <w:name w:val="标准文件_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21">
    <w:name w:val="标准文件_编号列项（三级）"/>
    <w:qFormat/>
    <w:uiPriority w:val="0"/>
    <w:pPr>
      <w:numPr>
        <w:ilvl w:val="2"/>
        <w:numId w:val="2"/>
      </w:numPr>
    </w:pPr>
    <w:rPr>
      <w:rFonts w:ascii="宋体" w:hAnsi="Times New Roman" w:eastAsia="宋体" w:cs="Times New Roman"/>
      <w:kern w:val="0"/>
      <w:sz w:val="21"/>
      <w:szCs w:val="20"/>
      <w:lang w:val="en-US" w:eastAsia="zh-CN" w:bidi="ar-SA"/>
    </w:rPr>
  </w:style>
  <w:style w:type="paragraph" w:customStyle="1" w:styleId="22">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23">
    <w:name w:val="标准文件_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24">
    <w:name w:val="标准文件_术语条一"/>
    <w:basedOn w:val="1"/>
    <w:next w:val="1"/>
    <w:qFormat/>
    <w:uiPriority w:val="0"/>
    <w:pPr>
      <w:widowControl/>
    </w:pPr>
    <w:rPr>
      <w:rFonts w:ascii="宋体" w:hAnsi="Times New Roman" w:eastAsia="宋体" w:cs="Times New Roman"/>
      <w:kern w:val="0"/>
      <w:szCs w:val="20"/>
    </w:rPr>
  </w:style>
  <w:style w:type="paragraph" w:styleId="25">
    <w:name w:val="List Paragraph"/>
    <w:basedOn w:val="1"/>
    <w:qFormat/>
    <w:uiPriority w:val="34"/>
    <w:pPr>
      <w:ind w:firstLine="420" w:firstLineChars="200"/>
    </w:pPr>
  </w:style>
  <w:style w:type="character" w:customStyle="1" w:styleId="26">
    <w:name w:val="标题 1 字符"/>
    <w:basedOn w:val="10"/>
    <w:link w:val="2"/>
    <w:qFormat/>
    <w:uiPriority w:val="9"/>
    <w:rPr>
      <w:b/>
      <w:bCs/>
      <w:kern w:val="44"/>
      <w:sz w:val="44"/>
      <w:szCs w:val="44"/>
    </w:rPr>
  </w:style>
  <w:style w:type="paragraph" w:customStyle="1" w:styleId="2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8">
    <w:name w:val="页眉 字符"/>
    <w:basedOn w:val="10"/>
    <w:link w:val="6"/>
    <w:qFormat/>
    <w:uiPriority w:val="99"/>
    <w:rPr>
      <w:sz w:val="18"/>
      <w:szCs w:val="18"/>
    </w:rPr>
  </w:style>
  <w:style w:type="character" w:customStyle="1" w:styleId="29">
    <w:name w:val="页脚 字符"/>
    <w:basedOn w:val="10"/>
    <w:link w:val="5"/>
    <w:qFormat/>
    <w:uiPriority w:val="99"/>
    <w:rPr>
      <w:sz w:val="18"/>
      <w:szCs w:val="18"/>
    </w:rPr>
  </w:style>
  <w:style w:type="character" w:customStyle="1" w:styleId="30">
    <w:name w:val="批注框文本 字符"/>
    <w:basedOn w:val="10"/>
    <w:link w:val="4"/>
    <w:semiHidden/>
    <w:qFormat/>
    <w:uiPriority w:val="99"/>
    <w:rPr>
      <w:sz w:val="18"/>
      <w:szCs w:val="18"/>
    </w:rPr>
  </w:style>
  <w:style w:type="paragraph" w:customStyle="1" w:styleId="3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386B-2934-4DC4-ADE8-2AF46FA7156C}">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3612</Words>
  <Characters>3809</Characters>
  <Lines>38</Lines>
  <Paragraphs>10</Paragraphs>
  <TotalTime>2</TotalTime>
  <ScaleCrop>false</ScaleCrop>
  <LinksUpToDate>false</LinksUpToDate>
  <CharactersWithSpaces>3958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2021-12-07T00:08:00Z</dcterms:created>
  <dc:creator>李 久健</dc:creator>
  <cp:lastModifiedBy>杨玮</cp:lastModifiedBy>
  <cp:lastPrinted>2022-05-10T23:21:00Z</cp:lastPrinted>
  <dcterms:modified xsi:type="dcterms:W3CDTF">2022-09-21T01:12:19Z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26A79F2B756E4EB0B3BD9E73E216271B</vt:lpwstr>
  </property>
</Properties>
</file>