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6" w:type="dxa"/>
        <w:jc w:val="center"/>
        <w:tblLayout w:type="fixed"/>
        <w:tblLook w:val="0000" w:firstRow="0" w:lastRow="0" w:firstColumn="0" w:lastColumn="0" w:noHBand="0" w:noVBand="0"/>
      </w:tblPr>
      <w:tblGrid>
        <w:gridCol w:w="602"/>
        <w:gridCol w:w="4296"/>
        <w:gridCol w:w="1887"/>
        <w:gridCol w:w="873"/>
        <w:gridCol w:w="1114"/>
        <w:gridCol w:w="994"/>
      </w:tblGrid>
      <w:tr w:rsidR="00440EA5" w:rsidTr="00440EA5">
        <w:tblPrEx>
          <w:tblCellMar>
            <w:top w:w="0" w:type="dxa"/>
            <w:bottom w:w="0" w:type="dxa"/>
          </w:tblCellMar>
        </w:tblPrEx>
        <w:trPr>
          <w:trHeight w:val="509"/>
          <w:jc w:val="center"/>
        </w:trPr>
        <w:tc>
          <w:tcPr>
            <w:tcW w:w="4898" w:type="dxa"/>
            <w:gridSpan w:val="2"/>
            <w:tcBorders>
              <w:top w:val="nil"/>
              <w:left w:val="nil"/>
              <w:bottom w:val="nil"/>
              <w:right w:val="nil"/>
            </w:tcBorders>
          </w:tcPr>
          <w:p w:rsidR="00440EA5" w:rsidRDefault="00440EA5">
            <w:pPr>
              <w:autoSpaceDE w:val="0"/>
              <w:autoSpaceDN w:val="0"/>
              <w:adjustRightInd w:val="0"/>
              <w:jc w:val="left"/>
              <w:rPr>
                <w:rFonts w:ascii="宋体" w:eastAsia="宋体" w:cs="宋体"/>
                <w:b/>
                <w:bCs/>
                <w:color w:val="000000"/>
                <w:kern w:val="0"/>
                <w:sz w:val="28"/>
                <w:szCs w:val="28"/>
              </w:rPr>
            </w:pPr>
            <w:r>
              <w:rPr>
                <w:rFonts w:ascii="宋体" w:eastAsia="宋体" w:cs="宋体" w:hint="eastAsia"/>
                <w:b/>
                <w:bCs/>
                <w:color w:val="000000"/>
                <w:kern w:val="0"/>
                <w:sz w:val="28"/>
                <w:szCs w:val="28"/>
              </w:rPr>
              <w:t>附件</w:t>
            </w:r>
            <w:r>
              <w:rPr>
                <w:rFonts w:ascii="宋体" w:eastAsia="宋体" w:cs="宋体"/>
                <w:b/>
                <w:bCs/>
                <w:color w:val="000000"/>
                <w:kern w:val="0"/>
                <w:sz w:val="28"/>
                <w:szCs w:val="28"/>
              </w:rPr>
              <w:t>1</w:t>
            </w:r>
            <w:r>
              <w:rPr>
                <w:rFonts w:ascii="宋体" w:eastAsia="宋体" w:cs="宋体" w:hint="eastAsia"/>
                <w:b/>
                <w:bCs/>
                <w:color w:val="000000"/>
                <w:kern w:val="0"/>
                <w:sz w:val="28"/>
                <w:szCs w:val="28"/>
              </w:rPr>
              <w:t>：</w:t>
            </w:r>
          </w:p>
        </w:tc>
        <w:tc>
          <w:tcPr>
            <w:tcW w:w="1887" w:type="dxa"/>
            <w:tcBorders>
              <w:top w:val="nil"/>
              <w:left w:val="nil"/>
              <w:bottom w:val="nil"/>
              <w:right w:val="nil"/>
            </w:tcBorders>
          </w:tcPr>
          <w:p w:rsidR="00440EA5" w:rsidRDefault="00440EA5">
            <w:pPr>
              <w:autoSpaceDE w:val="0"/>
              <w:autoSpaceDN w:val="0"/>
              <w:adjustRightInd w:val="0"/>
              <w:jc w:val="center"/>
              <w:rPr>
                <w:rFonts w:ascii="宋体" w:eastAsia="宋体" w:cs="宋体"/>
                <w:color w:val="000000"/>
                <w:kern w:val="0"/>
                <w:sz w:val="22"/>
              </w:rPr>
            </w:pPr>
          </w:p>
        </w:tc>
        <w:tc>
          <w:tcPr>
            <w:tcW w:w="873" w:type="dxa"/>
            <w:tcBorders>
              <w:top w:val="nil"/>
              <w:left w:val="nil"/>
              <w:bottom w:val="nil"/>
              <w:right w:val="nil"/>
            </w:tcBorders>
          </w:tcPr>
          <w:p w:rsidR="00440EA5" w:rsidRDefault="00440EA5">
            <w:pPr>
              <w:autoSpaceDE w:val="0"/>
              <w:autoSpaceDN w:val="0"/>
              <w:adjustRightInd w:val="0"/>
              <w:jc w:val="center"/>
              <w:rPr>
                <w:rFonts w:ascii="宋体" w:eastAsia="宋体" w:cs="宋体"/>
                <w:color w:val="000000"/>
                <w:kern w:val="0"/>
                <w:sz w:val="22"/>
              </w:rPr>
            </w:pPr>
          </w:p>
        </w:tc>
        <w:tc>
          <w:tcPr>
            <w:tcW w:w="1114" w:type="dxa"/>
            <w:tcBorders>
              <w:top w:val="nil"/>
              <w:left w:val="nil"/>
              <w:bottom w:val="nil"/>
              <w:right w:val="nil"/>
            </w:tcBorders>
          </w:tcPr>
          <w:p w:rsidR="00440EA5" w:rsidRDefault="00440EA5">
            <w:pPr>
              <w:autoSpaceDE w:val="0"/>
              <w:autoSpaceDN w:val="0"/>
              <w:adjustRightInd w:val="0"/>
              <w:jc w:val="center"/>
              <w:rPr>
                <w:rFonts w:ascii="宋体" w:eastAsia="宋体" w:cs="宋体"/>
                <w:color w:val="000000"/>
                <w:kern w:val="0"/>
                <w:sz w:val="22"/>
              </w:rPr>
            </w:pPr>
          </w:p>
        </w:tc>
        <w:tc>
          <w:tcPr>
            <w:tcW w:w="994" w:type="dxa"/>
            <w:tcBorders>
              <w:top w:val="nil"/>
              <w:left w:val="nil"/>
              <w:bottom w:val="nil"/>
              <w:right w:val="nil"/>
            </w:tcBorders>
          </w:tcPr>
          <w:p w:rsidR="00440EA5" w:rsidRDefault="00440EA5">
            <w:pPr>
              <w:autoSpaceDE w:val="0"/>
              <w:autoSpaceDN w:val="0"/>
              <w:adjustRightInd w:val="0"/>
              <w:jc w:val="center"/>
              <w:rPr>
                <w:rFonts w:ascii="宋体" w:eastAsia="宋体" w:cs="宋体"/>
                <w:color w:val="000000"/>
                <w:kern w:val="0"/>
                <w:sz w:val="22"/>
              </w:rPr>
            </w:pPr>
          </w:p>
        </w:tc>
      </w:tr>
      <w:tr w:rsidR="00440EA5" w:rsidTr="00FE29D9">
        <w:tblPrEx>
          <w:tblCellMar>
            <w:top w:w="0" w:type="dxa"/>
            <w:bottom w:w="0" w:type="dxa"/>
          </w:tblCellMar>
        </w:tblPrEx>
        <w:trPr>
          <w:trHeight w:val="509"/>
          <w:jc w:val="center"/>
        </w:trPr>
        <w:tc>
          <w:tcPr>
            <w:tcW w:w="9766" w:type="dxa"/>
            <w:gridSpan w:val="6"/>
            <w:tcBorders>
              <w:top w:val="nil"/>
              <w:left w:val="nil"/>
              <w:bottom w:val="single" w:sz="6" w:space="0" w:color="auto"/>
              <w:right w:val="nil"/>
            </w:tcBorders>
          </w:tcPr>
          <w:p w:rsidR="00440EA5" w:rsidRDefault="00440EA5">
            <w:pPr>
              <w:autoSpaceDE w:val="0"/>
              <w:autoSpaceDN w:val="0"/>
              <w:adjustRightInd w:val="0"/>
              <w:jc w:val="center"/>
              <w:rPr>
                <w:rFonts w:ascii="宋体" w:eastAsia="宋体" w:cs="宋体"/>
                <w:b/>
                <w:bCs/>
                <w:color w:val="000000"/>
                <w:kern w:val="0"/>
                <w:sz w:val="36"/>
                <w:szCs w:val="36"/>
              </w:rPr>
            </w:pPr>
            <w:bookmarkStart w:id="0" w:name="_GoBack"/>
            <w:r>
              <w:rPr>
                <w:rFonts w:ascii="宋体" w:eastAsia="宋体" w:cs="宋体" w:hint="eastAsia"/>
                <w:b/>
                <w:bCs/>
                <w:color w:val="000000"/>
                <w:kern w:val="0"/>
                <w:sz w:val="36"/>
                <w:szCs w:val="36"/>
              </w:rPr>
              <w:t>科学健身指导内容立项项目表</w:t>
            </w:r>
            <w:bookmarkEnd w:id="0"/>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序号</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项目名称</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申报单位</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负责人</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资助经费（万元）</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中老年人脊柱功能训练方法体系建立的研究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成都体育学院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代毅</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科学跑步内容平台的建设与推广</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南京体育学院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戴剑松</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我国国民科学健身素养状况与促进策略研究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冯连世</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《中国</w:t>
            </w:r>
            <w:r>
              <w:rPr>
                <w:rFonts w:ascii="宋体" w:eastAsia="宋体" w:cs="宋体"/>
                <w:color w:val="000000"/>
                <w:kern w:val="0"/>
                <w:sz w:val="22"/>
              </w:rPr>
              <w:t>0-6</w:t>
            </w:r>
            <w:r>
              <w:rPr>
                <w:rFonts w:ascii="宋体" w:eastAsia="宋体" w:cs="宋体" w:hint="eastAsia"/>
                <w:color w:val="000000"/>
                <w:kern w:val="0"/>
                <w:sz w:val="22"/>
              </w:rPr>
              <w:t>岁儿童身体活动指南》开发与研制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首都体育学院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郝晓岑</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足踝保护的技术体系与方法</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矫玮</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中国大众滑雪科学健身指导研究与技能等级标准体系构建</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沈阳体育学院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刘仁辉</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智能户外健身器材科学指导和服务系统项目</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南京体育学院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孙飙</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中国青少年健身评估体系的研究与运用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唐炎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w:t>
            </w:r>
            <w:r>
              <w:rPr>
                <w:rFonts w:ascii="宋体" w:eastAsia="宋体" w:cs="宋体"/>
                <w:color w:val="000000"/>
                <w:kern w:val="0"/>
                <w:sz w:val="22"/>
              </w:rPr>
              <w:t>GIS</w:t>
            </w:r>
            <w:r>
              <w:rPr>
                <w:rFonts w:ascii="宋体" w:eastAsia="宋体" w:cs="宋体" w:hint="eastAsia"/>
                <w:color w:val="000000"/>
                <w:kern w:val="0"/>
                <w:sz w:val="22"/>
              </w:rPr>
              <w:t>、</w:t>
            </w:r>
            <w:r>
              <w:rPr>
                <w:rFonts w:ascii="宋体" w:eastAsia="宋体" w:cs="宋体"/>
                <w:color w:val="000000"/>
                <w:kern w:val="0"/>
                <w:sz w:val="22"/>
              </w:rPr>
              <w:t>GPS</w:t>
            </w:r>
            <w:r>
              <w:rPr>
                <w:rFonts w:ascii="宋体" w:eastAsia="宋体" w:cs="宋体" w:hint="eastAsia"/>
                <w:color w:val="000000"/>
                <w:kern w:val="0"/>
                <w:sz w:val="22"/>
              </w:rPr>
              <w:t>和加速度计的老年人健身活动规律与社区健身设施优化布局研究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南京师范大学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王竹影</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基于传感器和数据技术的青少年智慧篮球训练系统</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首都体育学院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吴昊</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重点项目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健身气功健身指导技术创新研究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范铜刚</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糖尿病前期人群规范化运动处方研制与应用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天津体育学院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李庆雯</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“健康中国</w:t>
            </w:r>
            <w:r>
              <w:rPr>
                <w:rFonts w:ascii="宋体" w:eastAsia="宋体" w:cs="宋体"/>
                <w:color w:val="000000"/>
                <w:kern w:val="0"/>
                <w:sz w:val="22"/>
              </w:rPr>
              <w:t>2030</w:t>
            </w:r>
            <w:r>
              <w:rPr>
                <w:rFonts w:ascii="宋体" w:eastAsia="宋体" w:cs="宋体" w:hint="eastAsia"/>
                <w:color w:val="000000"/>
                <w:kern w:val="0"/>
                <w:sz w:val="22"/>
              </w:rPr>
              <w:t>”背景下我国大众健身公共空间的构建研究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沈阳体育学院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刘元国</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心率变异阈值</w:t>
            </w:r>
            <w:r>
              <w:rPr>
                <w:rFonts w:ascii="宋体" w:eastAsia="宋体" w:cs="宋体"/>
                <w:color w:val="000000"/>
                <w:kern w:val="0"/>
                <w:sz w:val="22"/>
              </w:rPr>
              <w:t>(HRVT)</w:t>
            </w:r>
            <w:r>
              <w:rPr>
                <w:rFonts w:ascii="宋体" w:eastAsia="宋体" w:cs="宋体" w:hint="eastAsia"/>
                <w:color w:val="000000"/>
                <w:kern w:val="0"/>
                <w:sz w:val="22"/>
              </w:rPr>
              <w:t>：评估超重</w:t>
            </w:r>
            <w:r>
              <w:rPr>
                <w:rFonts w:ascii="宋体" w:eastAsia="宋体" w:cs="宋体"/>
                <w:color w:val="000000"/>
                <w:kern w:val="0"/>
                <w:sz w:val="22"/>
              </w:rPr>
              <w:t>/</w:t>
            </w:r>
            <w:r>
              <w:rPr>
                <w:rFonts w:ascii="宋体" w:eastAsia="宋体" w:cs="宋体" w:hint="eastAsia"/>
                <w:color w:val="000000"/>
                <w:kern w:val="0"/>
                <w:sz w:val="22"/>
              </w:rPr>
              <w:t>肥胖青年男性无氧阈的可行方法</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山东体育学院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黄传业</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青少年身体姿态异常筛查与综合干预方案的实施</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中国教育科学研究院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周誉</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运动干预对轻中度帕金森患者步态和姿势控制的影响</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庄洁</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促进健康老龄化的有氧运动方法</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蔡有志</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幼儿园天足健身益智运动的推广</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杭州师范大学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陈佑</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lastRenderedPageBreak/>
              <w:t>19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大众冰雪运动防护措施构建与推广</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沈阳体育学院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程文广</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不同人群体质健康存在主要问题及运动营养综合干预技术的研究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北京康比特运动营养研究所有限公司</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焦颖</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慢性阻塞性肺疾病养肺运动处方康复效果评价</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上海中医药大学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刘晓丹</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健身跑过程中运动表面差异对肌肉调谐和下肢刚度的影响</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刘晔</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农村老年人科学健身行为干预适宜技术研究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卢文云</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个体化运动处方实例解析</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任弘</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学生健身指导新技术包的整合与实证研究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北京大学儿童青少年卫生研究所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宋逸</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健身气功对中青年高知人群交感神经功能的影响及中介变量研究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同济大学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孙婧瑜</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体态与健康服务体系研究与应用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广州体育学院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王春阳</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老年科学健身指导内容在医养结合中的推广路径研究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王富百慧</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促进学前儿童早期综合发展的大动作教学法研究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王欢</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《运动处方概要》编译</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王娟</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以体力活动为核心的老年人生活方式综合干预与健康促进的实施方法与模式</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王梅</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体育锻炼减缓抑郁的行为特点及应用效果研究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天津体育学院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王梦阳</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自主神经锻炼与健康促进</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华南师范大学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王松涛</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“储肌运动”对老年心脑血管疾病的运动干预研究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天津体育学院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严红</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爱动健身服务云平台在处方化提升国民体质过程中的作用研究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深圳泰山体育科技股份有限公司</w:t>
            </w:r>
            <w:r>
              <w:rPr>
                <w:rFonts w:ascii="宋体" w:eastAsia="宋体" w:cs="宋体"/>
                <w:color w:val="000000"/>
                <w:kern w:val="0"/>
                <w:sz w:val="22"/>
              </w:rPr>
              <w:t xml:space="preserve"> </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姚晓峰</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运动视频图像处理技术在全民健身指导中的应用研究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苑廷刚</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体育锻炼对我国东北地区中老年运动能力增龄性变化特征的实证研究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哈尔滨体育学院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赵玉华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国民体质检测车评价系统与专家指导系统的构建</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周未艾</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不同运动方式的青少年脊柱机能与身体功能动作现状的研究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湖北省体育科学研究所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曹洁</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lastRenderedPageBreak/>
              <w:t>40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儿童青少年体质健康评价及运动指导系统研究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南京师范大学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陈培友</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高强度间歇训练对延缓中老年人认知功能下降的功效研究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房国梁</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高强度间歇训练机体能量代谢、底物代谢及相关代谢激素特征研究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封文平</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功能性动作训练预防老人跌倒的研究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高晓嶙</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高强度间歇性训练（</w:t>
            </w:r>
            <w:r>
              <w:rPr>
                <w:rFonts w:ascii="宋体" w:eastAsia="宋体" w:cs="宋体"/>
                <w:color w:val="000000"/>
                <w:kern w:val="0"/>
                <w:sz w:val="22"/>
              </w:rPr>
              <w:t xml:space="preserve"> HIIT HIIT</w:t>
            </w:r>
            <w:r>
              <w:rPr>
                <w:rFonts w:ascii="宋体" w:eastAsia="宋体" w:cs="宋体" w:hint="eastAsia"/>
                <w:color w:val="000000"/>
                <w:kern w:val="0"/>
                <w:sz w:val="22"/>
              </w:rPr>
              <w:t>）对青年大学生执行功能的影响及机制研究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上海交通大学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黄涛</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基于健康行为理论的中学生体能活动伤害的干预研究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汕头大学医学院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李丽萍</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肌肉力量训练促进</w:t>
            </w:r>
            <w:r>
              <w:rPr>
                <w:rFonts w:ascii="宋体" w:eastAsia="宋体" w:cs="宋体"/>
                <w:color w:val="000000"/>
                <w:kern w:val="0"/>
                <w:sz w:val="22"/>
              </w:rPr>
              <w:t xml:space="preserve">2 </w:t>
            </w:r>
            <w:r>
              <w:rPr>
                <w:rFonts w:ascii="宋体" w:eastAsia="宋体" w:cs="宋体" w:hint="eastAsia"/>
                <w:color w:val="000000"/>
                <w:kern w:val="0"/>
                <w:sz w:val="22"/>
              </w:rPr>
              <w:t>型糖尿病患者健康的循证运动医学研究——《</w:t>
            </w:r>
            <w:r>
              <w:rPr>
                <w:rFonts w:ascii="宋体" w:eastAsia="宋体" w:cs="宋体"/>
                <w:color w:val="000000"/>
                <w:kern w:val="0"/>
                <w:sz w:val="22"/>
              </w:rPr>
              <w:t xml:space="preserve">2 </w:t>
            </w:r>
            <w:r>
              <w:rPr>
                <w:rFonts w:ascii="宋体" w:eastAsia="宋体" w:cs="宋体" w:hint="eastAsia"/>
                <w:color w:val="000000"/>
                <w:kern w:val="0"/>
                <w:sz w:val="22"/>
              </w:rPr>
              <w:t>型糖尿病肌肉力量训练治疗指南》的研制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李然</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color w:val="000000"/>
                <w:kern w:val="0"/>
                <w:sz w:val="22"/>
              </w:rPr>
              <w:t>sEMG</w:t>
            </w:r>
            <w:r>
              <w:rPr>
                <w:rFonts w:ascii="宋体" w:eastAsia="宋体" w:cs="宋体" w:hint="eastAsia"/>
                <w:color w:val="000000"/>
                <w:kern w:val="0"/>
                <w:sz w:val="22"/>
              </w:rPr>
              <w:t>信号通用分析系统的开发及精准力量练习应用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中国海洋大学</w:t>
            </w:r>
          </w:p>
        </w:tc>
        <w:tc>
          <w:tcPr>
            <w:tcW w:w="873" w:type="dxa"/>
            <w:tcBorders>
              <w:top w:val="single" w:sz="6" w:space="0" w:color="auto"/>
              <w:left w:val="single" w:sz="6" w:space="0" w:color="auto"/>
              <w:bottom w:val="single" w:sz="6" w:space="0" w:color="auto"/>
              <w:right w:val="single" w:sz="6" w:space="0" w:color="auto"/>
            </w:tcBorders>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李世明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幼儿功能性不良姿势的评价及有序纠正技术的研究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广西壮族自治区体育科学研究所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李霞</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面向全民健身运动的太极柔力球推广以及研究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湖北大学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刘丹松</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区块链技术在特殊人群科学健身指导中的应用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刘新华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健跑心脏监测装置的研发与应用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武汉体育学院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柳华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残疾人体力活动健身方法整理与汇编</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卢雁</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不同空气质量条件下的健身指数制定</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陆一帆</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华佗五禽戏之虎戏的生物力学研究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同济大学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牛文鑫</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基于移动物联网的大众健身安全服务平台的研发</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武汉体育学院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裴克军</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太极拳运动处方对中老年人膝关节伤病的预防及康复作用的研究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王东敏</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定制化矫形鞋垫在健身跑中防护作用的生物力学研究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国家体育总局体育科学研究所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王向东</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下肢拉伸训练智能装备开发研究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中国医学科学院生物医学工程研究所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吴金鹏</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基于虚拟现实技术的新功能健身自行车的研发</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杭州师范大学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徐飞</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肥胖青少年体质健康促进综合干预模式研</w:t>
            </w:r>
            <w:r>
              <w:rPr>
                <w:rFonts w:ascii="宋体" w:eastAsia="宋体" w:cs="宋体" w:hint="eastAsia"/>
                <w:color w:val="000000"/>
                <w:kern w:val="0"/>
                <w:sz w:val="22"/>
              </w:rPr>
              <w:lastRenderedPageBreak/>
              <w:t>究与应用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lastRenderedPageBreak/>
              <w:t>国家体育总局体</w:t>
            </w:r>
            <w:r>
              <w:rPr>
                <w:rFonts w:ascii="宋体" w:eastAsia="宋体" w:cs="宋体" w:hint="eastAsia"/>
                <w:color w:val="000000"/>
                <w:kern w:val="0"/>
                <w:sz w:val="22"/>
              </w:rPr>
              <w:lastRenderedPageBreak/>
              <w:t>育科学研究所</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lastRenderedPageBreak/>
              <w:t>徐建</w:t>
            </w:r>
            <w:r>
              <w:rPr>
                <w:rFonts w:ascii="宋体" w:eastAsia="宋体" w:cs="宋体" w:hint="eastAsia"/>
                <w:color w:val="000000"/>
                <w:kern w:val="0"/>
                <w:sz w:val="22"/>
              </w:rPr>
              <w:lastRenderedPageBreak/>
              <w:t>方</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lastRenderedPageBreak/>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w:t>
            </w:r>
            <w:r>
              <w:rPr>
                <w:rFonts w:ascii="宋体" w:eastAsia="宋体" w:cs="宋体" w:hint="eastAsia"/>
                <w:color w:val="000000"/>
                <w:kern w:val="0"/>
                <w:sz w:val="22"/>
              </w:rPr>
              <w:lastRenderedPageBreak/>
              <w:t>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lastRenderedPageBreak/>
              <w:t>61</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不同人群科学健身指导、科学健身方法、损伤预防等知识的整理汇总研究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宁夏回族自治区体育科学技术中心</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余小燕</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62</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极简健身的原理与方法</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浙江师范大学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张剑利</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63</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身体锻炼对女性身体自我及心理健康的影响及作用机制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南京师范大学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张立敏</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64</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不同血脂异常人群运动健身有效评估指标的研究与监控体系的建立</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北京体育大学</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张培珍</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65</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“体医结合”健身模式对预防老年人跌倒的研究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华东医院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郑洁皎</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66</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青少年科学健身和营养膳食技术与应用</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中国营养学会</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周瑾</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67</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体育健身项目微视频开发与推广</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王杰</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68</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坐姿振动训练改善老年人下肢功能的效果研究</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上海体育学院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吴雪萍</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69</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基于智能穿戴的青少年足球科学健身服务指导平台的构建和实施</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广州体育学院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林文弢</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r w:rsidR="00440EA5" w:rsidTr="00440EA5">
        <w:tblPrEx>
          <w:tblCellMar>
            <w:top w:w="0" w:type="dxa"/>
            <w:bottom w:w="0" w:type="dxa"/>
          </w:tblCellMar>
        </w:tblPrEx>
        <w:trPr>
          <w:trHeight w:val="509"/>
          <w:jc w:val="center"/>
        </w:trPr>
        <w:tc>
          <w:tcPr>
            <w:tcW w:w="602"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70</w:t>
            </w:r>
          </w:p>
        </w:tc>
        <w:tc>
          <w:tcPr>
            <w:tcW w:w="4296"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少儿武术运动健身指导体系的构建</w:t>
            </w:r>
          </w:p>
        </w:tc>
        <w:tc>
          <w:tcPr>
            <w:tcW w:w="1887"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广州体育学院</w:t>
            </w:r>
          </w:p>
        </w:tc>
        <w:tc>
          <w:tcPr>
            <w:tcW w:w="873"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黄丽英</w:t>
            </w:r>
          </w:p>
        </w:tc>
        <w:tc>
          <w:tcPr>
            <w:tcW w:w="111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440EA5" w:rsidRDefault="00440EA5">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t>一般项目</w:t>
            </w:r>
          </w:p>
        </w:tc>
      </w:tr>
    </w:tbl>
    <w:p w:rsidR="00A32D46" w:rsidRDefault="00A32D46"/>
    <w:sectPr w:rsidR="00A32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9C" w:rsidRDefault="00141B9C" w:rsidP="00440EA5">
      <w:r>
        <w:separator/>
      </w:r>
    </w:p>
  </w:endnote>
  <w:endnote w:type="continuationSeparator" w:id="0">
    <w:p w:rsidR="00141B9C" w:rsidRDefault="00141B9C" w:rsidP="0044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9C" w:rsidRDefault="00141B9C" w:rsidP="00440EA5">
      <w:r>
        <w:separator/>
      </w:r>
    </w:p>
  </w:footnote>
  <w:footnote w:type="continuationSeparator" w:id="0">
    <w:p w:rsidR="00141B9C" w:rsidRDefault="00141B9C" w:rsidP="0044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5"/>
    <w:rsid w:val="000307A5"/>
    <w:rsid w:val="00042206"/>
    <w:rsid w:val="0006579B"/>
    <w:rsid w:val="00085F3D"/>
    <w:rsid w:val="00141B9C"/>
    <w:rsid w:val="001F6DBE"/>
    <w:rsid w:val="00204943"/>
    <w:rsid w:val="00307703"/>
    <w:rsid w:val="0033521A"/>
    <w:rsid w:val="003D4ACE"/>
    <w:rsid w:val="00440EA5"/>
    <w:rsid w:val="00491A58"/>
    <w:rsid w:val="004E4101"/>
    <w:rsid w:val="00663793"/>
    <w:rsid w:val="0068300C"/>
    <w:rsid w:val="00742155"/>
    <w:rsid w:val="00834E10"/>
    <w:rsid w:val="00835A73"/>
    <w:rsid w:val="008C0285"/>
    <w:rsid w:val="009279AA"/>
    <w:rsid w:val="00A32D46"/>
    <w:rsid w:val="00A3369E"/>
    <w:rsid w:val="00A37261"/>
    <w:rsid w:val="00A7210C"/>
    <w:rsid w:val="00BB04DF"/>
    <w:rsid w:val="00BF6456"/>
    <w:rsid w:val="00C30D10"/>
    <w:rsid w:val="00C60469"/>
    <w:rsid w:val="00CB31FB"/>
    <w:rsid w:val="00CC361D"/>
    <w:rsid w:val="00CE7301"/>
    <w:rsid w:val="00D05FC1"/>
    <w:rsid w:val="00D63013"/>
    <w:rsid w:val="00DE7C03"/>
    <w:rsid w:val="00E903F4"/>
    <w:rsid w:val="00EC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8A99BB-F774-4466-92B9-706544FD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EA5"/>
    <w:rPr>
      <w:sz w:val="18"/>
      <w:szCs w:val="18"/>
    </w:rPr>
  </w:style>
  <w:style w:type="paragraph" w:styleId="a4">
    <w:name w:val="footer"/>
    <w:basedOn w:val="a"/>
    <w:link w:val="Char0"/>
    <w:uiPriority w:val="99"/>
    <w:unhideWhenUsed/>
    <w:rsid w:val="00440EA5"/>
    <w:pPr>
      <w:tabs>
        <w:tab w:val="center" w:pos="4153"/>
        <w:tab w:val="right" w:pos="8306"/>
      </w:tabs>
      <w:snapToGrid w:val="0"/>
      <w:jc w:val="left"/>
    </w:pPr>
    <w:rPr>
      <w:sz w:val="18"/>
      <w:szCs w:val="18"/>
    </w:rPr>
  </w:style>
  <w:style w:type="character" w:customStyle="1" w:styleId="Char0">
    <w:name w:val="页脚 Char"/>
    <w:basedOn w:val="a0"/>
    <w:link w:val="a4"/>
    <w:uiPriority w:val="99"/>
    <w:rsid w:val="00440E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2799</Characters>
  <Application>Microsoft Office Word</Application>
  <DocSecurity>0</DocSecurity>
  <Lines>23</Lines>
  <Paragraphs>6</Paragraphs>
  <ScaleCrop>false</ScaleCrop>
  <Company>Microsoft</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贾潇</dc:creator>
  <cp:keywords/>
  <dc:description/>
  <cp:lastModifiedBy>贾潇</cp:lastModifiedBy>
  <cp:revision>2</cp:revision>
  <dcterms:created xsi:type="dcterms:W3CDTF">2017-11-14T07:17:00Z</dcterms:created>
  <dcterms:modified xsi:type="dcterms:W3CDTF">2017-11-14T07:18:00Z</dcterms:modified>
</cp:coreProperties>
</file>