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bCs/>
          <w:sz w:val="36"/>
          <w:szCs w:val="36"/>
        </w:rPr>
      </w:pPr>
      <w:bookmarkStart w:id="0" w:name="_Hlk132311248"/>
    </w:p>
    <w:p>
      <w:pPr>
        <w:jc w:val="center"/>
        <w:rPr>
          <w:rFonts w:ascii="方正小标宋_GBK" w:hAnsi="宋体" w:eastAsia="方正小标宋_GBK"/>
          <w:bCs/>
          <w:sz w:val="36"/>
          <w:szCs w:val="36"/>
        </w:rPr>
      </w:pPr>
      <w:r>
        <w:rPr>
          <w:rFonts w:hint="eastAsia" w:ascii="方正小标宋_GBK" w:hAnsi="宋体" w:eastAsia="方正小标宋_GBK"/>
          <w:bCs/>
          <w:sz w:val="36"/>
          <w:szCs w:val="36"/>
        </w:rPr>
        <w:t>第十五届全国运动会</w:t>
      </w:r>
      <w:r>
        <w:rPr>
          <w:rFonts w:hint="eastAsia" w:ascii="方正小标宋_GBK" w:hAnsi="宋体" w:eastAsia="方正小标宋_GBK"/>
          <w:bCs/>
          <w:sz w:val="36"/>
          <w:szCs w:val="36"/>
          <w:lang w:val="en-US" w:eastAsia="zh-CN"/>
        </w:rPr>
        <w:t>乒乓球</w:t>
      </w:r>
      <w:r>
        <w:rPr>
          <w:rFonts w:hint="eastAsia" w:ascii="方正小标宋_GBK" w:hAnsi="宋体" w:eastAsia="方正小标宋_GBK"/>
          <w:bCs/>
          <w:sz w:val="36"/>
          <w:szCs w:val="36"/>
        </w:rPr>
        <w:t>项目竞赛规程</w:t>
      </w:r>
    </w:p>
    <w:p>
      <w:pPr>
        <w:tabs>
          <w:tab w:val="center" w:pos="4213"/>
          <w:tab w:val="left" w:pos="5815"/>
        </w:tabs>
        <w:jc w:val="left"/>
        <w:rPr>
          <w:rFonts w:hint="eastAsia" w:ascii="方正小标宋_GBK" w:hAnsi="方正小标宋_GBK" w:eastAsia="方正小标宋_GBK" w:cs="方正小标宋_GBK"/>
          <w:bCs/>
          <w:sz w:val="36"/>
          <w:szCs w:val="36"/>
          <w:lang w:eastAsia="zh-CN"/>
        </w:rPr>
      </w:pPr>
      <w:r>
        <w:rPr>
          <w:rFonts w:hint="eastAsia" w:ascii="方正小标宋_GBK" w:hAnsi="宋体" w:eastAsia="方正小标宋_GBK"/>
          <w:bCs/>
          <w:sz w:val="36"/>
          <w:szCs w:val="36"/>
          <w:lang w:eastAsia="zh-CN"/>
        </w:rPr>
        <w:tab/>
      </w:r>
      <w:r>
        <w:rPr>
          <w:rFonts w:hint="eastAsia" w:ascii="方正小标宋_GBK" w:hAnsi="宋体" w:eastAsia="方正小标宋_GBK"/>
          <w:bCs/>
          <w:sz w:val="36"/>
          <w:szCs w:val="36"/>
        </w:rPr>
        <w:t>（成年组）</w:t>
      </w:r>
      <w:r>
        <w:rPr>
          <w:rFonts w:hint="eastAsia" w:ascii="方正小标宋_GBK" w:hAnsi="宋体" w:eastAsia="方正小标宋_GBK"/>
          <w:bCs/>
          <w:sz w:val="36"/>
          <w:szCs w:val="36"/>
          <w:lang w:eastAsia="zh-CN"/>
        </w:rPr>
        <w:tab/>
      </w:r>
    </w:p>
    <w:p>
      <w:pPr>
        <w:ind w:firstLine="640" w:firstLineChars="200"/>
        <w:rPr>
          <w:rFonts w:ascii="黑体" w:hAnsi="黑体" w:eastAsia="黑体" w:cs="黑体"/>
          <w:sz w:val="32"/>
          <w:szCs w:val="32"/>
        </w:rPr>
      </w:pPr>
      <w:r>
        <w:rPr>
          <w:rFonts w:hint="eastAsia" w:ascii="黑体" w:hAnsi="黑体" w:eastAsia="黑体" w:cs="黑体"/>
          <w:sz w:val="32"/>
          <w:szCs w:val="32"/>
        </w:rPr>
        <w:t>一、竞赛项目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男子</w:t>
      </w:r>
      <w:r>
        <w:rPr>
          <w:rFonts w:hint="eastAsia" w:ascii="仿宋" w:hAnsi="仿宋" w:eastAsia="仿宋" w:cs="仿宋"/>
          <w:sz w:val="32"/>
          <w:szCs w:val="32"/>
          <w:lang w:eastAsia="zh-CN"/>
        </w:rPr>
        <w:t>：</w:t>
      </w:r>
      <w:r>
        <w:rPr>
          <w:rFonts w:hint="eastAsia" w:ascii="仿宋" w:hAnsi="仿宋" w:eastAsia="仿宋" w:cs="仿宋"/>
          <w:sz w:val="32"/>
          <w:szCs w:val="32"/>
        </w:rPr>
        <w:t>团体、单打</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女子：团体、单打</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混合：混合双打</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bCs/>
          <w:sz w:val="32"/>
          <w:szCs w:val="32"/>
          <w:lang w:val="en-US" w:eastAsia="zh-CN"/>
        </w:rPr>
      </w:pPr>
      <w:r>
        <w:rPr>
          <w:rFonts w:hint="eastAsia" w:ascii="黑体" w:hAnsi="黑体" w:eastAsia="黑体"/>
          <w:bCs/>
          <w:sz w:val="32"/>
          <w:szCs w:val="32"/>
        </w:rPr>
        <w:t>二、</w:t>
      </w:r>
      <w:r>
        <w:rPr>
          <w:rFonts w:hint="default" w:ascii="黑体" w:hAnsi="黑体" w:eastAsia="黑体"/>
          <w:bCs/>
          <w:sz w:val="32"/>
          <w:szCs w:val="32"/>
        </w:rPr>
        <w:t>参赛</w:t>
      </w:r>
      <w:r>
        <w:rPr>
          <w:rFonts w:hint="eastAsia" w:ascii="黑体" w:hAnsi="黑体" w:eastAsia="黑体"/>
          <w:bCs/>
          <w:sz w:val="32"/>
          <w:szCs w:val="32"/>
        </w:rPr>
        <w:t>资格</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符合《中华人民共和国第十五届运动会竞赛规程总则》（体竞字〔2023〕1号）第四条规定。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）体能测试</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所有参赛运动员（香港、澳门除外）须</w:t>
      </w:r>
      <w:r>
        <w:rPr>
          <w:rFonts w:hint="eastAsia" w:ascii="仿宋" w:hAnsi="仿宋" w:eastAsia="仿宋" w:cs="仿宋"/>
          <w:sz w:val="32"/>
          <w:szCs w:val="32"/>
          <w:lang w:val="en-US" w:eastAsia="zh-CN"/>
        </w:rPr>
        <w:t>通过</w:t>
      </w:r>
      <w:r>
        <w:rPr>
          <w:rFonts w:hint="eastAsia" w:ascii="仿宋" w:hAnsi="仿宋" w:eastAsia="仿宋" w:cs="仿宋"/>
          <w:sz w:val="32"/>
          <w:szCs w:val="32"/>
        </w:rPr>
        <w:t>体能测试，</w:t>
      </w:r>
      <w:r>
        <w:rPr>
          <w:rFonts w:hint="eastAsia" w:ascii="仿宋" w:hAnsi="仿宋" w:eastAsia="仿宋" w:cs="仿宋"/>
          <w:sz w:val="32"/>
          <w:szCs w:val="32"/>
          <w:lang w:val="en-US" w:eastAsia="zh-CN"/>
        </w:rPr>
        <w:t>体能测试成绩</w:t>
      </w:r>
      <w:r>
        <w:rPr>
          <w:rFonts w:hint="eastAsia" w:ascii="仿宋" w:hAnsi="仿宋" w:eastAsia="仿宋" w:cs="仿宋"/>
          <w:sz w:val="32"/>
          <w:szCs w:val="32"/>
        </w:rPr>
        <w:t>达标方可参赛。体能测试方案详见附件</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bidi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运动员从资格赛开始就须确定参赛组别，只能从青年组或成年组当中选择一个组别。</w:t>
      </w:r>
      <w:r>
        <w:rPr>
          <w:rFonts w:hint="eastAsia" w:ascii="仿宋" w:hAnsi="仿宋" w:eastAsia="仿宋" w:cs="仿宋"/>
          <w:sz w:val="32"/>
          <w:szCs w:val="32"/>
        </w:rPr>
        <w:t>报名参加</w:t>
      </w:r>
      <w:r>
        <w:rPr>
          <w:rFonts w:hint="eastAsia" w:ascii="仿宋" w:hAnsi="仿宋" w:eastAsia="仿宋" w:cs="仿宋"/>
          <w:sz w:val="32"/>
          <w:szCs w:val="32"/>
          <w:lang w:val="en-US" w:eastAsia="zh-CN"/>
        </w:rPr>
        <w:t>青年组</w:t>
      </w:r>
      <w:r>
        <w:rPr>
          <w:rFonts w:hint="eastAsia" w:ascii="仿宋" w:hAnsi="仿宋" w:eastAsia="仿宋" w:cs="仿宋"/>
          <w:sz w:val="32"/>
          <w:szCs w:val="32"/>
        </w:rPr>
        <w:t>比赛的运动员不得报名参加</w:t>
      </w:r>
      <w:r>
        <w:rPr>
          <w:rFonts w:hint="eastAsia" w:ascii="仿宋" w:hAnsi="仿宋" w:eastAsia="仿宋" w:cs="仿宋"/>
          <w:sz w:val="32"/>
          <w:szCs w:val="32"/>
          <w:shd w:val="clear" w:color="auto" w:fill="auto"/>
        </w:rPr>
        <w:t>成年组比</w:t>
      </w:r>
      <w:r>
        <w:rPr>
          <w:rFonts w:hint="eastAsia" w:ascii="仿宋" w:hAnsi="仿宋" w:eastAsia="仿宋" w:cs="仿宋"/>
          <w:sz w:val="32"/>
          <w:szCs w:val="32"/>
        </w:rPr>
        <w:t>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三、参加办法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sz w:val="32"/>
          <w:szCs w:val="32"/>
        </w:rPr>
        <w:t>（一）资格赛</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每个参赛单位最多可报男、女各1支运动队参加团体比赛。团体比赛每队</w:t>
      </w:r>
      <w:r>
        <w:rPr>
          <w:rFonts w:hint="default" w:ascii="仿宋" w:hAnsi="仿宋" w:eastAsia="仿宋" w:cs="仿宋"/>
          <w:sz w:val="32"/>
          <w:szCs w:val="32"/>
          <w:lang w:val="en-US" w:eastAsia="zh-CN"/>
        </w:rPr>
        <w:t>可</w:t>
      </w:r>
      <w:r>
        <w:rPr>
          <w:rFonts w:hint="eastAsia" w:ascii="仿宋" w:hAnsi="仿宋" w:eastAsia="仿宋" w:cs="仿宋"/>
          <w:sz w:val="32"/>
          <w:szCs w:val="32"/>
          <w:lang w:val="en-US" w:eastAsia="zh-CN"/>
        </w:rPr>
        <w:t xml:space="preserve">报1名领队、1名教练员、至多5名运动员。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2.凡报名参加资格赛团体比赛的运动员，可参加单打和</w:t>
      </w:r>
      <w:r>
        <w:rPr>
          <w:rFonts w:hint="default" w:ascii="仿宋" w:hAnsi="仿宋" w:eastAsia="仿宋" w:cs="仿宋"/>
          <w:sz w:val="32"/>
          <w:szCs w:val="32"/>
        </w:rPr>
        <w:t>混合</w:t>
      </w:r>
      <w:r>
        <w:rPr>
          <w:rFonts w:hint="eastAsia" w:ascii="仿宋" w:hAnsi="仿宋" w:eastAsia="仿宋" w:cs="仿宋"/>
          <w:sz w:val="32"/>
          <w:szCs w:val="32"/>
          <w:lang w:val="en-US" w:eastAsia="zh-CN"/>
        </w:rPr>
        <w:t>双</w:t>
      </w:r>
      <w:r>
        <w:rPr>
          <w:rFonts w:hint="eastAsia" w:ascii="仿宋" w:hAnsi="仿宋" w:eastAsia="仿宋" w:cs="仿宋"/>
          <w:sz w:val="32"/>
          <w:szCs w:val="32"/>
        </w:rPr>
        <w:t>打比赛。运动员</w:t>
      </w:r>
      <w:r>
        <w:rPr>
          <w:rFonts w:hint="eastAsia" w:ascii="仿宋" w:hAnsi="仿宋" w:eastAsia="仿宋" w:cs="仿宋"/>
          <w:sz w:val="32"/>
          <w:szCs w:val="32"/>
          <w:lang w:eastAsia="zh-CN"/>
        </w:rPr>
        <w:t>不能</w:t>
      </w:r>
      <w:r>
        <w:rPr>
          <w:rFonts w:hint="eastAsia" w:ascii="仿宋" w:hAnsi="仿宋" w:eastAsia="仿宋" w:cs="仿宋"/>
          <w:sz w:val="32"/>
          <w:szCs w:val="32"/>
        </w:rPr>
        <w:t>跨单位报名参加混</w:t>
      </w:r>
      <w:r>
        <w:rPr>
          <w:rFonts w:hint="eastAsia" w:ascii="仿宋" w:hAnsi="仿宋" w:eastAsia="仿宋" w:cs="仿宋"/>
          <w:sz w:val="32"/>
          <w:szCs w:val="32"/>
          <w:lang w:val="en-US" w:eastAsia="zh-CN"/>
        </w:rPr>
        <w:t>合</w:t>
      </w:r>
      <w:r>
        <w:rPr>
          <w:rFonts w:hint="eastAsia" w:ascii="仿宋" w:hAnsi="仿宋" w:eastAsia="仿宋" w:cs="仿宋"/>
          <w:sz w:val="32"/>
          <w:szCs w:val="32"/>
        </w:rPr>
        <w:t>双</w:t>
      </w:r>
      <w:r>
        <w:rPr>
          <w:rFonts w:hint="eastAsia" w:ascii="仿宋" w:hAnsi="仿宋" w:eastAsia="仿宋" w:cs="仿宋"/>
          <w:sz w:val="32"/>
          <w:szCs w:val="32"/>
          <w:lang w:val="en-US" w:eastAsia="zh-CN"/>
        </w:rPr>
        <w:t>打</w:t>
      </w:r>
      <w:r>
        <w:rPr>
          <w:rFonts w:hint="eastAsia" w:ascii="仿宋" w:hAnsi="仿宋" w:eastAsia="仿宋" w:cs="仿宋"/>
          <w:sz w:val="32"/>
          <w:szCs w:val="32"/>
        </w:rPr>
        <w:t xml:space="preserve">比赛。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3.获得202</w:t>
      </w:r>
      <w:r>
        <w:rPr>
          <w:rFonts w:hint="default" w:ascii="仿宋" w:hAnsi="仿宋" w:eastAsia="仿宋" w:cs="仿宋"/>
          <w:sz w:val="32"/>
          <w:szCs w:val="32"/>
        </w:rPr>
        <w:t>4</w:t>
      </w:r>
      <w:r>
        <w:rPr>
          <w:rFonts w:hint="eastAsia" w:ascii="仿宋" w:hAnsi="仿宋" w:eastAsia="仿宋" w:cs="仿宋"/>
          <w:sz w:val="32"/>
          <w:szCs w:val="32"/>
        </w:rPr>
        <w:t>年全国</w:t>
      </w:r>
      <w:r>
        <w:rPr>
          <w:rFonts w:hint="eastAsia" w:ascii="仿宋" w:hAnsi="仿宋" w:eastAsia="仿宋" w:cs="仿宋"/>
          <w:sz w:val="32"/>
          <w:szCs w:val="32"/>
          <w:lang w:eastAsia="zh-CN"/>
        </w:rPr>
        <w:t>乒乓球</w:t>
      </w:r>
      <w:r>
        <w:rPr>
          <w:rFonts w:hint="eastAsia" w:ascii="仿宋" w:hAnsi="仿宋" w:eastAsia="仿宋" w:cs="仿宋"/>
          <w:sz w:val="32"/>
          <w:szCs w:val="32"/>
        </w:rPr>
        <w:t>锦标赛团体比赛前4名运动队的运动员，</w:t>
      </w:r>
      <w:r>
        <w:rPr>
          <w:rFonts w:hint="eastAsia" w:ascii="仿宋" w:hAnsi="仿宋" w:eastAsia="仿宋" w:cs="仿宋"/>
          <w:sz w:val="32"/>
          <w:szCs w:val="32"/>
          <w:lang w:eastAsia="zh-CN"/>
        </w:rPr>
        <w:t>如要</w:t>
      </w:r>
      <w:r>
        <w:rPr>
          <w:rFonts w:hint="eastAsia" w:ascii="仿宋" w:hAnsi="仿宋" w:eastAsia="仿宋" w:cs="仿宋"/>
          <w:sz w:val="32"/>
          <w:szCs w:val="32"/>
        </w:rPr>
        <w:t>参加决赛阶段单打</w:t>
      </w:r>
      <w:r>
        <w:rPr>
          <w:rFonts w:hint="eastAsia" w:ascii="仿宋" w:hAnsi="仿宋" w:eastAsia="仿宋" w:cs="仿宋"/>
          <w:sz w:val="32"/>
          <w:szCs w:val="32"/>
          <w:lang w:eastAsia="zh-CN"/>
        </w:rPr>
        <w:t>和混合双打</w:t>
      </w:r>
      <w:r>
        <w:rPr>
          <w:rFonts w:hint="eastAsia" w:ascii="仿宋" w:hAnsi="仿宋" w:eastAsia="仿宋" w:cs="仿宋"/>
          <w:sz w:val="32"/>
          <w:szCs w:val="32"/>
        </w:rPr>
        <w:t>比赛，仍需参加资格赛</w:t>
      </w:r>
      <w:r>
        <w:rPr>
          <w:rFonts w:hint="eastAsia" w:ascii="仿宋" w:hAnsi="仿宋" w:eastAsia="仿宋" w:cs="仿宋"/>
          <w:sz w:val="32"/>
          <w:szCs w:val="32"/>
          <w:lang w:eastAsia="zh-CN"/>
        </w:rPr>
        <w:t>单打和混合双打比赛</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highlight w:val="none"/>
        </w:rPr>
        <w:t>获得2024年巴黎奥运会、202</w:t>
      </w:r>
      <w:r>
        <w:rPr>
          <w:rFonts w:hint="eastAsia" w:ascii="仿宋" w:hAnsi="仿宋" w:eastAsia="仿宋" w:cs="仿宋"/>
          <w:sz w:val="32"/>
          <w:szCs w:val="32"/>
          <w:highlight w:val="none"/>
          <w:lang w:val="en-US" w:eastAsia="zh-CN"/>
        </w:rPr>
        <w:t>2年至2025</w:t>
      </w:r>
      <w:r>
        <w:rPr>
          <w:rFonts w:hint="eastAsia" w:ascii="仿宋" w:hAnsi="仿宋" w:eastAsia="仿宋" w:cs="仿宋"/>
          <w:sz w:val="32"/>
          <w:szCs w:val="32"/>
          <w:highlight w:val="none"/>
        </w:rPr>
        <w:t>年世界锦标赛、2024年</w:t>
      </w:r>
      <w:r>
        <w:rPr>
          <w:rFonts w:hint="eastAsia" w:ascii="仿宋" w:hAnsi="仿宋" w:eastAsia="仿宋" w:cs="仿宋"/>
          <w:sz w:val="32"/>
          <w:szCs w:val="32"/>
          <w:highlight w:val="none"/>
          <w:lang w:val="en-US" w:eastAsia="zh-CN"/>
        </w:rPr>
        <w:t>和2025年</w:t>
      </w:r>
      <w:r>
        <w:rPr>
          <w:rFonts w:hint="eastAsia" w:ascii="仿宋" w:hAnsi="仿宋" w:eastAsia="仿宋" w:cs="仿宋"/>
          <w:sz w:val="32"/>
          <w:szCs w:val="32"/>
        </w:rPr>
        <w:t>男女单打世界杯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2023年和2024年混合团体世界杯</w:t>
      </w:r>
      <w:r>
        <w:rPr>
          <w:rFonts w:hint="eastAsia" w:ascii="仿宋" w:hAnsi="仿宋" w:eastAsia="仿宋" w:cs="仿宋"/>
          <w:sz w:val="32"/>
          <w:szCs w:val="32"/>
        </w:rPr>
        <w:t>各</w:t>
      </w:r>
      <w:r>
        <w:rPr>
          <w:rFonts w:hint="eastAsia" w:ascii="仿宋" w:hAnsi="仿宋" w:eastAsia="仿宋" w:cs="仿宋"/>
          <w:sz w:val="32"/>
          <w:szCs w:val="32"/>
          <w:lang w:val="en-US" w:eastAsia="zh-CN"/>
        </w:rPr>
        <w:t>小项</w:t>
      </w:r>
      <w:r>
        <w:rPr>
          <w:rFonts w:hint="eastAsia" w:ascii="仿宋" w:hAnsi="仿宋" w:eastAsia="仿宋" w:cs="仿宋"/>
          <w:sz w:val="32"/>
          <w:szCs w:val="32"/>
        </w:rPr>
        <w:t>前3名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2024年亚洲乒乓球锦标赛冠军和2025年亚洲杯冠军</w:t>
      </w:r>
      <w:r>
        <w:rPr>
          <w:rFonts w:hint="eastAsia" w:ascii="仿宋" w:hAnsi="仿宋" w:eastAsia="仿宋" w:cs="仿宋"/>
          <w:sz w:val="32"/>
          <w:szCs w:val="32"/>
        </w:rPr>
        <w:t>的运动员</w:t>
      </w:r>
      <w:r>
        <w:rPr>
          <w:rFonts w:hint="eastAsia" w:ascii="仿宋" w:hAnsi="仿宋" w:eastAsia="仿宋" w:cs="仿宋"/>
          <w:sz w:val="32"/>
          <w:szCs w:val="32"/>
          <w:lang w:val="en-US" w:eastAsia="zh-CN"/>
        </w:rPr>
        <w:t>可直接参加决赛阶段单打比赛。上述运动员如要</w:t>
      </w:r>
      <w:r>
        <w:rPr>
          <w:rFonts w:hint="eastAsia" w:ascii="仿宋" w:hAnsi="仿宋" w:eastAsia="仿宋" w:cs="仿宋"/>
          <w:sz w:val="32"/>
          <w:szCs w:val="32"/>
        </w:rPr>
        <w:t>参加决赛阶段混合双打比赛，</w:t>
      </w:r>
      <w:r>
        <w:rPr>
          <w:rFonts w:hint="eastAsia" w:ascii="仿宋" w:hAnsi="仿宋" w:eastAsia="仿宋" w:cs="仿宋"/>
          <w:sz w:val="32"/>
          <w:szCs w:val="32"/>
          <w:lang w:val="en-US" w:eastAsia="zh-CN"/>
        </w:rPr>
        <w:t>仍</w:t>
      </w:r>
      <w:r>
        <w:rPr>
          <w:rFonts w:hint="eastAsia" w:ascii="仿宋" w:hAnsi="仿宋" w:eastAsia="仿宋" w:cs="仿宋"/>
          <w:sz w:val="32"/>
          <w:szCs w:val="32"/>
        </w:rPr>
        <w:t>需参加资格赛</w:t>
      </w:r>
      <w:r>
        <w:rPr>
          <w:rFonts w:hint="eastAsia" w:ascii="仿宋" w:hAnsi="仿宋" w:eastAsia="仿宋" w:cs="仿宋"/>
          <w:sz w:val="32"/>
          <w:szCs w:val="32"/>
          <w:lang w:eastAsia="zh-CN"/>
        </w:rPr>
        <w:t>混合双打比赛</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（二）决赛</w:t>
      </w:r>
      <w:r>
        <w:rPr>
          <w:rFonts w:hint="eastAsia" w:ascii="楷体" w:hAnsi="楷体" w:eastAsia="楷体" w:cs="楷体"/>
          <w:b w:val="0"/>
          <w:bCs w:val="0"/>
          <w:sz w:val="32"/>
          <w:szCs w:val="32"/>
          <w:lang w:eastAsia="zh-CN"/>
        </w:rPr>
        <w:t>阶段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1.2</w:t>
      </w:r>
      <w:r>
        <w:rPr>
          <w:rFonts w:hint="eastAsia" w:ascii="仿宋" w:hAnsi="仿宋" w:eastAsia="仿宋" w:cs="仿宋"/>
          <w:sz w:val="32"/>
          <w:szCs w:val="32"/>
          <w:lang w:val="en-US" w:eastAsia="zh-CN"/>
        </w:rPr>
        <w:t xml:space="preserve">024年全国乒乓球锦标赛男、女团体前4名的运动队和资格赛男、女团体前12名的运动队，获得决赛阶段团体比赛资格。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highlight w:val="none"/>
        </w:rPr>
        <w:t>2024年巴黎奥运会、202</w:t>
      </w:r>
      <w:r>
        <w:rPr>
          <w:rFonts w:hint="eastAsia" w:ascii="仿宋" w:hAnsi="仿宋" w:eastAsia="仿宋" w:cs="仿宋"/>
          <w:sz w:val="32"/>
          <w:szCs w:val="32"/>
          <w:highlight w:val="none"/>
          <w:lang w:val="en-US" w:eastAsia="zh-CN"/>
        </w:rPr>
        <w:t>2年至2025</w:t>
      </w:r>
      <w:r>
        <w:rPr>
          <w:rFonts w:hint="eastAsia" w:ascii="仿宋" w:hAnsi="仿宋" w:eastAsia="仿宋" w:cs="仿宋"/>
          <w:sz w:val="32"/>
          <w:szCs w:val="32"/>
          <w:highlight w:val="none"/>
        </w:rPr>
        <w:t>年世界锦标赛、2024年</w:t>
      </w:r>
      <w:r>
        <w:rPr>
          <w:rFonts w:hint="eastAsia" w:ascii="仿宋" w:hAnsi="仿宋" w:eastAsia="仿宋" w:cs="仿宋"/>
          <w:sz w:val="32"/>
          <w:szCs w:val="32"/>
          <w:highlight w:val="none"/>
          <w:lang w:val="en-US" w:eastAsia="zh-CN"/>
        </w:rPr>
        <w:t>和2025年</w:t>
      </w:r>
      <w:r>
        <w:rPr>
          <w:rFonts w:hint="eastAsia" w:ascii="仿宋" w:hAnsi="仿宋" w:eastAsia="仿宋" w:cs="仿宋"/>
          <w:sz w:val="32"/>
          <w:szCs w:val="32"/>
        </w:rPr>
        <w:t>男女单打世界杯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2023年和2024年混合团体世界杯</w:t>
      </w:r>
      <w:r>
        <w:rPr>
          <w:rFonts w:hint="eastAsia" w:ascii="仿宋" w:hAnsi="仿宋" w:eastAsia="仿宋" w:cs="仿宋"/>
          <w:sz w:val="32"/>
          <w:szCs w:val="32"/>
        </w:rPr>
        <w:t>各</w:t>
      </w:r>
      <w:r>
        <w:rPr>
          <w:rFonts w:hint="eastAsia" w:ascii="仿宋" w:hAnsi="仿宋" w:eastAsia="仿宋" w:cs="仿宋"/>
          <w:sz w:val="32"/>
          <w:szCs w:val="32"/>
          <w:lang w:val="en-US" w:eastAsia="zh-CN"/>
        </w:rPr>
        <w:t>小项</w:t>
      </w:r>
      <w:r>
        <w:rPr>
          <w:rFonts w:hint="eastAsia" w:ascii="仿宋" w:hAnsi="仿宋" w:eastAsia="仿宋" w:cs="仿宋"/>
          <w:sz w:val="32"/>
          <w:szCs w:val="32"/>
        </w:rPr>
        <w:t>前3名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2024年亚洲乒乓球锦标赛冠军和2025年亚洲杯冠军</w:t>
      </w:r>
      <w:r>
        <w:rPr>
          <w:rFonts w:hint="eastAsia" w:ascii="仿宋" w:hAnsi="仿宋" w:eastAsia="仿宋" w:cs="仿宋"/>
          <w:sz w:val="32"/>
          <w:szCs w:val="32"/>
        </w:rPr>
        <w:t>的运动员</w:t>
      </w:r>
      <w:r>
        <w:rPr>
          <w:rFonts w:hint="eastAsia" w:ascii="仿宋" w:hAnsi="仿宋" w:eastAsia="仿宋" w:cs="仿宋"/>
          <w:sz w:val="32"/>
          <w:szCs w:val="32"/>
          <w:lang w:val="en-US" w:eastAsia="zh-CN"/>
        </w:rPr>
        <w:t>可直接参加决赛阶段单打比赛。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资格赛男、女单打前24名和混合双打前24对运动员，分别获得决赛阶段单打和混合双打比赛资格。</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4.为完成世界杯、世界锦标赛等重大国际比赛的集训和参赛任务而无法参加十五届全国运动会资格赛的运动员，经国家体育总局批准后可直接参加决赛阶段比赛。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5.香港、澳门特别行政区可派男、女各1支运动队直接参加决赛阶段团体、单打（每个单打项目男、女不超过2人，按国际乒联世界排名顺序报名）和混合双打（不超过2对，按国际乒联世界排名顺序报名）比赛。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6.运动队官员执行《中华人民共和国第十五届运动会竞赛规程总则》(体竞字〔2023〕1号)第三条第（三）项规定。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b/>
          <w:bCs/>
          <w:sz w:val="32"/>
          <w:szCs w:val="32"/>
        </w:rPr>
      </w:pPr>
      <w:r>
        <w:rPr>
          <w:rFonts w:hint="eastAsia" w:ascii="黑体" w:hAnsi="黑体" w:eastAsia="黑体" w:cs="黑体"/>
          <w:sz w:val="32"/>
          <w:szCs w:val="32"/>
        </w:rPr>
        <w:t>四、竞赛办法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资格赛</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1.团体</w:t>
      </w:r>
      <w:r>
        <w:rPr>
          <w:rFonts w:hint="eastAsia" w:ascii="仿宋" w:hAnsi="仿宋" w:eastAsia="仿宋" w:cs="仿宋"/>
          <w:sz w:val="32"/>
          <w:szCs w:val="32"/>
          <w:lang w:val="en-US" w:eastAsia="zh-CN"/>
        </w:rPr>
        <w:t>比</w:t>
      </w:r>
      <w:r>
        <w:rPr>
          <w:rFonts w:hint="eastAsia" w:ascii="仿宋" w:hAnsi="仿宋" w:eastAsia="仿宋" w:cs="仿宋"/>
          <w:sz w:val="32"/>
          <w:szCs w:val="32"/>
        </w:rPr>
        <w:t xml:space="preserve">赛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比赛采用</w:t>
      </w:r>
      <w:r>
        <w:rPr>
          <w:rFonts w:hint="eastAsia" w:ascii="仿宋" w:hAnsi="仿宋" w:eastAsia="仿宋" w:cs="仿宋"/>
          <w:sz w:val="32"/>
          <w:szCs w:val="32"/>
          <w:lang w:val="en-US" w:eastAsia="zh-CN"/>
        </w:rPr>
        <w:t>2024年巴黎奥运会</w:t>
      </w:r>
      <w:r>
        <w:rPr>
          <w:rFonts w:hint="eastAsia" w:ascii="仿宋" w:hAnsi="仿宋" w:eastAsia="仿宋" w:cs="仿宋"/>
          <w:sz w:val="32"/>
          <w:szCs w:val="32"/>
        </w:rPr>
        <w:t>团体比赛使用的五场三胜团体赛制（1场双打和4场单打），上场运动员人数为3人，每人最多参加2场比赛。比赛顺序为：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第1场：双打</w:t>
      </w:r>
      <w:r>
        <w:rPr>
          <w:rFonts w:hint="eastAsia" w:ascii="仿宋" w:hAnsi="仿宋" w:eastAsia="仿宋" w:cs="仿宋"/>
          <w:sz w:val="32"/>
          <w:szCs w:val="32"/>
        </w:rPr>
        <w:tab/>
      </w:r>
      <w:r>
        <w:rPr>
          <w:rFonts w:hint="eastAsia" w:ascii="仿宋" w:hAnsi="仿宋" w:eastAsia="仿宋" w:cs="仿宋"/>
          <w:sz w:val="32"/>
          <w:szCs w:val="32"/>
        </w:rPr>
        <w:t>BC-YZ</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第2场：单打</w:t>
      </w:r>
      <w:r>
        <w:rPr>
          <w:rFonts w:hint="eastAsia" w:ascii="仿宋" w:hAnsi="仿宋" w:eastAsia="仿宋" w:cs="仿宋"/>
          <w:sz w:val="32"/>
          <w:szCs w:val="32"/>
        </w:rPr>
        <w:tab/>
      </w:r>
      <w:r>
        <w:rPr>
          <w:rFonts w:hint="eastAsia" w:ascii="仿宋" w:hAnsi="仿宋" w:eastAsia="仿宋" w:cs="仿宋"/>
          <w:sz w:val="32"/>
          <w:szCs w:val="32"/>
        </w:rPr>
        <w:t>A-X</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第3场：单打</w:t>
      </w:r>
      <w:r>
        <w:rPr>
          <w:rFonts w:hint="eastAsia" w:ascii="仿宋" w:hAnsi="仿宋" w:eastAsia="仿宋" w:cs="仿宋"/>
          <w:sz w:val="32"/>
          <w:szCs w:val="32"/>
        </w:rPr>
        <w:tab/>
      </w:r>
      <w:r>
        <w:rPr>
          <w:rFonts w:hint="eastAsia" w:ascii="仿宋" w:hAnsi="仿宋" w:eastAsia="仿宋" w:cs="仿宋"/>
          <w:sz w:val="32"/>
          <w:szCs w:val="32"/>
        </w:rPr>
        <w:t>C-Z</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第4场：单打</w:t>
      </w:r>
      <w:r>
        <w:rPr>
          <w:rFonts w:hint="eastAsia" w:ascii="仿宋" w:hAnsi="仿宋" w:eastAsia="仿宋" w:cs="仿宋"/>
          <w:sz w:val="32"/>
          <w:szCs w:val="32"/>
        </w:rPr>
        <w:tab/>
      </w:r>
      <w:r>
        <w:rPr>
          <w:rFonts w:hint="eastAsia" w:ascii="仿宋" w:hAnsi="仿宋" w:eastAsia="仿宋" w:cs="仿宋"/>
          <w:sz w:val="32"/>
          <w:szCs w:val="32"/>
        </w:rPr>
        <w:t>A-Y</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第5场：单打</w:t>
      </w:r>
      <w:r>
        <w:rPr>
          <w:rFonts w:hint="eastAsia" w:ascii="仿宋" w:hAnsi="仿宋" w:eastAsia="仿宋" w:cs="仿宋"/>
          <w:sz w:val="32"/>
          <w:szCs w:val="32"/>
        </w:rPr>
        <w:tab/>
      </w:r>
      <w:r>
        <w:rPr>
          <w:rFonts w:hint="eastAsia" w:ascii="仿宋" w:hAnsi="仿宋" w:eastAsia="仿宋" w:cs="仿宋"/>
          <w:sz w:val="32"/>
          <w:szCs w:val="32"/>
        </w:rPr>
        <w:t>B-X</w:t>
      </w:r>
    </w:p>
    <w:p>
      <w:pPr>
        <w:keepNext w:val="0"/>
        <w:keepLines w:val="0"/>
        <w:pageBreakBefore w:val="0"/>
        <w:kinsoku/>
        <w:wordWrap/>
        <w:overflowPunct/>
        <w:topLinePunct w:val="0"/>
        <w:autoSpaceDE/>
        <w:autoSpaceDN/>
        <w:bidi w:val="0"/>
        <w:adjustRightInd/>
        <w:snapToGrid/>
        <w:spacing w:line="64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每</w:t>
      </w:r>
      <w:r>
        <w:rPr>
          <w:rFonts w:hint="eastAsia" w:ascii="仿宋" w:hAnsi="仿宋" w:eastAsia="仿宋" w:cs="仿宋"/>
          <w:spacing w:val="-6"/>
          <w:sz w:val="32"/>
          <w:szCs w:val="32"/>
          <w:lang w:val="en-US" w:eastAsia="zh-CN"/>
        </w:rPr>
        <w:t>场（双打或单打）</w:t>
      </w:r>
      <w:r>
        <w:rPr>
          <w:rFonts w:hint="eastAsia" w:ascii="仿宋" w:hAnsi="仿宋" w:eastAsia="仿宋" w:cs="仿宋"/>
          <w:spacing w:val="-6"/>
          <w:sz w:val="32"/>
          <w:szCs w:val="32"/>
        </w:rPr>
        <w:t>比赛5局3胜，每局11分制。</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pacing w:val="-6"/>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pacing w:val="-6"/>
          <w:sz w:val="32"/>
          <w:szCs w:val="32"/>
        </w:rPr>
        <w:t>团体</w:t>
      </w:r>
      <w:r>
        <w:rPr>
          <w:rFonts w:hint="eastAsia" w:ascii="仿宋" w:hAnsi="仿宋" w:eastAsia="仿宋" w:cs="仿宋"/>
          <w:spacing w:val="-6"/>
          <w:sz w:val="32"/>
          <w:szCs w:val="32"/>
          <w:lang w:eastAsia="zh-CN"/>
        </w:rPr>
        <w:t>比赛</w:t>
      </w:r>
      <w:r>
        <w:rPr>
          <w:rFonts w:hint="eastAsia" w:ascii="仿宋" w:hAnsi="仿宋" w:eastAsia="仿宋" w:cs="仿宋"/>
          <w:spacing w:val="-6"/>
          <w:sz w:val="32"/>
          <w:szCs w:val="32"/>
          <w:lang w:val="en-US" w:eastAsia="zh-CN"/>
        </w:rPr>
        <w:t>根据2024年全国锦标赛成绩</w:t>
      </w:r>
      <w:r>
        <w:rPr>
          <w:rFonts w:hint="eastAsia" w:ascii="仿宋" w:hAnsi="仿宋" w:eastAsia="仿宋" w:cs="仿宋"/>
          <w:spacing w:val="-6"/>
          <w:sz w:val="32"/>
          <w:szCs w:val="32"/>
        </w:rPr>
        <w:t>分成四个小组进行单循环赛，获得各组前3名的男、女各12支运动队</w:t>
      </w:r>
      <w:r>
        <w:rPr>
          <w:rFonts w:hint="eastAsia" w:ascii="仿宋" w:hAnsi="仿宋" w:eastAsia="仿宋" w:cs="仿宋"/>
          <w:spacing w:val="-6"/>
          <w:sz w:val="32"/>
          <w:szCs w:val="32"/>
          <w:lang w:eastAsia="zh-CN"/>
        </w:rPr>
        <w:t>可</w:t>
      </w:r>
      <w:r>
        <w:rPr>
          <w:rFonts w:hint="eastAsia" w:ascii="仿宋" w:hAnsi="仿宋" w:eastAsia="仿宋" w:cs="仿宋"/>
          <w:spacing w:val="-6"/>
          <w:sz w:val="32"/>
          <w:szCs w:val="32"/>
        </w:rPr>
        <w:t>参加决赛</w:t>
      </w:r>
      <w:r>
        <w:rPr>
          <w:rFonts w:hint="eastAsia" w:ascii="仿宋" w:hAnsi="仿宋" w:eastAsia="仿宋" w:cs="仿宋"/>
          <w:spacing w:val="-6"/>
          <w:sz w:val="32"/>
          <w:szCs w:val="32"/>
          <w:lang w:eastAsia="zh-CN"/>
        </w:rPr>
        <w:t>阶段比赛</w:t>
      </w:r>
      <w:r>
        <w:rPr>
          <w:rFonts w:hint="eastAsia" w:ascii="仿宋" w:hAnsi="仿宋" w:eastAsia="仿宋" w:cs="仿宋"/>
          <w:spacing w:val="-6"/>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男、女单打和混合双打比赛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（1）采用淘汰赛方式，以国际乒联最新世界排名和2024年全国锦标赛成绩为依据确定种子。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（2）男、女单打每场比赛采用7局4胜，每局11分制；混合双打比赛每场比赛采用5局3胜，每局11分制。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（3）前32名争进前16名比赛中的16名/对负者将进行一轮附加赛，获胜的8名/对运动员获得男、女单打和混合双打决赛阶段比赛资格。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决赛</w:t>
      </w:r>
      <w:r>
        <w:rPr>
          <w:rFonts w:hint="eastAsia" w:ascii="楷体" w:hAnsi="楷体" w:eastAsia="楷体" w:cs="楷体"/>
          <w:b w:val="0"/>
          <w:bCs w:val="0"/>
          <w:sz w:val="32"/>
          <w:szCs w:val="32"/>
          <w:lang w:eastAsia="zh-CN"/>
        </w:rPr>
        <w:t>阶段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1.团体</w:t>
      </w:r>
      <w:r>
        <w:rPr>
          <w:rFonts w:hint="eastAsia" w:ascii="仿宋" w:hAnsi="仿宋" w:eastAsia="仿宋" w:cs="仿宋"/>
          <w:sz w:val="32"/>
          <w:szCs w:val="32"/>
          <w:lang w:val="en-US" w:eastAsia="zh-CN"/>
        </w:rPr>
        <w:t>比</w:t>
      </w:r>
      <w:r>
        <w:rPr>
          <w:rFonts w:hint="eastAsia" w:ascii="仿宋" w:hAnsi="仿宋" w:eastAsia="仿宋" w:cs="仿宋"/>
          <w:sz w:val="32"/>
          <w:szCs w:val="32"/>
        </w:rPr>
        <w:t>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pacing w:val="-6"/>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比赛分两个阶段</w:t>
      </w:r>
      <w:r>
        <w:rPr>
          <w:rFonts w:hint="eastAsia" w:cs="仿宋"/>
          <w:sz w:val="32"/>
          <w:szCs w:val="32"/>
          <w:lang w:val="en-US" w:eastAsia="zh-CN"/>
        </w:rPr>
        <w:t>，</w:t>
      </w:r>
      <w:r>
        <w:rPr>
          <w:rFonts w:hint="eastAsia" w:ascii="仿宋" w:hAnsi="仿宋" w:eastAsia="仿宋" w:cs="仿宋"/>
          <w:spacing w:val="-6"/>
          <w:sz w:val="32"/>
          <w:szCs w:val="32"/>
        </w:rPr>
        <w:t>采用2024年巴黎奥运会团体比赛使用的五场三胜团体赛制（1场双打和4场单打），上场运动员人数为3人，每人最多参加2场比赛。比赛顺序为：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第1场：双打</w:t>
      </w:r>
      <w:r>
        <w:rPr>
          <w:rFonts w:hint="eastAsia" w:ascii="仿宋" w:hAnsi="仿宋" w:eastAsia="仿宋" w:cs="仿宋"/>
          <w:sz w:val="32"/>
          <w:szCs w:val="32"/>
        </w:rPr>
        <w:tab/>
      </w:r>
      <w:r>
        <w:rPr>
          <w:rFonts w:hint="eastAsia" w:ascii="仿宋" w:hAnsi="仿宋" w:eastAsia="仿宋" w:cs="仿宋"/>
          <w:sz w:val="32"/>
          <w:szCs w:val="32"/>
        </w:rPr>
        <w:t>BC-YZ</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第2场：单打</w:t>
      </w:r>
      <w:r>
        <w:rPr>
          <w:rFonts w:hint="eastAsia" w:ascii="仿宋" w:hAnsi="仿宋" w:eastAsia="仿宋" w:cs="仿宋"/>
          <w:sz w:val="32"/>
          <w:szCs w:val="32"/>
        </w:rPr>
        <w:tab/>
      </w:r>
      <w:r>
        <w:rPr>
          <w:rFonts w:hint="eastAsia" w:ascii="仿宋" w:hAnsi="仿宋" w:eastAsia="仿宋" w:cs="仿宋"/>
          <w:sz w:val="32"/>
          <w:szCs w:val="32"/>
        </w:rPr>
        <w:t>A-X</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第3场：单打</w:t>
      </w:r>
      <w:r>
        <w:rPr>
          <w:rFonts w:hint="eastAsia" w:ascii="仿宋" w:hAnsi="仿宋" w:eastAsia="仿宋" w:cs="仿宋"/>
          <w:sz w:val="32"/>
          <w:szCs w:val="32"/>
        </w:rPr>
        <w:tab/>
      </w:r>
      <w:r>
        <w:rPr>
          <w:rFonts w:hint="eastAsia" w:ascii="仿宋" w:hAnsi="仿宋" w:eastAsia="仿宋" w:cs="仿宋"/>
          <w:sz w:val="32"/>
          <w:szCs w:val="32"/>
        </w:rPr>
        <w:t>C-Z</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第4场：单打</w:t>
      </w:r>
      <w:r>
        <w:rPr>
          <w:rFonts w:hint="eastAsia" w:ascii="仿宋" w:hAnsi="仿宋" w:eastAsia="仿宋" w:cs="仿宋"/>
          <w:sz w:val="32"/>
          <w:szCs w:val="32"/>
        </w:rPr>
        <w:tab/>
      </w:r>
      <w:r>
        <w:rPr>
          <w:rFonts w:hint="eastAsia" w:ascii="仿宋" w:hAnsi="仿宋" w:eastAsia="仿宋" w:cs="仿宋"/>
          <w:sz w:val="32"/>
          <w:szCs w:val="32"/>
        </w:rPr>
        <w:t>A-Y</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第5场：单打</w:t>
      </w:r>
      <w:r>
        <w:rPr>
          <w:rFonts w:hint="eastAsia" w:ascii="仿宋" w:hAnsi="仿宋" w:eastAsia="仿宋" w:cs="仿宋"/>
          <w:sz w:val="32"/>
          <w:szCs w:val="32"/>
        </w:rPr>
        <w:tab/>
      </w:r>
      <w:r>
        <w:rPr>
          <w:rFonts w:hint="eastAsia" w:ascii="仿宋" w:hAnsi="仿宋" w:eastAsia="仿宋" w:cs="仿宋"/>
          <w:sz w:val="32"/>
          <w:szCs w:val="32"/>
        </w:rPr>
        <w:t>B-X</w:t>
      </w:r>
    </w:p>
    <w:p>
      <w:pPr>
        <w:keepNext w:val="0"/>
        <w:keepLines w:val="0"/>
        <w:pageBreakBefore w:val="0"/>
        <w:kinsoku/>
        <w:wordWrap/>
        <w:overflowPunct/>
        <w:topLinePunct w:val="0"/>
        <w:autoSpaceDE/>
        <w:autoSpaceDN/>
        <w:bidi w:val="0"/>
        <w:adjustRightInd/>
        <w:snapToGrid/>
        <w:spacing w:line="640" w:lineRule="exact"/>
        <w:ind w:firstLine="616" w:firstLineChars="200"/>
        <w:textAlignment w:val="auto"/>
        <w:rPr>
          <w:rFonts w:hint="eastAsia" w:ascii="仿宋" w:hAnsi="仿宋" w:eastAsia="仿宋" w:cs="仿宋"/>
          <w:sz w:val="32"/>
          <w:szCs w:val="32"/>
        </w:rPr>
      </w:pPr>
      <w:r>
        <w:rPr>
          <w:rFonts w:hint="eastAsia" w:ascii="仿宋" w:hAnsi="仿宋" w:eastAsia="仿宋" w:cs="仿宋"/>
          <w:spacing w:val="-6"/>
          <w:sz w:val="32"/>
          <w:szCs w:val="32"/>
        </w:rPr>
        <w:t>每场（双打或单打）比赛5局3胜，每局11分制。</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）第一阶段分组进行循环赛，</w:t>
      </w:r>
      <w:r>
        <w:rPr>
          <w:rFonts w:hint="eastAsia" w:ascii="仿宋" w:hAnsi="仿宋" w:eastAsia="仿宋" w:cs="仿宋"/>
          <w:sz w:val="32"/>
          <w:szCs w:val="32"/>
          <w:highlight w:val="none"/>
          <w:lang w:eastAsia="zh-CN"/>
        </w:rPr>
        <w:t>根据202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年全国锦标赛前4名的名次顺序和资格赛成绩确定抽签种子。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）团体比赛第二阶段由</w:t>
      </w:r>
      <w:r>
        <w:rPr>
          <w:rFonts w:hint="eastAsia" w:ascii="仿宋" w:hAnsi="仿宋" w:eastAsia="仿宋" w:cs="仿宋"/>
          <w:sz w:val="32"/>
          <w:szCs w:val="32"/>
          <w:lang w:val="en-US" w:eastAsia="zh-CN"/>
        </w:rPr>
        <w:t>第一阶段</w:t>
      </w:r>
      <w:r>
        <w:rPr>
          <w:rFonts w:hint="eastAsia" w:ascii="仿宋" w:hAnsi="仿宋" w:eastAsia="仿宋" w:cs="仿宋"/>
          <w:sz w:val="32"/>
          <w:szCs w:val="32"/>
          <w:lang w:eastAsia="zh-CN"/>
        </w:rPr>
        <w:t>各组前2名的队采用淘汰赛加附加赛形式。以小组比赛成绩确定种子并</w:t>
      </w:r>
      <w:r>
        <w:rPr>
          <w:rFonts w:hint="eastAsia" w:ascii="仿宋" w:hAnsi="仿宋" w:eastAsia="仿宋" w:cs="仿宋"/>
          <w:sz w:val="32"/>
          <w:szCs w:val="32"/>
          <w:lang w:val="en-US" w:eastAsia="zh-CN"/>
        </w:rPr>
        <w:t>重新抽签，同组的第1、2名抽在不同的二分之一区。</w:t>
      </w:r>
    </w:p>
    <w:p>
      <w:pPr>
        <w:keepNext w:val="0"/>
        <w:keepLines w:val="0"/>
        <w:pageBreakBefore w:val="0"/>
        <w:shd w:val="clear" w:color="auto" w:fill="auto"/>
        <w:kinsoku/>
        <w:wordWrap/>
        <w:overflowPunct/>
        <w:topLinePunct w:val="0"/>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男、女</w:t>
      </w:r>
      <w:r>
        <w:rPr>
          <w:rFonts w:hint="eastAsia" w:ascii="仿宋" w:hAnsi="仿宋" w:eastAsia="仿宋" w:cs="仿宋"/>
          <w:sz w:val="32"/>
          <w:szCs w:val="32"/>
          <w:lang w:eastAsia="zh-CN"/>
        </w:rPr>
        <w:t>单打</w:t>
      </w:r>
      <w:r>
        <w:rPr>
          <w:rFonts w:hint="eastAsia" w:ascii="仿宋" w:hAnsi="仿宋" w:eastAsia="仿宋" w:cs="仿宋"/>
          <w:sz w:val="32"/>
          <w:szCs w:val="32"/>
          <w:lang w:val="en-US" w:eastAsia="zh-CN"/>
        </w:rPr>
        <w:t>和混合双打</w:t>
      </w:r>
      <w:r>
        <w:rPr>
          <w:rFonts w:hint="eastAsia" w:ascii="仿宋" w:hAnsi="仿宋" w:eastAsia="仿宋" w:cs="仿宋"/>
          <w:sz w:val="32"/>
          <w:szCs w:val="32"/>
          <w:lang w:eastAsia="zh-CN"/>
        </w:rPr>
        <w:t>比赛</w:t>
      </w:r>
    </w:p>
    <w:p>
      <w:pPr>
        <w:keepNext w:val="0"/>
        <w:keepLines w:val="0"/>
        <w:pageBreakBefore w:val="0"/>
        <w:shd w:val="clear" w:color="auto" w:fill="auto"/>
        <w:kinsoku/>
        <w:wordWrap/>
        <w:overflowPunct/>
        <w:topLinePunct w:val="0"/>
        <w:bidi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采用淘汰赛加附加赛比赛方法，</w:t>
      </w:r>
      <w:r>
        <w:rPr>
          <w:rFonts w:hint="eastAsia" w:ascii="仿宋" w:hAnsi="仿宋" w:eastAsia="仿宋" w:cs="仿宋"/>
          <w:sz w:val="32"/>
          <w:szCs w:val="32"/>
          <w:lang w:val="en-US" w:eastAsia="zh-CN"/>
        </w:rPr>
        <w:t>以最新国际乒联世界排名和资格赛成绩确定种子</w:t>
      </w:r>
      <w:r>
        <w:rPr>
          <w:rFonts w:hint="eastAsia" w:ascii="仿宋" w:hAnsi="仿宋" w:eastAsia="仿宋" w:cs="仿宋"/>
          <w:sz w:val="32"/>
          <w:szCs w:val="32"/>
        </w:rPr>
        <w:t>重新抽签</w:t>
      </w:r>
      <w:r>
        <w:rPr>
          <w:rFonts w:hint="eastAsia" w:ascii="仿宋" w:hAnsi="仿宋" w:eastAsia="仿宋" w:cs="仿宋"/>
          <w:sz w:val="32"/>
          <w:szCs w:val="32"/>
          <w:lang w:eastAsia="zh-CN"/>
        </w:rPr>
        <w:t>。</w:t>
      </w:r>
    </w:p>
    <w:p>
      <w:pPr>
        <w:keepNext w:val="0"/>
        <w:keepLines w:val="0"/>
        <w:pageBreakBefore w:val="0"/>
        <w:shd w:val="clear" w:color="auto" w:fill="auto"/>
        <w:kinsoku/>
        <w:wordWrap/>
        <w:overflowPunct/>
        <w:topLinePunct w:val="0"/>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单打所有阶段比赛采用</w:t>
      </w:r>
      <w:r>
        <w:rPr>
          <w:rFonts w:hint="eastAsia" w:ascii="仿宋" w:hAnsi="仿宋" w:eastAsia="仿宋" w:cs="仿宋"/>
          <w:sz w:val="32"/>
          <w:szCs w:val="32"/>
        </w:rPr>
        <w:t>7局4胜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每局11分制；</w:t>
      </w:r>
    </w:p>
    <w:p>
      <w:pPr>
        <w:keepNext w:val="0"/>
        <w:keepLines w:val="0"/>
        <w:pageBreakBefore w:val="0"/>
        <w:shd w:val="clear" w:color="auto" w:fill="auto"/>
        <w:kinsoku/>
        <w:wordWrap/>
        <w:overflowPunct/>
        <w:topLinePunct w:val="0"/>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（3）混合双打1/4决赛、半决赛、决赛采用7局4胜，其余轮次比赛采用5局3胜，每局11分制。</w:t>
      </w:r>
    </w:p>
    <w:p>
      <w:pPr>
        <w:keepNext w:val="0"/>
        <w:keepLines w:val="0"/>
        <w:pageBreakBefore w:val="0"/>
        <w:shd w:val="clear" w:color="auto" w:fill="auto"/>
        <w:kinsoku/>
        <w:wordWrap/>
        <w:overflowPunct/>
        <w:topLinePunct w:val="0"/>
        <w:bidi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3.所有项目只进行1、2名金牌赛和3、4名铜牌赛，</w:t>
      </w:r>
      <w:r>
        <w:rPr>
          <w:rFonts w:hint="eastAsia" w:ascii="仿宋" w:hAnsi="仿宋" w:eastAsia="仿宋" w:cs="仿宋"/>
          <w:sz w:val="32"/>
          <w:szCs w:val="32"/>
          <w:lang w:eastAsia="zh-CN"/>
        </w:rPr>
        <w:t>5-8名不再进行附加赛，</w:t>
      </w:r>
      <w:r>
        <w:rPr>
          <w:rFonts w:hint="eastAsia" w:ascii="仿宋" w:hAnsi="仿宋" w:eastAsia="仿宋" w:cs="仿宋"/>
          <w:sz w:val="32"/>
          <w:szCs w:val="32"/>
          <w:lang w:val="en-US" w:eastAsia="zh-CN"/>
        </w:rPr>
        <w:t>名次并列</w:t>
      </w:r>
      <w:r>
        <w:rPr>
          <w:rFonts w:hint="eastAsia" w:ascii="仿宋" w:hAnsi="仿宋" w:eastAsia="仿宋" w:cs="仿宋"/>
          <w:sz w:val="32"/>
          <w:szCs w:val="32"/>
          <w:lang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规则、</w:t>
      </w:r>
      <w:r>
        <w:rPr>
          <w:rFonts w:hint="eastAsia" w:ascii="楷体" w:hAnsi="楷体" w:eastAsia="楷体" w:cs="楷体"/>
          <w:b w:val="0"/>
          <w:bCs w:val="0"/>
          <w:sz w:val="32"/>
          <w:szCs w:val="32"/>
          <w:lang w:val="en-US" w:eastAsia="zh-CN"/>
        </w:rPr>
        <w:t>竞赛器材</w:t>
      </w:r>
      <w:r>
        <w:rPr>
          <w:rFonts w:hint="eastAsia" w:ascii="楷体" w:hAnsi="楷体" w:eastAsia="楷体" w:cs="楷体"/>
          <w:b w:val="0"/>
          <w:bCs w:val="0"/>
          <w:sz w:val="32"/>
          <w:szCs w:val="32"/>
        </w:rPr>
        <w:t xml:space="preserve">、服装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1.比赛</w:t>
      </w:r>
      <w:r>
        <w:rPr>
          <w:rFonts w:hint="eastAsia" w:ascii="仿宋" w:hAnsi="仿宋" w:eastAsia="仿宋" w:cs="仿宋"/>
          <w:sz w:val="32"/>
          <w:szCs w:val="32"/>
          <w:lang w:eastAsia="zh-CN"/>
        </w:rPr>
        <w:t>执行中国乒乓球协会</w:t>
      </w:r>
      <w:r>
        <w:rPr>
          <w:rFonts w:hint="eastAsia" w:ascii="仿宋" w:hAnsi="仿宋" w:eastAsia="仿宋" w:cs="仿宋"/>
          <w:sz w:val="32"/>
          <w:szCs w:val="32"/>
        </w:rPr>
        <w:t>审定的最新《</w:t>
      </w:r>
      <w:r>
        <w:rPr>
          <w:rFonts w:hint="eastAsia" w:ascii="仿宋" w:hAnsi="仿宋" w:eastAsia="仿宋" w:cs="仿宋"/>
          <w:sz w:val="32"/>
          <w:szCs w:val="32"/>
          <w:lang w:val="en-US" w:eastAsia="zh-CN"/>
        </w:rPr>
        <w:t>乒乓球</w:t>
      </w:r>
      <w:r>
        <w:rPr>
          <w:rFonts w:hint="eastAsia" w:ascii="仿宋" w:hAnsi="仿宋" w:eastAsia="仿宋" w:cs="仿宋"/>
          <w:sz w:val="32"/>
          <w:szCs w:val="32"/>
        </w:rPr>
        <w:t xml:space="preserve">竞赛规则》。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2.比赛使用符合比赛要求的</w:t>
      </w:r>
      <w:r>
        <w:rPr>
          <w:rFonts w:hint="eastAsia" w:ascii="仿宋" w:hAnsi="仿宋" w:eastAsia="仿宋" w:cs="仿宋"/>
          <w:sz w:val="32"/>
          <w:szCs w:val="32"/>
          <w:lang w:val="en-US" w:eastAsia="zh-CN"/>
        </w:rPr>
        <w:t>比赛用球、比赛球台和专用地胶等乒乓球竞赛器材</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3.比赛服装以及服装广告须符合国家体育总局和</w:t>
      </w:r>
      <w:r>
        <w:rPr>
          <w:rFonts w:hint="eastAsia" w:ascii="仿宋" w:hAnsi="仿宋" w:eastAsia="仿宋" w:cs="仿宋"/>
          <w:sz w:val="32"/>
          <w:szCs w:val="32"/>
          <w:lang w:eastAsia="zh-CN"/>
        </w:rPr>
        <w:t>中国乒乓球协会</w:t>
      </w:r>
      <w:r>
        <w:rPr>
          <w:rFonts w:hint="eastAsia" w:ascii="仿宋" w:hAnsi="仿宋" w:eastAsia="仿宋" w:cs="仿宋"/>
          <w:sz w:val="32"/>
          <w:szCs w:val="32"/>
        </w:rPr>
        <w:t>有关规定。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五、奖励办法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执行《中华人民共和国第十五届运动会竞赛规程总则》（体竞字〔2023〕1号）第六条规定。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六、报名和报到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（一）资格赛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1.按照中国乒乓球协会公布的通知报名。</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2.所有人员按照通知要求时间报到。提前报到者，费用自理。所有参赛人员于赛后第一天离会，因故无法按时离会人员所需费用自理。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楷体" w:hAnsi="楷体" w:eastAsia="楷体" w:cs="楷体"/>
          <w:b w:val="0"/>
          <w:bCs w:val="0"/>
          <w:sz w:val="32"/>
          <w:szCs w:val="32"/>
          <w:lang w:val="en"/>
        </w:rPr>
      </w:pPr>
      <w:r>
        <w:rPr>
          <w:rFonts w:hint="eastAsia" w:ascii="楷体" w:hAnsi="楷体" w:eastAsia="楷体" w:cs="楷体"/>
          <w:b w:val="0"/>
          <w:bCs w:val="0"/>
          <w:sz w:val="32"/>
          <w:szCs w:val="32"/>
        </w:rPr>
        <w:t>（二）决赛</w:t>
      </w:r>
      <w:r>
        <w:rPr>
          <w:rFonts w:hint="default" w:ascii="楷体" w:hAnsi="楷体" w:eastAsia="楷体" w:cs="楷体"/>
          <w:b w:val="0"/>
          <w:bCs w:val="0"/>
          <w:sz w:val="32"/>
          <w:szCs w:val="32"/>
          <w:lang w:val="en"/>
        </w:rPr>
        <w:t>阶段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执行《中华人民共和国第十五届运动会竞赛规程总则》（体竞字〔2023〕1号）第三条第（二）、（四）项规定。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七、换人办法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（一）报名参加团体比赛的运动员可与资格赛不同，但参加过资格赛的运动员不得</w:t>
      </w:r>
      <w:r>
        <w:rPr>
          <w:rFonts w:hint="eastAsia" w:ascii="仿宋" w:hAnsi="仿宋" w:eastAsia="仿宋" w:cs="仿宋"/>
          <w:sz w:val="32"/>
          <w:szCs w:val="32"/>
          <w:lang w:val="en-US" w:eastAsia="zh-CN"/>
        </w:rPr>
        <w:t>代表其他单位</w:t>
      </w:r>
      <w:r>
        <w:rPr>
          <w:rFonts w:hint="eastAsia" w:ascii="仿宋" w:hAnsi="仿宋" w:eastAsia="仿宋" w:cs="仿宋"/>
          <w:sz w:val="32"/>
          <w:szCs w:val="32"/>
        </w:rPr>
        <w:t>参加决赛阶段</w:t>
      </w:r>
      <w:r>
        <w:rPr>
          <w:rFonts w:hint="eastAsia" w:ascii="仿宋" w:hAnsi="仿宋" w:eastAsia="仿宋" w:cs="仿宋"/>
          <w:sz w:val="32"/>
          <w:szCs w:val="32"/>
          <w:lang w:eastAsia="zh-CN"/>
        </w:rPr>
        <w:t>各项</w:t>
      </w:r>
      <w:r>
        <w:rPr>
          <w:rFonts w:hint="eastAsia" w:ascii="仿宋" w:hAnsi="仿宋" w:eastAsia="仿宋" w:cs="仿宋"/>
          <w:sz w:val="32"/>
          <w:szCs w:val="32"/>
        </w:rPr>
        <w:t>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（二）获得决赛阶段团体比赛资格的</w:t>
      </w:r>
      <w:r>
        <w:rPr>
          <w:rFonts w:hint="eastAsia" w:ascii="仿宋" w:hAnsi="仿宋" w:eastAsia="仿宋" w:cs="仿宋"/>
          <w:sz w:val="32"/>
          <w:szCs w:val="32"/>
          <w:lang w:val="en-US" w:eastAsia="zh-CN"/>
        </w:rPr>
        <w:t>运动队</w:t>
      </w:r>
      <w:r>
        <w:rPr>
          <w:rFonts w:hint="eastAsia" w:ascii="仿宋" w:hAnsi="仿宋" w:eastAsia="仿宋" w:cs="仿宋"/>
          <w:sz w:val="32"/>
          <w:szCs w:val="32"/>
        </w:rPr>
        <w:t>，如被取消资格或</w:t>
      </w:r>
      <w:r>
        <w:rPr>
          <w:rFonts w:hint="eastAsia" w:ascii="仿宋" w:hAnsi="仿宋" w:eastAsia="仿宋" w:cs="仿宋"/>
          <w:sz w:val="32"/>
          <w:szCs w:val="32"/>
          <w:lang w:val="en-US" w:eastAsia="zh-CN"/>
        </w:rPr>
        <w:t>自动</w:t>
      </w:r>
      <w:r>
        <w:rPr>
          <w:rFonts w:hint="eastAsia" w:ascii="仿宋" w:hAnsi="仿宋" w:eastAsia="仿宋" w:cs="仿宋"/>
          <w:sz w:val="32"/>
          <w:szCs w:val="32"/>
        </w:rPr>
        <w:t>弃权，不再增补。</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（三）获得决赛阶段单打资格的运动员不得替换。</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（四）获得决赛阶段的混双运动员中如</w:t>
      </w:r>
      <w:r>
        <w:rPr>
          <w:rFonts w:hint="eastAsia" w:ascii="仿宋" w:hAnsi="仿宋" w:eastAsia="仿宋" w:cs="仿宋"/>
          <w:sz w:val="32"/>
          <w:szCs w:val="32"/>
          <w:lang w:val="en-US" w:eastAsia="zh-CN"/>
        </w:rPr>
        <w:t>因</w:t>
      </w:r>
      <w:r>
        <w:rPr>
          <w:rFonts w:hint="eastAsia" w:ascii="仿宋" w:hAnsi="仿宋" w:eastAsia="仿宋" w:cs="仿宋"/>
          <w:sz w:val="32"/>
          <w:szCs w:val="32"/>
        </w:rPr>
        <w:t>伤病</w:t>
      </w:r>
      <w:r>
        <w:rPr>
          <w:rFonts w:hint="eastAsia" w:ascii="仿宋" w:hAnsi="仿宋" w:eastAsia="仿宋" w:cs="仿宋"/>
          <w:sz w:val="32"/>
          <w:szCs w:val="32"/>
          <w:lang w:val="en-US" w:eastAsia="zh-CN"/>
        </w:rPr>
        <w:t>原因</w:t>
      </w:r>
      <w:r>
        <w:rPr>
          <w:rFonts w:hint="eastAsia" w:ascii="仿宋" w:hAnsi="仿宋" w:eastAsia="仿宋" w:cs="仿宋"/>
          <w:sz w:val="32"/>
          <w:szCs w:val="32"/>
        </w:rPr>
        <w:t>，经市级公立医院证明并提交书面申请，经批准后，可以替换原配对中1名运动员，</w:t>
      </w:r>
      <w:r>
        <w:rPr>
          <w:rFonts w:hint="eastAsia" w:ascii="仿宋" w:hAnsi="仿宋" w:eastAsia="仿宋" w:cs="仿宋"/>
          <w:sz w:val="32"/>
          <w:szCs w:val="32"/>
          <w:lang w:val="en-US" w:eastAsia="zh-CN"/>
        </w:rPr>
        <w:t>因伤病</w:t>
      </w:r>
      <w:r>
        <w:rPr>
          <w:rFonts w:hint="eastAsia" w:ascii="仿宋" w:hAnsi="仿宋" w:eastAsia="仿宋" w:cs="仿宋"/>
          <w:sz w:val="32"/>
          <w:szCs w:val="32"/>
        </w:rPr>
        <w:t>被替换的运动员不得再参加其他项目的比赛。</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（五）所有项目</w:t>
      </w:r>
      <w:r>
        <w:rPr>
          <w:rFonts w:hint="eastAsia" w:ascii="仿宋" w:hAnsi="仿宋" w:eastAsia="仿宋" w:cs="仿宋"/>
          <w:sz w:val="32"/>
          <w:szCs w:val="32"/>
          <w:lang w:eastAsia="zh-CN"/>
        </w:rPr>
        <w:t>的</w:t>
      </w:r>
      <w:r>
        <w:rPr>
          <w:rFonts w:hint="eastAsia" w:ascii="仿宋" w:hAnsi="仿宋" w:eastAsia="仿宋" w:cs="仿宋"/>
          <w:sz w:val="32"/>
          <w:szCs w:val="32"/>
        </w:rPr>
        <w:t>替换运动员须</w:t>
      </w:r>
      <w:r>
        <w:rPr>
          <w:rFonts w:hint="eastAsia" w:ascii="仿宋" w:hAnsi="仿宋" w:eastAsia="仿宋" w:cs="仿宋"/>
          <w:sz w:val="32"/>
          <w:szCs w:val="32"/>
          <w:lang w:val="en-US" w:eastAsia="zh-CN"/>
        </w:rPr>
        <w:t>符合</w:t>
      </w:r>
      <w:r>
        <w:rPr>
          <w:rFonts w:hint="eastAsia" w:ascii="仿宋" w:hAnsi="仿宋" w:eastAsia="仿宋" w:cs="仿宋"/>
          <w:sz w:val="32"/>
          <w:szCs w:val="32"/>
        </w:rPr>
        <w:t>参赛资格且体测达标，替换的截止时间为技术会议前24小时。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八、技术官员</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楷体" w:hAnsi="楷体" w:eastAsia="楷体" w:cs="楷体"/>
          <w:b w:val="0"/>
          <w:bCs w:val="0"/>
          <w:sz w:val="32"/>
          <w:szCs w:val="32"/>
        </w:rPr>
        <w:t>（一）资格赛</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1.中国乒乓球协会选派1名裁判长、5名副裁判长、2名裁判长助理、</w:t>
      </w:r>
      <w:r>
        <w:rPr>
          <w:rFonts w:hint="eastAsia" w:ascii="仿宋" w:hAnsi="仿宋" w:eastAsia="仿宋" w:cs="仿宋"/>
          <w:sz w:val="32"/>
          <w:szCs w:val="32"/>
          <w:lang w:val="en-US" w:eastAsia="zh-CN"/>
        </w:rPr>
        <w:t>若干</w:t>
      </w:r>
      <w:r>
        <w:rPr>
          <w:rFonts w:hint="eastAsia" w:ascii="仿宋" w:hAnsi="仿宋" w:eastAsia="仿宋" w:cs="仿宋"/>
          <w:sz w:val="32"/>
          <w:szCs w:val="32"/>
        </w:rPr>
        <w:t>名骨干裁判员赴赛区工作。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2.在中国乒乓球协会注册的裁判员管理单位可提出推荐的裁判员名单，报</w:t>
      </w:r>
      <w:r>
        <w:rPr>
          <w:rFonts w:hint="eastAsia" w:ascii="仿宋" w:hAnsi="仿宋" w:eastAsia="仿宋" w:cs="仿宋"/>
          <w:sz w:val="32"/>
          <w:szCs w:val="32"/>
          <w:lang w:eastAsia="zh-CN"/>
        </w:rPr>
        <w:t>中国乒乓球协会</w:t>
      </w:r>
      <w:r>
        <w:rPr>
          <w:rFonts w:hint="eastAsia" w:ascii="仿宋" w:hAnsi="仿宋" w:eastAsia="仿宋" w:cs="仿宋"/>
          <w:sz w:val="32"/>
          <w:szCs w:val="32"/>
        </w:rPr>
        <w:t>批准。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3.裁判员不足部分由</w:t>
      </w:r>
      <w:r>
        <w:rPr>
          <w:rFonts w:hint="eastAsia" w:ascii="仿宋" w:hAnsi="仿宋" w:eastAsia="仿宋" w:cs="仿宋"/>
          <w:sz w:val="32"/>
          <w:szCs w:val="32"/>
          <w:lang w:val="en-US" w:eastAsia="zh-CN"/>
        </w:rPr>
        <w:t>中国乒乓球协会</w:t>
      </w:r>
      <w:r>
        <w:rPr>
          <w:rFonts w:hint="eastAsia" w:ascii="仿宋" w:hAnsi="仿宋" w:eastAsia="仿宋" w:cs="仿宋"/>
          <w:sz w:val="32"/>
          <w:szCs w:val="32"/>
        </w:rPr>
        <w:t>商</w:t>
      </w:r>
      <w:r>
        <w:rPr>
          <w:rFonts w:hint="eastAsia" w:ascii="仿宋" w:hAnsi="仿宋" w:eastAsia="仿宋" w:cs="仿宋"/>
          <w:sz w:val="32"/>
          <w:szCs w:val="32"/>
          <w:lang w:val="en-US" w:eastAsia="zh-CN"/>
        </w:rPr>
        <w:t>相邻</w:t>
      </w:r>
      <w:r>
        <w:rPr>
          <w:rFonts w:hint="eastAsia" w:ascii="仿宋" w:hAnsi="仿宋" w:eastAsia="仿宋" w:cs="仿宋"/>
          <w:sz w:val="32"/>
          <w:szCs w:val="32"/>
        </w:rPr>
        <w:t>省级裁判员管理单位补充。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（二）决赛</w:t>
      </w:r>
      <w:r>
        <w:rPr>
          <w:rFonts w:hint="eastAsia" w:ascii="楷体" w:hAnsi="楷体" w:eastAsia="楷体" w:cs="楷体"/>
          <w:b w:val="0"/>
          <w:bCs w:val="0"/>
          <w:sz w:val="32"/>
          <w:szCs w:val="32"/>
          <w:lang w:eastAsia="zh-CN"/>
        </w:rPr>
        <w:t>阶段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执行《中华人民共和国第十五届运动会竞赛规程总则》（体竞字〔2023〕1号）第九条规定。</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bCs/>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bCs/>
          <w:sz w:val="32"/>
          <w:szCs w:val="32"/>
        </w:rPr>
      </w:pPr>
      <w:r>
        <w:rPr>
          <w:rFonts w:hint="eastAsia" w:ascii="仿宋" w:hAnsi="仿宋" w:eastAsia="仿宋"/>
          <w:bCs/>
          <w:sz w:val="32"/>
          <w:szCs w:val="32"/>
        </w:rPr>
        <w:t>附件：第十五届全国运动会</w:t>
      </w:r>
      <w:r>
        <w:rPr>
          <w:rFonts w:hint="eastAsia" w:ascii="仿宋" w:hAnsi="仿宋" w:eastAsia="仿宋" w:cs="仿宋"/>
          <w:sz w:val="32"/>
          <w:szCs w:val="32"/>
          <w:lang w:val="en-US" w:eastAsia="zh-CN"/>
        </w:rPr>
        <w:t>乒乓</w:t>
      </w:r>
      <w:r>
        <w:rPr>
          <w:rFonts w:hint="eastAsia" w:ascii="仿宋" w:hAnsi="仿宋" w:eastAsia="仿宋" w:cs="仿宋"/>
          <w:sz w:val="32"/>
          <w:szCs w:val="32"/>
        </w:rPr>
        <w:t>球</w:t>
      </w:r>
      <w:r>
        <w:rPr>
          <w:rFonts w:hint="eastAsia" w:ascii="仿宋" w:hAnsi="仿宋" w:eastAsia="仿宋"/>
          <w:bCs/>
          <w:sz w:val="32"/>
          <w:szCs w:val="32"/>
        </w:rPr>
        <w:t>项目体能测试方案</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仿宋" w:hAnsi="仿宋" w:eastAsia="仿宋"/>
          <w:bCs/>
          <w:sz w:val="32"/>
          <w:szCs w:val="32"/>
          <w:lang w:val="en-US" w:eastAsia="zh-CN"/>
        </w:rPr>
        <w:t xml:space="preserve">     </w:t>
      </w:r>
      <w:r>
        <w:rPr>
          <w:rFonts w:hint="eastAsia" w:ascii="仿宋" w:hAnsi="仿宋" w:eastAsia="仿宋"/>
          <w:bCs/>
          <w:sz w:val="32"/>
          <w:szCs w:val="32"/>
        </w:rPr>
        <w:t>（成年组）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w:t>
      </w:r>
    </w:p>
    <w:p>
      <w:pPr>
        <w:jc w:val="center"/>
        <w:rPr>
          <w:rFonts w:hint="eastAsia" w:ascii="方正小标宋_GBK" w:hAnsi="宋体" w:eastAsia="方正小标宋_GBK"/>
          <w:bCs/>
          <w:sz w:val="36"/>
          <w:szCs w:val="36"/>
        </w:rPr>
      </w:pPr>
      <w:r>
        <w:rPr>
          <w:rFonts w:hint="eastAsia" w:ascii="方正小标宋_GBK" w:hAnsi="宋体" w:eastAsia="方正小标宋_GBK"/>
          <w:bCs/>
          <w:sz w:val="36"/>
          <w:szCs w:val="36"/>
        </w:rPr>
        <w:t>第十五届全国运动会乒乓球项目体能测试方案</w:t>
      </w:r>
    </w:p>
    <w:p>
      <w:pPr>
        <w:jc w:val="center"/>
        <w:rPr>
          <w:rFonts w:hint="eastAsia" w:ascii="方正小标宋_GBK" w:hAnsi="宋体" w:eastAsia="方正小标宋_GBK"/>
          <w:bCs/>
          <w:sz w:val="36"/>
          <w:szCs w:val="36"/>
          <w:lang w:val="en-US" w:eastAsia="zh-CN"/>
        </w:rPr>
      </w:pPr>
      <w:r>
        <w:rPr>
          <w:rFonts w:hint="eastAsia" w:ascii="方正小标宋_GBK" w:hAnsi="宋体" w:eastAsia="方正小标宋_GBK"/>
          <w:bCs/>
          <w:sz w:val="36"/>
          <w:szCs w:val="36"/>
          <w:lang w:eastAsia="zh-CN"/>
        </w:rPr>
        <w:t>（</w:t>
      </w:r>
      <w:r>
        <w:rPr>
          <w:rFonts w:hint="eastAsia" w:ascii="方正小标宋_GBK" w:hAnsi="宋体" w:eastAsia="方正小标宋_GBK"/>
          <w:bCs/>
          <w:sz w:val="36"/>
          <w:szCs w:val="36"/>
          <w:lang w:val="en-US" w:eastAsia="zh-CN"/>
        </w:rPr>
        <w:t>成年组</w:t>
      </w:r>
      <w:r>
        <w:rPr>
          <w:rFonts w:hint="eastAsia" w:ascii="方正小标宋_GBK" w:hAnsi="宋体" w:eastAsia="方正小标宋_GBK"/>
          <w:bCs/>
          <w:sz w:val="36"/>
          <w:szCs w:val="36"/>
          <w:lang w:eastAsia="zh-CN"/>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宋体" w:eastAsia="宋体" w:cs="Helvetica"/>
          <w:b/>
          <w:bCs/>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一、测试项目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（一）基础体能测试（3项）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30 米冲刺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腹肌耐力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背肌耐力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b w:val="0"/>
          <w:bCs w:val="0"/>
          <w:color w:val="000000"/>
          <w:kern w:val="0"/>
          <w:sz w:val="32"/>
          <w:szCs w:val="32"/>
        </w:rPr>
      </w:pPr>
      <w:r>
        <w:rPr>
          <w:rFonts w:hint="eastAsia" w:ascii="楷体" w:hAnsi="楷体" w:eastAsia="楷体" w:cs="楷体"/>
          <w:b w:val="0"/>
          <w:bCs w:val="0"/>
          <w:color w:val="000000"/>
          <w:kern w:val="0"/>
          <w:sz w:val="32"/>
          <w:szCs w:val="32"/>
        </w:rPr>
        <w:t>（二）专项体能测试（5项）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侧向滑步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A 字移动步法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双摇跳绳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坐姿旋转抛球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立定跳远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二、达标标准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以评分标准为得分依据，运动员个人成绩为</w:t>
      </w:r>
      <w:r>
        <w:rPr>
          <w:rFonts w:hint="eastAsia" w:ascii="仿宋" w:hAnsi="仿宋" w:eastAsia="仿宋" w:cs="仿宋"/>
          <w:color w:val="000000"/>
          <w:kern w:val="0"/>
          <w:sz w:val="32"/>
          <w:szCs w:val="32"/>
          <w:lang w:val="en-US" w:eastAsia="zh-CN"/>
        </w:rPr>
        <w:t>各</w:t>
      </w:r>
      <w:r>
        <w:rPr>
          <w:rFonts w:hint="eastAsia" w:ascii="仿宋" w:hAnsi="仿宋" w:eastAsia="仿宋" w:cs="仿宋"/>
          <w:color w:val="000000"/>
          <w:kern w:val="0"/>
          <w:sz w:val="32"/>
          <w:szCs w:val="32"/>
        </w:rPr>
        <w:t>项体能测试分数之和。个人体能成绩低于40分，不能参加比赛。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rPr>
        <w:t>三、测试内容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（一）30米冲刺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被测者充分热身后，站立式起跑，用最快速度完成30</w:t>
      </w:r>
      <w:r>
        <w:rPr>
          <w:rFonts w:hint="eastAsia" w:ascii="仿宋" w:hAnsi="仿宋" w:eastAsia="仿宋" w:cs="仿宋"/>
          <w:color w:val="000000"/>
          <w:kern w:val="0"/>
          <w:sz w:val="32"/>
          <w:szCs w:val="32"/>
          <w:lang w:eastAsia="zh-CN"/>
        </w:rPr>
        <w:t>米</w:t>
      </w:r>
      <w:r>
        <w:rPr>
          <w:rFonts w:hint="eastAsia" w:ascii="仿宋" w:hAnsi="仿宋" w:eastAsia="仿宋" w:cs="仿宋"/>
          <w:color w:val="000000"/>
          <w:kern w:val="0"/>
          <w:sz w:val="32"/>
          <w:szCs w:val="32"/>
        </w:rPr>
        <w:t>距离；每个运动员测试2次，取最好成绩，计量单位为秒，精确到小数点后2位。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（二）腹肌耐力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被测者仰卧在长凳或跳箱上，躯干悬空，髂前上棘置于长凳或跳箱边缘，双手交叉放在胸前，用皮带固定住小腿，或者由同伴帮助固定小腿，保持身体不低于水平面，可适当高于水平面，但胸部不得触碰设置的标定线，使被测试者符合身体不超过30度的测试标准。记录运动员保持身体位置的时间，如果身体低于水平面或触碰标定线时，进行一次提醒，如果仍然无法达到要求，即测试停止，如果运动员维持时间达到120</w:t>
      </w:r>
      <w:r>
        <w:rPr>
          <w:rFonts w:hint="eastAsia" w:ascii="仿宋" w:hAnsi="仿宋" w:eastAsia="仿宋" w:cs="仿宋"/>
          <w:color w:val="000000"/>
          <w:kern w:val="0"/>
          <w:sz w:val="32"/>
          <w:szCs w:val="32"/>
          <w:lang w:eastAsia="zh-CN"/>
        </w:rPr>
        <w:t>秒</w:t>
      </w:r>
      <w:r>
        <w:rPr>
          <w:rFonts w:hint="eastAsia" w:ascii="仿宋" w:hAnsi="仿宋" w:eastAsia="仿宋" w:cs="仿宋"/>
          <w:color w:val="000000"/>
          <w:kern w:val="0"/>
          <w:sz w:val="32"/>
          <w:szCs w:val="32"/>
        </w:rPr>
        <w:t>时，可以停止测试，计为满分，计量单位为秒，精确到整数。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（三）背肌耐力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被测者俯卧在长凳或跳箱上，躯干悬空，髂前上棘置于长凳或跳箱边缘，双手交叉放在胸前，用皮带固定住小腿，或者由同伴帮助固定小腿，保持身体在一个平面上。记录运动员保持身体位置的时间，如果身体不能保持在一个平面时，进行一次提醒，如果仍然无法达到要求，即测试停止，如果运动员维持时间达到120</w:t>
      </w:r>
      <w:r>
        <w:rPr>
          <w:rFonts w:hint="eastAsia" w:ascii="仿宋" w:hAnsi="仿宋" w:eastAsia="仿宋" w:cs="仿宋"/>
          <w:color w:val="000000"/>
          <w:kern w:val="0"/>
          <w:sz w:val="32"/>
          <w:szCs w:val="32"/>
          <w:lang w:eastAsia="zh-CN"/>
        </w:rPr>
        <w:t>秒</w:t>
      </w:r>
      <w:r>
        <w:rPr>
          <w:rFonts w:hint="eastAsia" w:ascii="仿宋" w:hAnsi="仿宋" w:eastAsia="仿宋" w:cs="仿宋"/>
          <w:color w:val="000000"/>
          <w:kern w:val="0"/>
          <w:sz w:val="32"/>
          <w:szCs w:val="32"/>
        </w:rPr>
        <w:t>时，可以停止测试，计为满分，计量单位为秒，精确到整数。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（四）侧向滑步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两个挡板相距3米，起始时被测试者侧向站立在其中一个挡板内，持拍手触碰挡板上缘。利用滑步在两个挡板间移动，并交替触碰两侧挡板上缘。记录5个来回所用的时间。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（五）A字移动步法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ABC三点如图所示，A点为球台底边与中线的交点。A点至BC边的垂直距离6米，BC边中点距离 B、C 两点距离均为3 米。教练员喊出发口令，同时开始计时。运动员从B点出发，移动至球台左侧并触摸球台台面任意位置，然后返回B点，从外侧绕过B、C两点的锥筒并移动至球台右侧，第二次触摸台面，最后绕过C点返回B点，身体任意部位回到B点时教练员停表。测试全程对移动步法无要求。注意不能碰到B、C两点的锥筒，且所有移动线路均在三角形ABC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r>
        <w:rPr>
          <w:rFonts w:ascii="宋体" w:hAnsi="宋体" w:eastAsia="宋体" w:cs="Helvetica"/>
          <w:color w:val="000000"/>
          <w:kern w:val="0"/>
          <w:sz w:val="28"/>
          <w:szCs w:val="28"/>
        </w:rPr>
        <w:drawing>
          <wp:anchor distT="0" distB="0" distL="114300" distR="114300" simplePos="0" relativeHeight="251659264" behindDoc="0" locked="0" layoutInCell="1" allowOverlap="1">
            <wp:simplePos x="0" y="0"/>
            <wp:positionH relativeFrom="column">
              <wp:posOffset>1344930</wp:posOffset>
            </wp:positionH>
            <wp:positionV relativeFrom="paragraph">
              <wp:posOffset>128905</wp:posOffset>
            </wp:positionV>
            <wp:extent cx="2998470" cy="3221355"/>
            <wp:effectExtent l="0" t="0" r="11430" b="17145"/>
            <wp:wrapNone/>
            <wp:docPr id="1" name="图片 1" descr="图片包含 图表&#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包含 图表&#10;&#10;描述已自动生成"/>
                    <pic:cNvPicPr>
                      <a:picLocks noChangeAspect="true"/>
                    </pic:cNvPicPr>
                  </pic:nvPicPr>
                  <pic:blipFill>
                    <a:blip r:embed="rId7"/>
                    <a:stretch>
                      <a:fillRect/>
                    </a:stretch>
                  </pic:blipFill>
                  <pic:spPr>
                    <a:xfrm>
                      <a:off x="0" y="0"/>
                      <a:ext cx="2998470" cy="3221355"/>
                    </a:xfrm>
                    <a:prstGeom prst="rect">
                      <a:avLst/>
                    </a:prstGeom>
                    <a:noFill/>
                    <a:ln>
                      <a:noFill/>
                    </a:ln>
                  </pic:spPr>
                </pic:pic>
              </a:graphicData>
            </a:graphic>
          </wp:anchor>
        </w:drawing>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firstLineChars="20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宋体" w:hAnsi="宋体" w:eastAsia="宋体" w:cs="Helvetica"/>
          <w:color w:val="000000"/>
          <w:kern w:val="0"/>
          <w:sz w:val="28"/>
          <w:szCs w:val="28"/>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（六）双摇跳绳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记录被测试者60</w:t>
      </w:r>
      <w:r>
        <w:rPr>
          <w:rFonts w:hint="eastAsia" w:ascii="仿宋" w:hAnsi="仿宋" w:eastAsia="仿宋" w:cs="仿宋"/>
          <w:color w:val="000000"/>
          <w:kern w:val="0"/>
          <w:sz w:val="32"/>
          <w:szCs w:val="32"/>
          <w:lang w:eastAsia="zh-CN"/>
        </w:rPr>
        <w:t>秒</w:t>
      </w:r>
      <w:r>
        <w:rPr>
          <w:rFonts w:hint="eastAsia" w:ascii="仿宋" w:hAnsi="仿宋" w:eastAsia="仿宋" w:cs="仿宋"/>
          <w:color w:val="000000"/>
          <w:kern w:val="0"/>
          <w:sz w:val="32"/>
          <w:szCs w:val="32"/>
        </w:rPr>
        <w:t>时间内完成的双摇次数。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（七）坐姿旋转抛球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default" w:ascii="宋体" w:hAnsi="宋体" w:eastAsia="仿宋" w:cs="Helvetica"/>
          <w:color w:val="000000"/>
          <w:kern w:val="0"/>
          <w:sz w:val="28"/>
          <w:szCs w:val="28"/>
          <w:lang w:val="en-US" w:eastAsia="zh-CN"/>
        </w:rPr>
      </w:pPr>
      <w:r>
        <w:rPr>
          <w:rFonts w:hint="eastAsia" w:ascii="仿宋" w:hAnsi="仿宋" w:eastAsia="仿宋" w:cs="仿宋"/>
          <w:color w:val="000000"/>
          <w:kern w:val="0"/>
          <w:sz w:val="32"/>
          <w:szCs w:val="32"/>
        </w:rPr>
        <w:t>被测试者持药球坐在地面上，双腿伸直放在标线后，双脚并拢，膝关节对准起始点，不超过标线。双手持球从身体正中向一侧旋转，再通过躯干旋转将药球向侧方抛出，记录药球落地点至起始点之间的距离。整个过程被试者臀部不能离开地面，保持膝关节伸直。</w:t>
      </w:r>
      <w:r>
        <w:rPr>
          <w:rFonts w:hint="eastAsia" w:ascii="仿宋" w:hAnsi="仿宋" w:eastAsia="仿宋" w:cs="仿宋"/>
          <w:color w:val="000000"/>
          <w:kern w:val="0"/>
          <w:sz w:val="32"/>
          <w:szCs w:val="32"/>
          <w:lang w:eastAsia="zh-CN"/>
        </w:rPr>
        <w:t>男子使用</w:t>
      </w:r>
      <w:r>
        <w:rPr>
          <w:rFonts w:hint="eastAsia" w:ascii="仿宋" w:hAnsi="仿宋" w:eastAsia="仿宋" w:cs="仿宋"/>
          <w:color w:val="000000"/>
          <w:kern w:val="0"/>
          <w:sz w:val="32"/>
          <w:szCs w:val="32"/>
          <w:lang w:val="en-US" w:eastAsia="zh-CN"/>
        </w:rPr>
        <w:t>8磅药球，女子使用6磅药球。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（八）立定跳远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被测试者充分热身后，站在起点线后。双脚立定跳落地后，测量起点线至后侧足跟之间的距离。进行2次测试取最佳成绩。</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ascii="宋体" w:hAnsi="宋体" w:eastAsia="宋体" w:cs="Helvetica"/>
          <w:b w:val="0"/>
          <w:bCs w:val="0"/>
          <w:color w:val="000000"/>
          <w:kern w:val="0"/>
          <w:sz w:val="28"/>
          <w:szCs w:val="28"/>
        </w:rPr>
      </w:pPr>
      <w:r>
        <w:rPr>
          <w:rFonts w:hint="eastAsia" w:ascii="黑体" w:hAnsi="黑体" w:eastAsia="黑体" w:cs="黑体"/>
          <w:b w:val="0"/>
          <w:bCs w:val="0"/>
          <w:color w:val="000000"/>
          <w:kern w:val="0"/>
          <w:sz w:val="32"/>
          <w:szCs w:val="32"/>
        </w:rPr>
        <w:t>四、测试要求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（一）全部参赛运动员</w:t>
      </w:r>
      <w:r>
        <w:rPr>
          <w:rFonts w:hint="eastAsia" w:ascii="仿宋" w:hAnsi="仿宋" w:eastAsia="仿宋" w:cs="仿宋"/>
          <w:sz w:val="32"/>
          <w:szCs w:val="32"/>
        </w:rPr>
        <w:t>（香港、澳门除外）</w:t>
      </w:r>
      <w:r>
        <w:rPr>
          <w:rFonts w:hint="eastAsia" w:ascii="仿宋" w:hAnsi="仿宋" w:eastAsia="仿宋" w:cs="仿宋"/>
          <w:color w:val="000000"/>
          <w:kern w:val="0"/>
          <w:sz w:val="32"/>
          <w:szCs w:val="32"/>
        </w:rPr>
        <w:t>必须参加测试，实行达标制，</w:t>
      </w:r>
      <w:r>
        <w:rPr>
          <w:rFonts w:hint="eastAsia" w:ascii="仿宋" w:hAnsi="仿宋" w:eastAsia="仿宋" w:cs="仿宋"/>
          <w:color w:val="000000"/>
          <w:kern w:val="0"/>
          <w:sz w:val="32"/>
          <w:szCs w:val="32"/>
          <w:lang w:val="en-US" w:eastAsia="zh-CN"/>
        </w:rPr>
        <w:t>未</w:t>
      </w:r>
      <w:r>
        <w:rPr>
          <w:rFonts w:hint="eastAsia" w:ascii="仿宋" w:hAnsi="仿宋" w:eastAsia="仿宋" w:cs="仿宋"/>
          <w:color w:val="000000"/>
          <w:kern w:val="0"/>
          <w:sz w:val="32"/>
          <w:szCs w:val="32"/>
        </w:rPr>
        <w:t>通过的</w:t>
      </w:r>
      <w:r>
        <w:rPr>
          <w:rFonts w:hint="eastAsia" w:ascii="仿宋" w:hAnsi="仿宋" w:eastAsia="仿宋" w:cs="仿宋"/>
          <w:color w:val="000000"/>
          <w:kern w:val="0"/>
          <w:sz w:val="32"/>
          <w:szCs w:val="32"/>
          <w:lang w:val="en-US" w:eastAsia="zh-CN"/>
        </w:rPr>
        <w:t>运动</w:t>
      </w:r>
      <w:r>
        <w:rPr>
          <w:rFonts w:hint="eastAsia" w:ascii="仿宋" w:hAnsi="仿宋" w:eastAsia="仿宋" w:cs="仿宋"/>
          <w:color w:val="000000"/>
          <w:kern w:val="0"/>
          <w:sz w:val="32"/>
          <w:szCs w:val="32"/>
        </w:rPr>
        <w:t>员不可参赛。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40" w:firstLineChars="200"/>
        <w:rPr>
          <w:rFonts w:hint="eastAsia" w:ascii="仿宋" w:hAnsi="仿宋" w:eastAsia="仿宋" w:cs="仿宋"/>
          <w:color w:val="000000"/>
          <w:kern w:val="0"/>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kern w:val="0"/>
          <w:sz w:val="32"/>
          <w:szCs w:val="32"/>
        </w:rPr>
        <w:t>（二）</w:t>
      </w:r>
      <w:r>
        <w:rPr>
          <w:rFonts w:hint="eastAsia" w:ascii="仿宋" w:hAnsi="仿宋" w:eastAsia="仿宋" w:cs="仿宋"/>
          <w:color w:val="000000"/>
          <w:kern w:val="0"/>
          <w:sz w:val="32"/>
          <w:szCs w:val="32"/>
          <w:lang w:eastAsia="zh-CN"/>
        </w:rPr>
        <w:t>运动员</w:t>
      </w:r>
      <w:r>
        <w:rPr>
          <w:rFonts w:hint="eastAsia" w:ascii="仿宋" w:hAnsi="仿宋" w:eastAsia="仿宋" w:cs="仿宋"/>
          <w:color w:val="000000"/>
          <w:kern w:val="0"/>
          <w:sz w:val="32"/>
          <w:szCs w:val="32"/>
        </w:rPr>
        <w:t>如在体能测试中弄虚作假、违反测试纪律等，将</w:t>
      </w:r>
      <w:r>
        <w:rPr>
          <w:rFonts w:hint="eastAsia" w:ascii="仿宋" w:hAnsi="仿宋" w:eastAsia="仿宋" w:cs="仿宋"/>
          <w:color w:val="000000"/>
          <w:kern w:val="0"/>
          <w:sz w:val="32"/>
          <w:szCs w:val="32"/>
          <w:lang w:eastAsia="zh-CN"/>
        </w:rPr>
        <w:t>根据违规程度给予</w:t>
      </w:r>
      <w:r>
        <w:rPr>
          <w:rFonts w:hint="eastAsia" w:ascii="仿宋" w:hAnsi="仿宋" w:eastAsia="仿宋" w:cs="仿宋"/>
          <w:color w:val="000000"/>
          <w:kern w:val="0"/>
          <w:sz w:val="32"/>
          <w:szCs w:val="32"/>
        </w:rPr>
        <w:t>取消比赛资格并按照非正常弃权处理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取消现有比赛成绩、取消该运动队及运动员评选体育道德风尚奖资格等处</w:t>
      </w:r>
      <w:bookmarkStart w:id="1" w:name="_GoBack"/>
      <w:bookmarkEnd w:id="1"/>
      <w:r>
        <w:rPr>
          <w:rFonts w:hint="eastAsia" w:ascii="仿宋" w:hAnsi="仿宋" w:eastAsia="仿宋" w:cs="仿宋"/>
          <w:color w:val="000000"/>
          <w:kern w:val="0"/>
          <w:sz w:val="32"/>
          <w:szCs w:val="32"/>
        </w:rPr>
        <w:t>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宋体" w:hAnsi="宋体" w:eastAsia="宋体" w:cs="Helvetica"/>
          <w:b/>
          <w:bCs/>
          <w:color w:val="000000"/>
          <w:kern w:val="0"/>
          <w:sz w:val="44"/>
          <w:szCs w:val="44"/>
        </w:rPr>
      </w:pPr>
      <w:r>
        <w:rPr>
          <w:rFonts w:ascii="宋体" w:hAnsi="宋体" w:eastAsia="宋体" w:cs="Helvetica"/>
          <w:b/>
          <w:bCs/>
          <w:color w:val="000000"/>
          <w:kern w:val="0"/>
          <w:sz w:val="44"/>
          <w:szCs w:val="44"/>
        </w:rPr>
        <w:t>体能测试评分标准</w:t>
      </w:r>
    </w:p>
    <w:tbl>
      <w:tblPr>
        <w:tblStyle w:val="7"/>
        <w:tblW w:w="15601" w:type="dxa"/>
        <w:tblInd w:w="0" w:type="dxa"/>
        <w:tblLayout w:type="fixed"/>
        <w:tblCellMar>
          <w:top w:w="0" w:type="dxa"/>
          <w:left w:w="108" w:type="dxa"/>
          <w:bottom w:w="0" w:type="dxa"/>
          <w:right w:w="108" w:type="dxa"/>
        </w:tblCellMar>
      </w:tblPr>
      <w:tblGrid>
        <w:gridCol w:w="724"/>
        <w:gridCol w:w="936"/>
        <w:gridCol w:w="936"/>
        <w:gridCol w:w="881"/>
        <w:gridCol w:w="882"/>
        <w:gridCol w:w="1026"/>
        <w:gridCol w:w="1027"/>
        <w:gridCol w:w="1026"/>
        <w:gridCol w:w="1027"/>
        <w:gridCol w:w="1167"/>
        <w:gridCol w:w="1168"/>
        <w:gridCol w:w="1268"/>
        <w:gridCol w:w="1329"/>
        <w:gridCol w:w="1135"/>
        <w:gridCol w:w="1069"/>
      </w:tblGrid>
      <w:tr>
        <w:tblPrEx>
          <w:tblCellMar>
            <w:top w:w="0" w:type="dxa"/>
            <w:left w:w="108" w:type="dxa"/>
            <w:bottom w:w="0" w:type="dxa"/>
            <w:right w:w="108" w:type="dxa"/>
          </w:tblCellMar>
        </w:tblPrEx>
        <w:trPr>
          <w:trHeight w:val="567" w:hRule="exact"/>
        </w:trPr>
        <w:tc>
          <w:tcPr>
            <w:tcW w:w="724"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评分</w:t>
            </w:r>
          </w:p>
        </w:tc>
        <w:tc>
          <w:tcPr>
            <w:tcW w:w="3635"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基础体能</w:t>
            </w:r>
          </w:p>
        </w:tc>
        <w:tc>
          <w:tcPr>
            <w:tcW w:w="11242" w:type="dxa"/>
            <w:gridSpan w:val="10"/>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专项体能</w:t>
            </w:r>
          </w:p>
        </w:tc>
      </w:tr>
      <w:tr>
        <w:tblPrEx>
          <w:tblCellMar>
            <w:top w:w="0" w:type="dxa"/>
            <w:left w:w="108" w:type="dxa"/>
            <w:bottom w:w="0" w:type="dxa"/>
            <w:right w:w="108" w:type="dxa"/>
          </w:tblCellMar>
        </w:tblPrEx>
        <w:trPr>
          <w:trHeight w:val="567" w:hRule="exact"/>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187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r>
              <w:rPr>
                <w:rFonts w:hint="eastAsia" w:ascii="宋体" w:hAnsi="宋体" w:eastAsia="宋体" w:cs="宋体"/>
                <w:color w:val="000000"/>
                <w:kern w:val="0"/>
                <w:sz w:val="22"/>
                <w:szCs w:val="22"/>
                <w:lang w:eastAsia="zh-CN"/>
              </w:rPr>
              <w:t>米</w:t>
            </w:r>
            <w:r>
              <w:rPr>
                <w:rFonts w:hint="eastAsia" w:ascii="宋体" w:hAnsi="宋体" w:eastAsia="宋体" w:cs="宋体"/>
                <w:color w:val="000000"/>
                <w:kern w:val="0"/>
                <w:sz w:val="22"/>
                <w:szCs w:val="22"/>
              </w:rPr>
              <w:t>冲刺（秒）</w:t>
            </w:r>
          </w:p>
        </w:tc>
        <w:tc>
          <w:tcPr>
            <w:tcW w:w="8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腹肌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耐力</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（秒）</w:t>
            </w:r>
          </w:p>
        </w:tc>
        <w:tc>
          <w:tcPr>
            <w:tcW w:w="8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背肌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耐力</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（秒）</w:t>
            </w:r>
          </w:p>
        </w:tc>
        <w:tc>
          <w:tcPr>
            <w:tcW w:w="205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双摇跳绳（次）</w:t>
            </w:r>
          </w:p>
        </w:tc>
        <w:tc>
          <w:tcPr>
            <w:tcW w:w="205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立定跳远（厘米）</w:t>
            </w:r>
          </w:p>
        </w:tc>
        <w:tc>
          <w:tcPr>
            <w:tcW w:w="2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侧向滑步（秒）</w:t>
            </w:r>
          </w:p>
        </w:tc>
        <w:tc>
          <w:tcPr>
            <w:tcW w:w="259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A字移动步法（秒）</w:t>
            </w:r>
          </w:p>
        </w:tc>
        <w:tc>
          <w:tcPr>
            <w:tcW w:w="2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坐姿旋转抛球（厘米）</w:t>
            </w:r>
          </w:p>
        </w:tc>
      </w:tr>
      <w:tr>
        <w:tblPrEx>
          <w:tblCellMar>
            <w:top w:w="0" w:type="dxa"/>
            <w:left w:w="108" w:type="dxa"/>
            <w:bottom w:w="0" w:type="dxa"/>
            <w:right w:w="108" w:type="dxa"/>
          </w:tblCellMar>
        </w:tblPrEx>
        <w:trPr>
          <w:trHeight w:val="567" w:hRule="exact"/>
        </w:trPr>
        <w:tc>
          <w:tcPr>
            <w:tcW w:w="7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eastAsia="宋体" w:cs="宋体"/>
                <w:color w:val="000000"/>
                <w:kern w:val="0"/>
                <w:sz w:val="24"/>
              </w:rPr>
            </w:pP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9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88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8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02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102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102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1167"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116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126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132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c>
          <w:tcPr>
            <w:tcW w:w="113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男</w:t>
            </w:r>
          </w:p>
        </w:tc>
        <w:tc>
          <w:tcPr>
            <w:tcW w:w="106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女</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≤4.10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≤4.50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＞260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＞220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≤6.50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≤7.50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&lt;10.40</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&lt;13.50</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＞660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＞540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4.11-4.20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4.51-4.60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126-130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126-130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126-130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121-125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256-260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216-220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6.51-6.70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7.51-7.70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10.40-10.49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13.50-13.59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641-660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521-540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4.21-4.30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4.61-4.70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121-125</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121-125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121-125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116-120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251-255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211-215</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6.71-6.90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7.71-7.90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10.50-10.59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13.60-13.69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621-640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501-520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4.31-4.40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4.71-4.80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116-120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116-120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116-120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111-115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246-250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206-210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6.91-7.10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7.91-8.10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10.60-10.69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13.70-13.79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601-620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481-500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4.41-4.50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4.81-4.90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111-115</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111-115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111-115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106-110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241-245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201-205</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7.11-7.30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8.11-8.30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10.70-10.79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13.80-13.89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581-600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461-480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4.51-4.60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4.91-5.00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101-110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101-110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106-110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101-105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236-240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196-200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7.31-7.50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8.31-8.50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10.80-10,89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13.90-13.99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561-580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441-460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4.61-4.70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5.01-5.10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91-100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91-100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101-105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96-100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231-235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191-195</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7.51-7.70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8.51-8.70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10.90-10.99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14.00-14.09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541-560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421-440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4.71-4.80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5.11-5.20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81-90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81-90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96-100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91-95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226-230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186-190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7.71-7.90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8.71-8.90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11.00-11.09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14.10-14.19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521-540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401-420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4.81-4.90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5.21-5.30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71-80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71-80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91-95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86-90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221-225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181-185</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7.91-8.10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8.91-9.10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11.10-11.19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14.20-14.29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501-520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381-400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4.91-5.00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5.31-5.40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61-70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61-70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86-90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81-85</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216-220</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176-180</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8.11-8.30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9.11-9.30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11.20-11.29</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14.30-14.39</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481-500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361-380</w:t>
            </w:r>
          </w:p>
        </w:tc>
      </w:tr>
      <w:tr>
        <w:tblPrEx>
          <w:tblCellMar>
            <w:top w:w="0" w:type="dxa"/>
            <w:left w:w="108" w:type="dxa"/>
            <w:bottom w:w="0" w:type="dxa"/>
            <w:right w:w="108" w:type="dxa"/>
          </w:tblCellMar>
        </w:tblPrEx>
        <w:trPr>
          <w:trHeight w:val="567" w:hRule="exact"/>
        </w:trPr>
        <w:tc>
          <w:tcPr>
            <w:tcW w:w="72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＞5.00</w:t>
            </w:r>
          </w:p>
        </w:tc>
        <w:tc>
          <w:tcPr>
            <w:tcW w:w="93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20"/>
                <w:szCs w:val="20"/>
              </w:rPr>
            </w:pPr>
            <w:r>
              <w:rPr>
                <w:rFonts w:hint="eastAsia" w:ascii="仿宋" w:hAnsi="仿宋" w:eastAsia="仿宋" w:cs="仿宋"/>
                <w:color w:val="000000"/>
                <w:kern w:val="0"/>
                <w:sz w:val="16"/>
                <w:szCs w:val="16"/>
              </w:rPr>
              <w:t>＞5.40</w:t>
            </w:r>
          </w:p>
        </w:tc>
        <w:tc>
          <w:tcPr>
            <w:tcW w:w="881"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≤60</w:t>
            </w:r>
          </w:p>
        </w:tc>
        <w:tc>
          <w:tcPr>
            <w:tcW w:w="882"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≤60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≤80</w:t>
            </w:r>
          </w:p>
        </w:tc>
        <w:tc>
          <w:tcPr>
            <w:tcW w:w="102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≤215</w:t>
            </w:r>
          </w:p>
        </w:tc>
        <w:tc>
          <w:tcPr>
            <w:tcW w:w="102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≤175</w:t>
            </w:r>
          </w:p>
        </w:tc>
        <w:tc>
          <w:tcPr>
            <w:tcW w:w="1167"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＞8.30</w:t>
            </w:r>
          </w:p>
        </w:tc>
        <w:tc>
          <w:tcPr>
            <w:tcW w:w="11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＞9.30</w:t>
            </w:r>
          </w:p>
        </w:tc>
        <w:tc>
          <w:tcPr>
            <w:tcW w:w="1268"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≥11.30</w:t>
            </w:r>
          </w:p>
        </w:tc>
        <w:tc>
          <w:tcPr>
            <w:tcW w:w="13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≥14.40</w:t>
            </w:r>
          </w:p>
        </w:tc>
        <w:tc>
          <w:tcPr>
            <w:tcW w:w="113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≤480</w:t>
            </w:r>
          </w:p>
        </w:tc>
        <w:tc>
          <w:tcPr>
            <w:tcW w:w="106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6"/>
                <w:szCs w:val="16"/>
              </w:rPr>
            </w:pPr>
            <w:r>
              <w:rPr>
                <w:rFonts w:hint="eastAsia" w:ascii="仿宋" w:hAnsi="仿宋" w:eastAsia="仿宋" w:cs="仿宋"/>
                <w:color w:val="000000"/>
                <w:kern w:val="0"/>
                <w:sz w:val="16"/>
                <w:szCs w:val="16"/>
              </w:rPr>
              <w:t>≤360</w:t>
            </w:r>
          </w:p>
        </w:tc>
      </w:tr>
      <w:bookmarkEnd w:id="0"/>
    </w:tbl>
    <w:p>
      <w:pPr>
        <w:rPr>
          <w:rFonts w:hint="eastAsia" w:ascii="仿宋" w:hAnsi="仿宋" w:eastAsia="仿宋" w:cs="仿宋"/>
          <w:color w:val="000000"/>
          <w:sz w:val="10"/>
          <w:szCs w:val="10"/>
        </w:rPr>
      </w:pPr>
    </w:p>
    <w:sectPr>
      <w:footerReference r:id="rId5" w:type="default"/>
      <w:pgSz w:w="16838" w:h="11906" w:orient="landscape"/>
      <w:pgMar w:top="1417" w:right="850" w:bottom="1417" w:left="850" w:header="851" w:footer="992" w:gutter="0"/>
      <w:pgBorders>
        <w:top w:val="none" w:sz="0" w:space="0"/>
        <w:left w:val="none" w:sz="0" w:space="0"/>
        <w:bottom w:val="none" w:sz="0" w:space="0"/>
        <w:right w:val="none" w:sz="0" w:space="0"/>
      </w:pgBorders>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方正宋体S-超大字符集(SIP)"/>
    <w:panose1 w:val="00000000000000000000"/>
    <w:charset w:val="00"/>
    <w:family w:val="auto"/>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f5QgIwIAADc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H1/lCAjAgAANwQAAA4AAAAAAAAAAQAgAAAANQEAAGRycy9lMm9Eb2Mu&#10;eG1sUEsFBgAAAAAGAAYAWQEAAMo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TrueTypeFonts/>
  <w:saveSubsetFonts/>
  <w:bordersDoNotSurroundHeader w:val="false"/>
  <w:bordersDoNotSurroundFooter w:val="false"/>
  <w:revisionView w:markup="0"/>
  <w:documentProtection w:enforcement="0"/>
  <w:defaultTabStop w:val="420"/>
  <w:hyphenationZone w:val="360"/>
  <w:drawingGridVerticalSpacing w:val="156"/>
  <w:displayHorizontalDrawingGridEvery w:val="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zYzZDExMWRmODRlNDkxZGIyOWZlYjRkMTg4YTMifQ=="/>
  </w:docVars>
  <w:rsids>
    <w:rsidRoot w:val="00100E96"/>
    <w:rsid w:val="00073065"/>
    <w:rsid w:val="000A6E75"/>
    <w:rsid w:val="000E2071"/>
    <w:rsid w:val="00100E96"/>
    <w:rsid w:val="002176DA"/>
    <w:rsid w:val="003E6010"/>
    <w:rsid w:val="0040388C"/>
    <w:rsid w:val="00464493"/>
    <w:rsid w:val="004D00AF"/>
    <w:rsid w:val="004F1175"/>
    <w:rsid w:val="005F5CAA"/>
    <w:rsid w:val="00697486"/>
    <w:rsid w:val="007B41AA"/>
    <w:rsid w:val="00891E8B"/>
    <w:rsid w:val="008F2046"/>
    <w:rsid w:val="00923982"/>
    <w:rsid w:val="00993DC2"/>
    <w:rsid w:val="00994635"/>
    <w:rsid w:val="00996A54"/>
    <w:rsid w:val="00A27062"/>
    <w:rsid w:val="00A83D09"/>
    <w:rsid w:val="00B7640A"/>
    <w:rsid w:val="00B92AE8"/>
    <w:rsid w:val="00C03BFA"/>
    <w:rsid w:val="00C44973"/>
    <w:rsid w:val="00CB4B15"/>
    <w:rsid w:val="00D02D65"/>
    <w:rsid w:val="00E44D9D"/>
    <w:rsid w:val="00E7077D"/>
    <w:rsid w:val="00EA5B54"/>
    <w:rsid w:val="00F34BB8"/>
    <w:rsid w:val="00F90462"/>
    <w:rsid w:val="049B3A0D"/>
    <w:rsid w:val="0BC02D85"/>
    <w:rsid w:val="0BDD226A"/>
    <w:rsid w:val="0C6F4CA1"/>
    <w:rsid w:val="0EB42F76"/>
    <w:rsid w:val="0F3BF931"/>
    <w:rsid w:val="12FA277B"/>
    <w:rsid w:val="154A2FFE"/>
    <w:rsid w:val="172A7B43"/>
    <w:rsid w:val="19516D93"/>
    <w:rsid w:val="19DD672A"/>
    <w:rsid w:val="1B0C7921"/>
    <w:rsid w:val="1B7F84B8"/>
    <w:rsid w:val="1E5921B9"/>
    <w:rsid w:val="1E6E0A53"/>
    <w:rsid w:val="1F204462"/>
    <w:rsid w:val="227D7182"/>
    <w:rsid w:val="23E4429A"/>
    <w:rsid w:val="24725F7E"/>
    <w:rsid w:val="2E336317"/>
    <w:rsid w:val="2E5054A6"/>
    <w:rsid w:val="2F4E0207"/>
    <w:rsid w:val="2FC132E8"/>
    <w:rsid w:val="326F125E"/>
    <w:rsid w:val="32D8307A"/>
    <w:rsid w:val="37FD5FBC"/>
    <w:rsid w:val="3B5D24CB"/>
    <w:rsid w:val="3BFFDE28"/>
    <w:rsid w:val="3DFD4715"/>
    <w:rsid w:val="3EFF9A87"/>
    <w:rsid w:val="3FDF0F5F"/>
    <w:rsid w:val="42B15B0D"/>
    <w:rsid w:val="44E247E6"/>
    <w:rsid w:val="46A076D3"/>
    <w:rsid w:val="475025A4"/>
    <w:rsid w:val="47AD71EA"/>
    <w:rsid w:val="47FF4CD9"/>
    <w:rsid w:val="4D67120C"/>
    <w:rsid w:val="4E5008D0"/>
    <w:rsid w:val="4EFD4E71"/>
    <w:rsid w:val="4FAB219C"/>
    <w:rsid w:val="54946455"/>
    <w:rsid w:val="57410E0C"/>
    <w:rsid w:val="576D77AA"/>
    <w:rsid w:val="5A7C218B"/>
    <w:rsid w:val="5EE74314"/>
    <w:rsid w:val="5EFFBEF6"/>
    <w:rsid w:val="5F2FCAD6"/>
    <w:rsid w:val="5FE6C642"/>
    <w:rsid w:val="621041A6"/>
    <w:rsid w:val="64DC5E63"/>
    <w:rsid w:val="6867158D"/>
    <w:rsid w:val="69382960"/>
    <w:rsid w:val="6D2848F5"/>
    <w:rsid w:val="6DBF65D7"/>
    <w:rsid w:val="6F3FD263"/>
    <w:rsid w:val="6FFAB610"/>
    <w:rsid w:val="74A076FB"/>
    <w:rsid w:val="76C53359"/>
    <w:rsid w:val="7755CCF2"/>
    <w:rsid w:val="7A718A7D"/>
    <w:rsid w:val="7AEB3289"/>
    <w:rsid w:val="7B536F42"/>
    <w:rsid w:val="7BBEDC4F"/>
    <w:rsid w:val="7BE53D52"/>
    <w:rsid w:val="7CC3326A"/>
    <w:rsid w:val="7CFB3660"/>
    <w:rsid w:val="7CFF2CF9"/>
    <w:rsid w:val="7CFF5CE7"/>
    <w:rsid w:val="7CFF760A"/>
    <w:rsid w:val="7D985C31"/>
    <w:rsid w:val="7FBB354B"/>
    <w:rsid w:val="7FBF3B43"/>
    <w:rsid w:val="7FDFF9DD"/>
    <w:rsid w:val="7FED3443"/>
    <w:rsid w:val="7FED9556"/>
    <w:rsid w:val="7FFFE99A"/>
    <w:rsid w:val="8DDFA647"/>
    <w:rsid w:val="9FBB2A33"/>
    <w:rsid w:val="A73F180F"/>
    <w:rsid w:val="B75FF2D3"/>
    <w:rsid w:val="B7BEA396"/>
    <w:rsid w:val="B9DFDBBA"/>
    <w:rsid w:val="BDDE6DD1"/>
    <w:rsid w:val="BE2DB615"/>
    <w:rsid w:val="BF3BE1F4"/>
    <w:rsid w:val="BF7F8871"/>
    <w:rsid w:val="CDD6E0C9"/>
    <w:rsid w:val="CF6BA3DC"/>
    <w:rsid w:val="DFFBD630"/>
    <w:rsid w:val="E3338925"/>
    <w:rsid w:val="EFEDE820"/>
    <w:rsid w:val="F5590E15"/>
    <w:rsid w:val="F6F9B664"/>
    <w:rsid w:val="F76DB0F5"/>
    <w:rsid w:val="F7F178FB"/>
    <w:rsid w:val="F7FC601C"/>
    <w:rsid w:val="FB8B0530"/>
    <w:rsid w:val="FDCE66F8"/>
    <w:rsid w:val="FF69457F"/>
    <w:rsid w:val="FF6FDDD4"/>
    <w:rsid w:val="FF70D964"/>
    <w:rsid w:val="FF7E86FA"/>
    <w:rsid w:val="FF7EB69A"/>
    <w:rsid w:val="FFD7E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Plain Text"/>
    <w:basedOn w:val="1"/>
    <w:link w:val="9"/>
    <w:qFormat/>
    <w:uiPriority w:val="0"/>
    <w:rPr>
      <w:rFonts w:ascii="宋体" w:hAnsi="Courier New" w:eastAsia="宋体" w:cs="Times New Roman"/>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纯文本 字符"/>
    <w:link w:val="3"/>
    <w:qFormat/>
    <w:uiPriority w:val="0"/>
    <w:rPr>
      <w:rFonts w:ascii="宋体" w:hAnsi="Courier New" w:eastAsia="宋体" w:cs="Times New Roman"/>
      <w:szCs w:val="20"/>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4073</Words>
  <Characters>5195</Characters>
  <Lines>48</Lines>
  <Paragraphs>13</Paragraphs>
  <TotalTime>153</TotalTime>
  <ScaleCrop>false</ScaleCrop>
  <LinksUpToDate>false</LinksUpToDate>
  <CharactersWithSpaces>5241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2023-04-27T04:46:00Z</dcterms:created>
  <dc:creator>烁 金</dc:creator>
  <cp:lastModifiedBy>zhangkai</cp:lastModifiedBy>
  <cp:lastPrinted>2025-01-29T19:56:00Z</cp:lastPrinted>
  <dcterms:modified xsi:type="dcterms:W3CDTF">2025-02-27T10:11:31Z</dcterms:modified>
  <dc:title>第十五届全国运动会乒乓球项目竞赛规程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A55FEF901FE64A18823C4DDDE2651C92_13</vt:lpwstr>
  </property>
  <property fmtid="{D5CDD505-2E9C-101B-9397-08002B2CF9AE}" pid="4" name="KSOTemplateDocerSaveRecord">
    <vt:lpwstr>eyJoZGlkIjoiNjM3MmMwOWVmYmNhMGFlOGMzNzVkMDI3MzcyNTdjNTIiLCJ1c2VySWQiOiIxOTE3OTY1NTcifQ==</vt:lpwstr>
  </property>
</Properties>
</file>