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第十五届全国运动会棒球项目竞赛规程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" w:hAnsi="仿宋" w:eastAsia="仿宋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一、竞赛项目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男子</w:t>
      </w:r>
      <w:r>
        <w:rPr>
          <w:rFonts w:hint="eastAsia" w:ascii="仿宋" w:hAnsi="仿宋" w:eastAsia="仿宋"/>
          <w:sz w:val="32"/>
          <w:szCs w:val="32"/>
          <w:lang w:eastAsia="zh-CN"/>
        </w:rPr>
        <w:t>棒球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二、运动员资格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（一）符合《中华人民共和国第十五届运动会竞赛规程总则》（体竞字〔</w:t>
      </w:r>
      <w:r>
        <w:rPr>
          <w:rFonts w:ascii="仿宋" w:hAnsi="仿宋" w:eastAsia="仿宋"/>
          <w:sz w:val="32"/>
          <w:szCs w:val="32"/>
        </w:rPr>
        <w:t>2023〕1号）第四</w:t>
      </w:r>
      <w:bookmarkStart w:id="1" w:name="_GoBack"/>
      <w:bookmarkEnd w:id="1"/>
      <w:r>
        <w:rPr>
          <w:rFonts w:ascii="仿宋" w:hAnsi="仿宋" w:eastAsia="仿宋"/>
          <w:sz w:val="32"/>
          <w:szCs w:val="32"/>
        </w:rPr>
        <w:t>条规定</w:t>
      </w:r>
      <w:r>
        <w:rPr>
          <w:rFonts w:hint="eastAsia" w:ascii="仿宋" w:hAnsi="仿宋" w:eastAsia="仿宋"/>
          <w:sz w:val="32"/>
          <w:szCs w:val="32"/>
        </w:rPr>
        <w:t>和《第十五届全国运动会运动员代表资格规定》（体竞字〔</w:t>
      </w:r>
      <w:r>
        <w:rPr>
          <w:rFonts w:ascii="仿宋" w:hAnsi="仿宋" w:eastAsia="仿宋"/>
          <w:sz w:val="32"/>
          <w:szCs w:val="32"/>
        </w:rPr>
        <w:t>2022〕186号）。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（二）年龄规定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2001年12月31日</w:t>
      </w:r>
      <w:r>
        <w:rPr>
          <w:rFonts w:hint="eastAsia" w:ascii="仿宋" w:hAnsi="仿宋" w:eastAsia="仿宋"/>
          <w:sz w:val="32"/>
          <w:szCs w:val="32"/>
        </w:rPr>
        <w:t>（含）</w:t>
      </w:r>
      <w:r>
        <w:rPr>
          <w:rFonts w:ascii="仿宋" w:hAnsi="仿宋" w:eastAsia="仿宋"/>
          <w:sz w:val="32"/>
          <w:szCs w:val="32"/>
        </w:rPr>
        <w:t>以前出生的运动员最多8人</w:t>
      </w:r>
      <w:r>
        <w:rPr>
          <w:rFonts w:hint="eastAsia" w:ascii="仿宋" w:hAnsi="仿宋" w:eastAsia="仿宋"/>
          <w:sz w:val="32"/>
          <w:szCs w:val="32"/>
        </w:rPr>
        <w:t>（以下简称超龄运动员）</w:t>
      </w:r>
      <w:r>
        <w:rPr>
          <w:rFonts w:ascii="仿宋" w:hAnsi="仿宋" w:eastAsia="仿宋"/>
          <w:sz w:val="32"/>
          <w:szCs w:val="32"/>
        </w:rPr>
        <w:t>，其他运动员</w:t>
      </w:r>
      <w:r>
        <w:rPr>
          <w:rFonts w:hint="eastAsia" w:ascii="仿宋" w:hAnsi="仿宋" w:eastAsia="仿宋"/>
          <w:sz w:val="32"/>
          <w:szCs w:val="32"/>
        </w:rPr>
        <w:t>为</w:t>
      </w:r>
      <w:r>
        <w:rPr>
          <w:rFonts w:ascii="仿宋" w:hAnsi="仿宋" w:eastAsia="仿宋"/>
          <w:sz w:val="32"/>
          <w:szCs w:val="32"/>
        </w:rPr>
        <w:t>2002年1月1日</w:t>
      </w:r>
      <w:r>
        <w:rPr>
          <w:rFonts w:hint="eastAsia" w:ascii="仿宋" w:hAnsi="仿宋" w:eastAsia="仿宋"/>
          <w:sz w:val="32"/>
          <w:szCs w:val="32"/>
        </w:rPr>
        <w:t>（含）</w:t>
      </w:r>
      <w:r>
        <w:rPr>
          <w:rFonts w:ascii="仿宋" w:hAnsi="仿宋" w:eastAsia="仿宋"/>
          <w:sz w:val="32"/>
          <w:szCs w:val="32"/>
        </w:rPr>
        <w:t>以后出生。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（三）体能测试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运动员（香港、澳门除外）需通过体能测试。体能测试项目、办法、标准和准入条件详见附件</w:t>
      </w:r>
      <w:r>
        <w:rPr>
          <w:rFonts w:ascii="仿宋" w:hAnsi="仿宋" w:eastAsia="仿宋"/>
          <w:sz w:val="32"/>
          <w:szCs w:val="32"/>
        </w:rPr>
        <w:t>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三、参加办法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（一）资格赛采取积分制形式，《第十五届全国运动会棒球项目积分规则》详见附件2。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（二）决赛阶段名额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除广东外，进入决赛阶段的名额共有</w:t>
      </w:r>
      <w:r>
        <w:rPr>
          <w:rFonts w:ascii="仿宋" w:hAnsi="仿宋" w:eastAsia="仿宋"/>
          <w:sz w:val="32"/>
          <w:szCs w:val="32"/>
        </w:rPr>
        <w:t>7个。</w:t>
      </w:r>
      <w:r>
        <w:rPr>
          <w:rFonts w:hint="eastAsia" w:ascii="仿宋" w:hAnsi="仿宋" w:eastAsia="仿宋"/>
          <w:sz w:val="32"/>
          <w:szCs w:val="32"/>
        </w:rPr>
        <w:t>第十五届全国运动会棒球项目积分</w:t>
      </w:r>
      <w:r>
        <w:rPr>
          <w:rFonts w:ascii="仿宋" w:hAnsi="仿宋" w:eastAsia="仿宋"/>
          <w:sz w:val="32"/>
          <w:szCs w:val="32"/>
        </w:rPr>
        <w:t>前6名的参赛单位（如</w:t>
      </w:r>
      <w:r>
        <w:rPr>
          <w:rFonts w:hint="eastAsia" w:ascii="仿宋" w:hAnsi="仿宋" w:eastAsia="仿宋"/>
          <w:sz w:val="32"/>
          <w:szCs w:val="32"/>
        </w:rPr>
        <w:t>广东</w:t>
      </w:r>
      <w:r>
        <w:rPr>
          <w:rFonts w:ascii="仿宋" w:hAnsi="仿宋" w:eastAsia="仿宋"/>
          <w:sz w:val="32"/>
          <w:szCs w:val="32"/>
        </w:rPr>
        <w:t>在前6名内，则依次递补）和落选赛第</w:t>
      </w: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名的代表队参加决赛。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（三）参加资格赛但未获得决赛阶段参赛名额的</w:t>
      </w:r>
      <w:r>
        <w:rPr>
          <w:rFonts w:ascii="仿宋" w:hAnsi="仿宋" w:eastAsia="仿宋"/>
          <w:sz w:val="32"/>
          <w:szCs w:val="32"/>
        </w:rPr>
        <w:t>参赛单位和</w:t>
      </w:r>
      <w:r>
        <w:rPr>
          <w:rFonts w:hint="eastAsia" w:ascii="仿宋" w:hAnsi="仿宋" w:eastAsia="仿宋"/>
          <w:sz w:val="32"/>
          <w:szCs w:val="32"/>
        </w:rPr>
        <w:t>未参加资格赛的</w:t>
      </w:r>
      <w:r>
        <w:rPr>
          <w:rFonts w:ascii="仿宋" w:hAnsi="仿宋" w:eastAsia="仿宋"/>
          <w:sz w:val="32"/>
          <w:szCs w:val="32"/>
        </w:rPr>
        <w:t>参赛单位</w:t>
      </w:r>
      <w:r>
        <w:rPr>
          <w:rFonts w:hint="eastAsia" w:ascii="仿宋" w:hAnsi="仿宋" w:eastAsia="仿宋"/>
          <w:sz w:val="32"/>
          <w:szCs w:val="32"/>
        </w:rPr>
        <w:t>可参加落选赛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（四）香港特别行政区和澳门特别行政区可直接参加决赛阶段比赛，决赛队伍数量相应增加。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四、竞赛办法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18030" w:hAnsi="CESI楷体-GB18030" w:eastAsia="CESI楷体-GB18030" w:cs="CESI楷体-GB18030"/>
          <w:sz w:val="32"/>
          <w:szCs w:val="32"/>
        </w:rPr>
      </w:pPr>
      <w:r>
        <w:rPr>
          <w:rFonts w:hint="eastAsia" w:ascii="CESI楷体-GB18030" w:hAnsi="CESI楷体-GB18030" w:eastAsia="CESI楷体-GB18030" w:cs="CESI楷体-GB18030"/>
          <w:sz w:val="32"/>
          <w:szCs w:val="32"/>
        </w:rPr>
        <w:t>（一）落选赛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参赛队伍在</w:t>
      </w:r>
      <w:r>
        <w:rPr>
          <w:rFonts w:ascii="仿宋" w:hAnsi="仿宋" w:eastAsia="仿宋"/>
          <w:sz w:val="32"/>
          <w:szCs w:val="32"/>
        </w:rPr>
        <w:t>8个队以上（含8个队）时，报名队伍根据</w:t>
      </w:r>
      <w:r>
        <w:rPr>
          <w:rFonts w:hint="eastAsia" w:ascii="仿宋" w:hAnsi="仿宋" w:eastAsia="仿宋"/>
          <w:sz w:val="32"/>
          <w:szCs w:val="32"/>
        </w:rPr>
        <w:t>第十五届全国运动会棒球项目积分</w:t>
      </w:r>
      <w:r>
        <w:rPr>
          <w:rFonts w:ascii="仿宋" w:hAnsi="仿宋" w:eastAsia="仿宋"/>
          <w:sz w:val="32"/>
          <w:szCs w:val="32"/>
        </w:rPr>
        <w:t>排名排序，未获</w:t>
      </w:r>
      <w:r>
        <w:rPr>
          <w:rFonts w:hint="eastAsia" w:ascii="仿宋" w:hAnsi="仿宋" w:eastAsia="仿宋"/>
          <w:sz w:val="32"/>
          <w:szCs w:val="32"/>
        </w:rPr>
        <w:t>积分排名</w:t>
      </w:r>
      <w:r>
        <w:rPr>
          <w:rFonts w:ascii="仿宋" w:hAnsi="仿宋" w:eastAsia="仿宋"/>
          <w:sz w:val="32"/>
          <w:szCs w:val="32"/>
        </w:rPr>
        <w:t>的队伍按报名先后</w:t>
      </w:r>
      <w:r>
        <w:rPr>
          <w:rFonts w:hint="eastAsia" w:ascii="仿宋" w:hAnsi="仿宋" w:eastAsia="仿宋"/>
          <w:sz w:val="32"/>
          <w:szCs w:val="32"/>
        </w:rPr>
        <w:t>顺序</w:t>
      </w:r>
      <w:r>
        <w:rPr>
          <w:rFonts w:ascii="仿宋" w:hAnsi="仿宋" w:eastAsia="仿宋"/>
          <w:sz w:val="32"/>
          <w:szCs w:val="32"/>
        </w:rPr>
        <w:t>依次排在后面，采用蛇形编排分成A、B两个小组，通过单循环比赛决出小组排名，A、B小组第</w:t>
      </w: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名的队伍</w:t>
      </w:r>
      <w:r>
        <w:rPr>
          <w:rFonts w:hint="eastAsia" w:ascii="仿宋" w:hAnsi="仿宋" w:eastAsia="仿宋"/>
          <w:sz w:val="32"/>
          <w:szCs w:val="32"/>
        </w:rPr>
        <w:t>争夺决赛阶段参赛名额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参赛队伍在</w:t>
      </w:r>
      <w:r>
        <w:rPr>
          <w:rFonts w:ascii="仿宋" w:hAnsi="仿宋" w:eastAsia="仿宋"/>
          <w:sz w:val="32"/>
          <w:szCs w:val="32"/>
        </w:rPr>
        <w:t>7个队以下（含7个队）</w:t>
      </w:r>
      <w:r>
        <w:rPr>
          <w:rFonts w:hint="eastAsia" w:ascii="仿宋" w:hAnsi="仿宋" w:eastAsia="仿宋"/>
          <w:sz w:val="32"/>
          <w:szCs w:val="32"/>
        </w:rPr>
        <w:t>时，</w:t>
      </w:r>
      <w:r>
        <w:rPr>
          <w:rFonts w:ascii="仿宋" w:hAnsi="仿宋" w:eastAsia="仿宋"/>
          <w:sz w:val="32"/>
          <w:szCs w:val="32"/>
        </w:rPr>
        <w:t>采用单循环办法进行比赛，排在第1、2名的队伍</w:t>
      </w:r>
      <w:r>
        <w:rPr>
          <w:rFonts w:hint="eastAsia" w:ascii="仿宋" w:hAnsi="仿宋" w:eastAsia="仿宋"/>
          <w:sz w:val="32"/>
          <w:szCs w:val="32"/>
        </w:rPr>
        <w:t>争夺决赛阶段参赛名额</w:t>
      </w:r>
      <w:r>
        <w:rPr>
          <w:rFonts w:ascii="仿宋" w:hAnsi="仿宋" w:eastAsia="仿宋"/>
          <w:sz w:val="32"/>
          <w:szCs w:val="32"/>
        </w:rPr>
        <w:t>。编排顺序和8个队以上（含）排序原则一致。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落选赛报名人数：每队可报</w:t>
      </w:r>
      <w:r>
        <w:rPr>
          <w:rFonts w:ascii="仿宋" w:hAnsi="仿宋" w:eastAsia="仿宋"/>
          <w:sz w:val="32"/>
          <w:szCs w:val="32"/>
        </w:rPr>
        <w:t>1名</w:t>
      </w:r>
      <w:r>
        <w:rPr>
          <w:rFonts w:hint="eastAsia" w:ascii="仿宋" w:hAnsi="仿宋" w:eastAsia="仿宋"/>
          <w:sz w:val="32"/>
          <w:szCs w:val="32"/>
        </w:rPr>
        <w:t>领队</w:t>
      </w:r>
      <w:r>
        <w:rPr>
          <w:rFonts w:ascii="仿宋" w:hAnsi="仿宋" w:eastAsia="仿宋"/>
          <w:sz w:val="32"/>
          <w:szCs w:val="32"/>
        </w:rPr>
        <w:t>，4名教练员，1名医生，24名运动员。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  <w:lang w:eastAsia="zh-CN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（二）决赛</w:t>
      </w:r>
      <w:r>
        <w:rPr>
          <w:rFonts w:hint="eastAsia" w:ascii="CESI楷体-GB2312" w:hAnsi="CESI楷体-GB2312" w:eastAsia="CESI楷体-GB2312" w:cs="CESI楷体-GB2312"/>
          <w:sz w:val="32"/>
          <w:szCs w:val="32"/>
          <w:lang w:eastAsia="zh-CN"/>
        </w:rPr>
        <w:t>阶段比赛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获得决赛</w:t>
      </w:r>
      <w:r>
        <w:rPr>
          <w:rFonts w:hint="eastAsia" w:ascii="仿宋" w:hAnsi="仿宋" w:eastAsia="仿宋"/>
          <w:sz w:val="32"/>
          <w:szCs w:val="32"/>
          <w:lang w:eastAsia="zh-CN"/>
        </w:rPr>
        <w:t>阶段</w:t>
      </w:r>
      <w:r>
        <w:rPr>
          <w:rFonts w:hint="eastAsia" w:ascii="仿宋" w:hAnsi="仿宋" w:eastAsia="仿宋"/>
          <w:sz w:val="32"/>
          <w:szCs w:val="32"/>
        </w:rPr>
        <w:t>参赛资格的运动队（不含香港、澳门）根据第十五届全国运动会棒球项目积分</w:t>
      </w:r>
      <w:r>
        <w:rPr>
          <w:rFonts w:ascii="仿宋" w:hAnsi="仿宋" w:eastAsia="仿宋"/>
          <w:sz w:val="32"/>
          <w:szCs w:val="32"/>
        </w:rPr>
        <w:t>排名依次获得序号1-8。序号1和2、序号3和4、序号5和6、序号7和8抽签分别进入A组或B组。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香港特别行政区、澳门特别行政区可以报名参加决赛阶段比赛，如果</w:t>
      </w:r>
      <w:r>
        <w:rPr>
          <w:rFonts w:ascii="仿宋" w:hAnsi="仿宋" w:eastAsia="仿宋"/>
          <w:sz w:val="32"/>
          <w:szCs w:val="32"/>
        </w:rPr>
        <w:t>1支队伍报名，则抽签进入A组或B组；如果2队均报名，则抽签分别进入A组或B组，不能同组。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A组、B组分别进行小组单循环比赛，决出小组名次。名列A、B两个小组前2名的球队进入C组附加赛，决出1—4名；名列A、B两个小组3、4名的队伍进入D组附加赛，决出5—8名，附加赛采用交叉淘汰比赛形式决出名次。若有9支队伍参加比赛，则小组名次排在第5名的队伍获得第9名，若10支队伍参加比赛，则名列A、B两个小组第5名的球队进行比赛决出第9、10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决赛阶段比赛每队可报</w:t>
      </w:r>
      <w:r>
        <w:rPr>
          <w:rFonts w:ascii="仿宋" w:hAnsi="仿宋" w:eastAsia="仿宋"/>
          <w:sz w:val="32"/>
          <w:szCs w:val="32"/>
        </w:rPr>
        <w:t>24名</w:t>
      </w:r>
      <w:r>
        <w:rPr>
          <w:rFonts w:hint="eastAsia" w:ascii="仿宋" w:hAnsi="仿宋" w:eastAsia="仿宋"/>
          <w:sz w:val="32"/>
          <w:szCs w:val="32"/>
        </w:rPr>
        <w:t>运动员</w:t>
      </w:r>
      <w:r>
        <w:rPr>
          <w:rFonts w:ascii="仿宋" w:hAnsi="仿宋" w:eastAsia="仿宋"/>
          <w:sz w:val="32"/>
          <w:szCs w:val="32"/>
        </w:rPr>
        <w:t>。官员执行《中华人民共和国第十五届运动会竞赛规程总则》（体竞字〔2023〕1号）第三条第（三）项规定，由代表团统一分配确定。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（三）在落选赛和决赛阶段比赛过程中，如遇天气或其它特殊情况，不能按原计划进行比赛，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中国棒球协会</w:t>
      </w:r>
      <w:r>
        <w:rPr>
          <w:rFonts w:hint="eastAsia" w:ascii="仿宋" w:hAnsi="仿宋" w:eastAsia="仿宋"/>
          <w:sz w:val="32"/>
          <w:szCs w:val="32"/>
        </w:rPr>
        <w:t>有权对比赛时间和办法作出更改</w:t>
      </w:r>
      <w:r>
        <w:rPr>
          <w:rFonts w:hint="eastAsia" w:ascii="仿宋" w:hAnsi="仿宋" w:eastAsia="仿宋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18030" w:hAnsi="CESI楷体-GB18030" w:eastAsia="CESI楷体-GB18030" w:cs="CESI楷体-GB18030"/>
          <w:sz w:val="32"/>
          <w:szCs w:val="32"/>
        </w:rPr>
      </w:pPr>
      <w:r>
        <w:rPr>
          <w:rFonts w:hint="eastAsia" w:ascii="CESI楷体-GB18030" w:hAnsi="CESI楷体-GB18030" w:eastAsia="CESI楷体-GB18030" w:cs="CESI楷体-GB18030"/>
          <w:sz w:val="32"/>
          <w:szCs w:val="32"/>
        </w:rPr>
        <w:t>（四）计分与决定名次方法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1.胜一场得2分，负一场得0分，积分多者名次列前。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2.单循环赛中，如遇积分相等，按下列规定依次序决定名次：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sz w:val="32"/>
          <w:szCs w:val="32"/>
        </w:rPr>
        <w:t>①</w:t>
      </w:r>
      <w:r>
        <w:rPr>
          <w:rFonts w:hint="eastAsia" w:ascii="仿宋" w:hAnsi="仿宋" w:eastAsia="仿宋"/>
          <w:sz w:val="32"/>
          <w:szCs w:val="32"/>
        </w:rPr>
        <w:t>相同</w:t>
      </w:r>
      <w:r>
        <w:rPr>
          <w:rFonts w:ascii="仿宋" w:hAnsi="仿宋" w:eastAsia="仿宋"/>
          <w:sz w:val="32"/>
          <w:szCs w:val="32"/>
        </w:rPr>
        <w:t>积分队伍间比赛，胜场较多者名次列前。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sz w:val="32"/>
          <w:szCs w:val="32"/>
        </w:rPr>
        <w:t>②</w:t>
      </w:r>
      <w:r>
        <w:rPr>
          <w:rFonts w:hint="eastAsia" w:ascii="仿宋" w:hAnsi="仿宋" w:eastAsia="仿宋"/>
          <w:sz w:val="32"/>
          <w:szCs w:val="32"/>
        </w:rPr>
        <w:t>相同</w:t>
      </w:r>
      <w:r>
        <w:rPr>
          <w:rFonts w:ascii="仿宋" w:hAnsi="仿宋" w:eastAsia="仿宋"/>
          <w:sz w:val="32"/>
          <w:szCs w:val="32"/>
        </w:rPr>
        <w:t>积分队伍间比赛，优质平均数（TQB）较高者名次列前。（如优质平均数相同，则在优质平均数相同的队伍间比较胜负关系）</w:t>
      </w:r>
    </w:p>
    <w:p>
      <w:pPr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shape id="_x0000_i1025" o:spt="75" type="#_x0000_t75" style="height:55.35pt;width:415.3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汉仪书宋二S" w:hAnsi="汉仪书宋二S" w:eastAsia="汉仪书宋二S" w:cs="汉仪书宋二S"/>
          <w:sz w:val="30"/>
          <w:szCs w:val="30"/>
        </w:rPr>
        <w:t>③</w:t>
      </w:r>
      <w:r>
        <w:rPr>
          <w:rFonts w:hint="eastAsia" w:ascii="仿宋" w:hAnsi="仿宋" w:eastAsia="仿宋"/>
          <w:sz w:val="30"/>
          <w:szCs w:val="30"/>
        </w:rPr>
        <w:t>相同</w:t>
      </w:r>
      <w:r>
        <w:rPr>
          <w:rFonts w:ascii="仿宋" w:hAnsi="仿宋" w:eastAsia="仿宋"/>
          <w:sz w:val="30"/>
          <w:szCs w:val="30"/>
        </w:rPr>
        <w:t>积分队伍间比赛，责任失分平均数（ER-TQB）</w:t>
      </w:r>
      <w:r>
        <w:rPr>
          <w:rFonts w:hint="eastAsia" w:ascii="仿宋" w:hAnsi="仿宋" w:eastAsia="仿宋"/>
          <w:sz w:val="30"/>
          <w:szCs w:val="30"/>
        </w:rPr>
        <w:t>较高</w:t>
      </w:r>
      <w:r>
        <w:rPr>
          <w:rFonts w:ascii="仿宋" w:hAnsi="仿宋" w:eastAsia="仿宋"/>
          <w:sz w:val="30"/>
          <w:szCs w:val="30"/>
        </w:rPr>
        <w:t>者名次列前。</w:t>
      </w:r>
    </w:p>
    <w:p>
      <w:pPr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shape id="_x0000_i1026" o:spt="75" type="#_x0000_t75" style="height:57.75pt;width:388.1pt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sz w:val="32"/>
          <w:szCs w:val="32"/>
        </w:rPr>
        <w:t>④</w:t>
      </w:r>
      <w:r>
        <w:rPr>
          <w:rFonts w:hint="eastAsia" w:ascii="仿宋" w:hAnsi="仿宋" w:eastAsia="仿宋"/>
          <w:sz w:val="32"/>
          <w:szCs w:val="32"/>
        </w:rPr>
        <w:t>相同</w:t>
      </w:r>
      <w:r>
        <w:rPr>
          <w:rFonts w:ascii="仿宋" w:hAnsi="仿宋" w:eastAsia="仿宋"/>
          <w:sz w:val="32"/>
          <w:szCs w:val="32"/>
        </w:rPr>
        <w:t>积分队伍间比赛，安打率较高者名次列前。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汉仪书宋二S" w:hAnsi="汉仪书宋二S" w:eastAsia="汉仪书宋二S" w:cs="汉仪书宋二S"/>
          <w:sz w:val="32"/>
          <w:szCs w:val="32"/>
        </w:rPr>
        <w:t>⑤</w:t>
      </w:r>
      <w:r>
        <w:rPr>
          <w:rFonts w:ascii="仿宋" w:hAnsi="仿宋" w:eastAsia="仿宋"/>
          <w:sz w:val="32"/>
          <w:szCs w:val="32"/>
        </w:rPr>
        <w:t>掷硬币。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（五）竞赛编排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1.竞赛编排按中国棒球协会标准赛程执行。小组单循环赛时，如有关联球队，则</w:t>
      </w:r>
      <w:r>
        <w:rPr>
          <w:rFonts w:hint="eastAsia" w:ascii="仿宋" w:hAnsi="仿宋" w:eastAsia="仿宋"/>
          <w:sz w:val="32"/>
          <w:szCs w:val="32"/>
        </w:rPr>
        <w:t>关联球队</w:t>
      </w:r>
      <w:r>
        <w:rPr>
          <w:rFonts w:ascii="仿宋" w:hAnsi="仿宋" w:eastAsia="仿宋"/>
          <w:sz w:val="32"/>
          <w:szCs w:val="32"/>
        </w:rPr>
        <w:t>之间的比赛安排在首轮进行。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2.竞赛编排时，如遇奇数队时采用“1”不动补“0”的办法，按逆时针旋转的原则编排；如遇偶数队时采用“1”不动逆时针旋转的原则编排。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（六）竞赛规则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1.采用中国棒球协会审定的</w:t>
      </w:r>
      <w:r>
        <w:rPr>
          <w:rFonts w:hint="eastAsia" w:ascii="仿宋" w:hAnsi="仿宋" w:eastAsia="仿宋"/>
          <w:sz w:val="32"/>
          <w:szCs w:val="32"/>
        </w:rPr>
        <w:t>最新</w:t>
      </w:r>
      <w:r>
        <w:rPr>
          <w:rFonts w:ascii="仿宋" w:hAnsi="仿宋" w:eastAsia="仿宋"/>
          <w:sz w:val="32"/>
          <w:szCs w:val="32"/>
        </w:rPr>
        <w:t>版《棒球规则》。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2.每场比赛为九局，如打成平局，继续比赛，在第十局时，一、二垒放跑垒员，直至分出胜负。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3.双方比分相差10分及以上时，七局可结束比赛；双方比分相差15分及以上时，五局可结束比赛。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</w:t>
      </w:r>
      <w:r>
        <w:rPr>
          <w:rFonts w:ascii="仿宋" w:hAnsi="仿宋" w:eastAsia="仿宋"/>
          <w:sz w:val="32"/>
          <w:szCs w:val="32"/>
        </w:rPr>
        <w:t>.裁判员宣布交换攻守后，双方队员要迅速完成交换</w:t>
      </w:r>
      <w:r>
        <w:rPr>
          <w:rFonts w:hint="eastAsia" w:ascii="仿宋" w:hAnsi="仿宋" w:eastAsia="仿宋"/>
          <w:sz w:val="32"/>
          <w:szCs w:val="32"/>
        </w:rPr>
        <w:t>并</w:t>
      </w:r>
      <w:r>
        <w:rPr>
          <w:rFonts w:ascii="仿宋" w:hAnsi="仿宋" w:eastAsia="仿宋"/>
          <w:sz w:val="32"/>
          <w:szCs w:val="32"/>
        </w:rPr>
        <w:t>于</w:t>
      </w:r>
      <w:r>
        <w:rPr>
          <w:rFonts w:hint="eastAsia" w:ascii="仿宋" w:hAnsi="仿宋" w:eastAsia="仿宋"/>
          <w:sz w:val="32"/>
          <w:szCs w:val="32"/>
        </w:rPr>
        <w:t>1</w:t>
      </w:r>
      <w:r>
        <w:rPr>
          <w:rFonts w:ascii="仿宋" w:hAnsi="仿宋" w:eastAsia="仿宋"/>
          <w:sz w:val="32"/>
          <w:szCs w:val="32"/>
        </w:rPr>
        <w:t>分钟内各就各位准备比赛。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18030" w:hAnsi="CESI楷体-GB18030" w:eastAsia="CESI楷体-GB18030" w:cs="CESI楷体-GB18030"/>
          <w:sz w:val="32"/>
          <w:szCs w:val="32"/>
        </w:rPr>
      </w:pPr>
      <w:r>
        <w:rPr>
          <w:rFonts w:hint="eastAsia" w:ascii="CESI楷体-GB18030" w:hAnsi="CESI楷体-GB18030" w:eastAsia="CESI楷体-GB18030" w:cs="CESI楷体-GB18030"/>
          <w:sz w:val="32"/>
          <w:szCs w:val="32"/>
        </w:rPr>
        <w:t>（七）投球数限制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1.落选赛和决赛全程设置投球数限制，投手投球数达到指定数量时，须在赛会监督下休息指定天数后方可再次投球，被限制投球的运动员可以作为除投手以外的位置上场比赛。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2.投球数和休息时间</w:t>
      </w:r>
    </w:p>
    <w:p>
      <w:pPr>
        <w:jc w:val="center"/>
        <w:rPr>
          <w:rFonts w:hint="eastAsia"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pict>
          <v:shape id="_x0000_i1027" o:spt="75" type="#_x0000_t75" style="height:171.75pt;width:357.3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3.如果一名投手</w:t>
      </w:r>
      <w:r>
        <w:rPr>
          <w:rFonts w:hint="eastAsia" w:ascii="仿宋" w:hAnsi="仿宋" w:eastAsia="仿宋"/>
          <w:sz w:val="32"/>
          <w:szCs w:val="32"/>
        </w:rPr>
        <w:t>投</w:t>
      </w:r>
      <w:r>
        <w:rPr>
          <w:rFonts w:ascii="仿宋" w:hAnsi="仿宋" w:eastAsia="仿宋"/>
          <w:sz w:val="32"/>
          <w:szCs w:val="32"/>
        </w:rPr>
        <w:t>球数达到95球时，当前击球员没有完成击球任务，该名投手可以继续投球直至完成击球任务或达到3人出局攻守交换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，则须立即离场。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.投手投球数将由官方记录员准确记录，同一天比赛中同一投手的投球数将会被累计，所有投手球数情况将在当日比赛全部结束后公布。当比赛遇到紧急情况而封局改期时，投球数已达到休息天数要求的投手应立即按照休息天数休息。若改期比赛日在休息期内，未离场且未达到95球的投手可继续投球，但所有未离场投手的投球数会在改期比赛的当天继续累计，如达到下一等级的休息天数要求，需继续休息但扣除已休息天数。（例如某投手投55颗球未离场而比赛封局改期，该投手需休息一天，改期比赛后该投手继续投到95颗球，则需以改期比赛日起再休息3天。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5.投手达到最大投球数限制或违反休息天数规定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，裁判员判其该场比赛0:20告负。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6.不计入投球数统计的情况：牵制球、投手犯规（无论球是否投出）、故意四坏保送中没有实际发生的投球。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7</w:t>
      </w:r>
      <w:r>
        <w:rPr>
          <w:rFonts w:ascii="仿宋" w:hAnsi="仿宋" w:eastAsia="仿宋"/>
          <w:sz w:val="32"/>
          <w:szCs w:val="32"/>
        </w:rPr>
        <w:t>.</w:t>
      </w:r>
      <w:r>
        <w:rPr>
          <w:rFonts w:hint="eastAsia" w:ascii="仿宋" w:hAnsi="仿宋" w:eastAsia="仿宋"/>
          <w:sz w:val="32"/>
          <w:szCs w:val="32"/>
        </w:rPr>
        <w:t>应计入投球数统计的情况：击球次序错误的击球员轮击时实际发生的投球。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（八）超龄球员使用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一场比赛最多累计可有5名超龄球员上场。如有第6名超龄球员上场比赛，裁判员判其该场比赛0:20告负。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（九）服装和器材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1.各队须准备两套不同颜色、号码清晰的比赛服装，并在报名单上注明颜色和号码。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2.比赛时接手须穿戴头盔、护胸、护面、护喉、护腿、护裆，运动员穿棒球钉鞋，击球员和跑垒员须戴本队统一防护头盔。比赛中在指导区的教练员或同队队员须与本队服装一致，否则不能进入指导区。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3.比赛使用中国棒球协会认证目录内的木棒，球棒上须有中国棒球协会认可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厂商商标和出厂合格证。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4.服装上不允许缝系金属闪亮饰物。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5.落选赛和决赛使用中国棒球协会认证目录内的棒球品牌和型号。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五、录取名次与奖励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执行《中华人民共和国第十五届运动会竞赛规程总则》（体竞字〔</w:t>
      </w:r>
      <w:r>
        <w:rPr>
          <w:rFonts w:ascii="仿宋" w:hAnsi="仿宋" w:eastAsia="仿宋"/>
          <w:sz w:val="32"/>
          <w:szCs w:val="32"/>
        </w:rPr>
        <w:t>2023〕1号）第六条规定。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六、报名和报到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落选赛报名和报到通知另发。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决赛阶段报名和报到执行《中华人民共和国第十五届运动会竞赛规程总则》（体竞字〔</w:t>
      </w:r>
      <w:r>
        <w:rPr>
          <w:rFonts w:ascii="仿宋" w:hAnsi="仿宋" w:eastAsia="仿宋"/>
          <w:sz w:val="32"/>
          <w:szCs w:val="32"/>
        </w:rPr>
        <w:t>2023〕1号）第三条第（二）、（四）项规定。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七、技术官员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执行《中华人民共和国第十五届运动会竞赛规程总则》（体竞字〔</w:t>
      </w:r>
      <w:r>
        <w:rPr>
          <w:rFonts w:ascii="仿宋" w:hAnsi="仿宋" w:eastAsia="仿宋"/>
          <w:sz w:val="32"/>
          <w:szCs w:val="32"/>
        </w:rPr>
        <w:t>2023〕1号）第九条规定。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八、技术申诉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40" w:lineRule="exact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技术申诉（含视频挑战）按照中国棒球协会有关规定执行。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附件：</w:t>
      </w:r>
      <w:r>
        <w:rPr>
          <w:rFonts w:ascii="仿宋" w:hAnsi="仿宋" w:eastAsia="仿宋"/>
          <w:sz w:val="32"/>
          <w:szCs w:val="32"/>
        </w:rPr>
        <w:t>1.第十五届全国运动会棒球项目体能测试方案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 xml:space="preserve">          2.</w:t>
      </w:r>
      <w:r>
        <w:rPr>
          <w:rFonts w:hint="eastAsia" w:ascii="仿宋" w:hAnsi="仿宋" w:eastAsia="仿宋"/>
          <w:sz w:val="32"/>
          <w:szCs w:val="32"/>
        </w:rPr>
        <w:t>第十五届全国运动会棒球项目积分规则</w:t>
      </w:r>
    </w:p>
    <w:p>
      <w:pPr>
        <w:rPr>
          <w:rFonts w:hint="eastAsia" w:ascii="仿宋" w:hAnsi="仿宋" w:eastAsia="仿宋"/>
          <w:sz w:val="30"/>
          <w:szCs w:val="30"/>
        </w:rPr>
      </w:pPr>
    </w:p>
    <w:p>
      <w:pPr>
        <w:rPr>
          <w:rFonts w:hint="eastAsia" w:ascii="仿宋" w:hAnsi="仿宋" w:eastAsia="仿宋"/>
          <w:sz w:val="30"/>
          <w:szCs w:val="30"/>
        </w:rPr>
      </w:pPr>
    </w:p>
    <w:p>
      <w:pPr>
        <w:rPr>
          <w:rFonts w:hint="eastAsia" w:ascii="仿宋" w:hAnsi="仿宋" w:eastAsia="仿宋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0"/>
          <w:szCs w:val="30"/>
        </w:rPr>
      </w:pPr>
    </w:p>
    <w:p>
      <w:pPr>
        <w:spacing w:line="580" w:lineRule="exac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1</w:t>
      </w:r>
    </w:p>
    <w:p>
      <w:pPr>
        <w:spacing w:line="580" w:lineRule="exact"/>
        <w:jc w:val="center"/>
        <w:rPr>
          <w:rFonts w:hint="eastAsia" w:ascii="方正小标宋简体" w:hAnsi="仿宋" w:eastAsia="方正小标宋简体"/>
          <w:sz w:val="36"/>
          <w:szCs w:val="36"/>
        </w:rPr>
      </w:pPr>
    </w:p>
    <w:p>
      <w:pPr>
        <w:spacing w:line="580" w:lineRule="exact"/>
        <w:jc w:val="center"/>
        <w:rPr>
          <w:rFonts w:hint="eastAsia" w:ascii="方正小标宋简体" w:hAnsi="仿宋" w:eastAsia="方正小标宋简体"/>
          <w:sz w:val="36"/>
          <w:szCs w:val="36"/>
        </w:rPr>
      </w:pPr>
      <w:r>
        <w:rPr>
          <w:rFonts w:hint="eastAsia" w:ascii="方正小标宋简体" w:hAnsi="仿宋" w:eastAsia="方正小标宋简体"/>
          <w:sz w:val="36"/>
          <w:szCs w:val="36"/>
        </w:rPr>
        <w:t>第十五届全国运动会棒球项目体能测试方案</w:t>
      </w:r>
    </w:p>
    <w:p>
      <w:pPr>
        <w:spacing w:line="580" w:lineRule="exact"/>
        <w:rPr>
          <w:rFonts w:hint="eastAsia" w:ascii="仿宋" w:hAnsi="仿宋" w:eastAsia="仿宋"/>
          <w:sz w:val="30"/>
          <w:szCs w:val="30"/>
        </w:rPr>
      </w:pPr>
    </w:p>
    <w:p>
      <w:pPr>
        <w:spacing w:line="58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一、体能测试时间和地点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体能测试结合棒球项目</w:t>
      </w:r>
      <w:r>
        <w:rPr>
          <w:rFonts w:ascii="仿宋" w:hAnsi="仿宋" w:eastAsia="仿宋"/>
          <w:sz w:val="32"/>
          <w:szCs w:val="32"/>
        </w:rPr>
        <w:t>2025年第一</w:t>
      </w:r>
      <w:r>
        <w:rPr>
          <w:rFonts w:hint="eastAsia" w:ascii="仿宋" w:hAnsi="仿宋" w:eastAsia="仿宋"/>
          <w:sz w:val="32"/>
          <w:szCs w:val="32"/>
        </w:rPr>
        <w:t>项积分赛事</w:t>
      </w:r>
      <w:r>
        <w:rPr>
          <w:rFonts w:ascii="仿宋" w:hAnsi="仿宋" w:eastAsia="仿宋"/>
          <w:sz w:val="32"/>
          <w:szCs w:val="32"/>
        </w:rPr>
        <w:t>进行。获得第十五届全国运动会棒球项目决赛资格的队伍，未达标者或未参加上述体能测试者，可以参加体能补测，补测时间及地点另行通知。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二、体能测试内容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一垒跑、二垒跑、掷远、</w:t>
      </w:r>
      <w:r>
        <w:rPr>
          <w:rFonts w:ascii="仿宋" w:hAnsi="仿宋" w:eastAsia="仿宋"/>
          <w:sz w:val="32"/>
          <w:szCs w:val="32"/>
        </w:rPr>
        <w:t>T座打远、立定跳远、腹肌静力、背肌静力和3000米跑，共8项。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三、体能测试办法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（一）一垒跑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棒球场地上进行，本垒至一垒启动跑，运动员脚踏本垒板，举手示意自行起跑，后脚离开本垒板后开始计时，测试者触踏一垒后计时结束。由三位裁判员同时计时，取中间成绩，精确到小数点后两位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（二）二垒跑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棒球场地上进行，运动员一脚踏本垒板，举手示意自行起跑，依次踏一、二垒完成，踏二垒停表，冲过即可，无需停住，漏踏任一垒包成绩无效。每人测试一次，可补测一次。由三名裁判员同时计时，取中间成绩，精确到小数点后两位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（三）掷远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测试方法：在田径场或足球场进行，向正前方投掷，以</w:t>
      </w:r>
      <w:r>
        <w:rPr>
          <w:rFonts w:ascii="仿宋" w:hAnsi="仿宋" w:eastAsia="仿宋"/>
          <w:sz w:val="32"/>
          <w:szCs w:val="32"/>
        </w:rPr>
        <w:t>10米宽度划线为有效区域范围，出线无效；助跑限制线为3米。每人投掷三次，取其中一次最佳成绩。三次试投均无有效成绩，可补测一次。测试成绩精确到米。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（四）T座打远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测试方法：在棒球场地上进行，测试者站在打击区，向场内打击，每人试打三次，取其中一次最佳成绩，三次试打均无有效成绩者，可补测一次。击出本垒打墙外为满分，</w:t>
      </w:r>
      <w:r>
        <w:rPr>
          <w:rFonts w:ascii="仿宋" w:hAnsi="仿宋" w:eastAsia="仿宋"/>
          <w:sz w:val="32"/>
          <w:szCs w:val="32"/>
        </w:rPr>
        <w:t>30米以下为0分。测试成绩精确到米。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（五）立定跳远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测试方法：在田径场或足球场进行，测试者可试跳两次，取最好成绩。两次均犯规者可补测一次，测试成绩精确到厘米。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sz w:val="32"/>
          <w:szCs w:val="32"/>
          <w:highlight w:val="yellow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（六）腹肌静力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测试方法：在指定区域进行，测试者按照规定动作进行静立，裁判计时。</w:t>
      </w:r>
      <w:r>
        <w:rPr>
          <w:rFonts w:ascii="仿宋" w:hAnsi="仿宋" w:eastAsia="仿宋"/>
          <w:sz w:val="32"/>
          <w:szCs w:val="32"/>
        </w:rPr>
        <w:t>180秒为满分，可以并列，未达满分者，测试成绩时间精确到小数点后两位。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b/>
          <w:bCs/>
          <w:sz w:val="32"/>
          <w:szCs w:val="32"/>
          <w:highlight w:val="yellow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（七）背肌静力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测试方法：在指定区域进行，测试者按照规定动作进行静立，裁判计时。</w:t>
      </w:r>
      <w:r>
        <w:rPr>
          <w:rFonts w:ascii="仿宋" w:hAnsi="仿宋" w:eastAsia="仿宋"/>
          <w:sz w:val="32"/>
          <w:szCs w:val="32"/>
        </w:rPr>
        <w:t>180秒为满分，可以并列，未达满分者，测试成绩时间精确到小数点后两位。</w:t>
      </w:r>
    </w:p>
    <w:p>
      <w:pPr>
        <w:spacing w:line="580" w:lineRule="exact"/>
        <w:ind w:firstLine="640" w:firstLineChars="200"/>
        <w:rPr>
          <w:rFonts w:hint="eastAsia" w:ascii="CESI楷体-GB2312" w:hAnsi="CESI楷体-GB2312" w:eastAsia="CESI楷体-GB2312" w:cs="CESI楷体-GB2312"/>
          <w:sz w:val="32"/>
          <w:szCs w:val="32"/>
        </w:rPr>
      </w:pPr>
      <w:r>
        <w:rPr>
          <w:rFonts w:hint="eastAsia" w:ascii="CESI楷体-GB2312" w:hAnsi="CESI楷体-GB2312" w:eastAsia="CESI楷体-GB2312" w:cs="CESI楷体-GB2312"/>
          <w:sz w:val="32"/>
          <w:szCs w:val="32"/>
        </w:rPr>
        <w:t>（八）3000米跑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测试方法：在田径场进行，以运动队为单位测试，测试成绩精确到小数点后两位。</w:t>
      </w:r>
    </w:p>
    <w:p>
      <w:pPr>
        <w:spacing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四、达标准入条件</w:t>
      </w:r>
    </w:p>
    <w:p>
      <w:pPr>
        <w:spacing w:after="312" w:afterLines="100" w:line="58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8项</w:t>
      </w:r>
      <w:r>
        <w:rPr>
          <w:rFonts w:hint="eastAsia" w:ascii="仿宋" w:hAnsi="仿宋" w:eastAsia="仿宋"/>
          <w:sz w:val="32"/>
          <w:szCs w:val="32"/>
        </w:rPr>
        <w:t>体测内容的</w:t>
      </w:r>
      <w:r>
        <w:rPr>
          <w:rFonts w:ascii="仿宋" w:hAnsi="仿宋" w:eastAsia="仿宋"/>
          <w:sz w:val="32"/>
          <w:szCs w:val="32"/>
        </w:rPr>
        <w:t>成绩平均分须达到60分（含）以上，单项成绩不得出现0分。</w:t>
      </w:r>
    </w:p>
    <w:p>
      <w:pPr>
        <w:rPr>
          <w:rFonts w:hint="eastAsia" w:ascii="仿宋" w:hAnsi="仿宋" w:eastAsia="仿宋"/>
          <w:sz w:val="30"/>
          <w:szCs w:val="30"/>
        </w:rPr>
      </w:pPr>
      <w:r>
        <w:pict>
          <v:shape id="_x0000_i1028" o:spt="75" type="#_x0000_t75" style="height:231.55pt;width:415.3pt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29" o:spt="75" type="#_x0000_t75" style="height:236.6pt;width:415.3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232.15pt;width:415.3pt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232.45pt;width:415.3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90.45pt;width:415.3pt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rPr>
          <w:rFonts w:hint="eastAsia" w:ascii="黑体" w:hAnsi="黑体" w:eastAsia="黑体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ascii="黑体" w:hAnsi="黑体" w:eastAsia="黑体"/>
          <w:sz w:val="32"/>
          <w:szCs w:val="32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jc w:val="center"/>
        <w:textAlignment w:val="auto"/>
        <w:rPr>
          <w:rFonts w:hint="eastAsia" w:ascii="方正小标宋简体" w:hAnsi="仿宋" w:eastAsia="方正小标宋简体"/>
          <w:sz w:val="30"/>
          <w:szCs w:val="30"/>
        </w:rPr>
      </w:pPr>
      <w:bookmarkStart w:id="0" w:name="_Hlk169695125"/>
      <w:r>
        <w:rPr>
          <w:rFonts w:hint="eastAsia" w:ascii="方正小标宋简体" w:hAnsi="仿宋" w:eastAsia="方正小标宋简体"/>
          <w:sz w:val="36"/>
          <w:szCs w:val="36"/>
        </w:rPr>
        <w:t>第十五届全国运动会棒球项目积分</w:t>
      </w:r>
      <w:bookmarkEnd w:id="0"/>
      <w:r>
        <w:rPr>
          <w:rFonts w:hint="eastAsia" w:ascii="方正小标宋简体" w:hAnsi="仿宋" w:eastAsia="方正小标宋简体"/>
          <w:sz w:val="36"/>
          <w:szCs w:val="36"/>
        </w:rPr>
        <w:t>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textAlignment w:val="auto"/>
        <w:rPr>
          <w:rFonts w:hint="eastAsia" w:ascii="仿宋" w:hAnsi="仿宋" w:eastAsia="仿宋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一、积分赛事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2024年：全国棒球锦标赛、全国棒球冠军赛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2025年：中国棒球联赛、全国棒球锦标赛、全国棒球冠军赛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二、积分计算方式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jc w:val="left"/>
        <w:textAlignment w:val="auto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（一）</w:t>
      </w:r>
      <w:r>
        <w:rPr>
          <w:rFonts w:ascii="仿宋" w:hAnsi="仿宋" w:eastAsia="仿宋"/>
          <w:sz w:val="32"/>
          <w:szCs w:val="32"/>
        </w:rPr>
        <w:t>每项赛事设置最高分与最低分，</w:t>
      </w:r>
      <w:r>
        <w:rPr>
          <w:rFonts w:hint="eastAsia" w:ascii="仿宋" w:hAnsi="仿宋" w:eastAsia="仿宋"/>
          <w:sz w:val="32"/>
          <w:szCs w:val="32"/>
        </w:rPr>
        <w:t>所有队伍名次均有效，</w:t>
      </w:r>
      <w:r>
        <w:rPr>
          <w:rFonts w:ascii="仿宋" w:hAnsi="仿宋" w:eastAsia="仿宋"/>
          <w:sz w:val="32"/>
          <w:szCs w:val="32"/>
        </w:rPr>
        <w:t>根据</w:t>
      </w:r>
      <w:r>
        <w:rPr>
          <w:rFonts w:hint="eastAsia" w:ascii="仿宋" w:hAnsi="仿宋" w:eastAsia="仿宋"/>
          <w:sz w:val="32"/>
          <w:szCs w:val="32"/>
        </w:rPr>
        <w:t>队伍总数</w:t>
      </w:r>
      <w:r>
        <w:rPr>
          <w:rFonts w:ascii="仿宋" w:hAnsi="仿宋" w:eastAsia="仿宋"/>
          <w:sz w:val="32"/>
          <w:szCs w:val="32"/>
        </w:rPr>
        <w:t>计算名次间分差。</w:t>
      </w:r>
    </w:p>
    <w:p>
      <w:pPr>
        <w:ind w:firstLine="420" w:firstLineChars="200"/>
        <w:jc w:val="center"/>
        <w:rPr>
          <w:rFonts w:hint="eastAsia" w:ascii="仿宋" w:hAnsi="仿宋" w:eastAsia="仿宋"/>
          <w:sz w:val="30"/>
          <w:szCs w:val="30"/>
        </w:rPr>
      </w:pPr>
      <w:r>
        <w:pict>
          <v:shape id="_x0000_i1033" o:spt="75" type="#_x0000_t75" style="height:130.5pt;width:358.3pt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hint="eastAsia" w:ascii="仿宋" w:hAnsi="仿宋" w:eastAsia="仿宋"/>
          <w:sz w:val="30"/>
          <w:szCs w:val="30"/>
        </w:rPr>
      </w:pPr>
      <w:r>
        <w:pict>
          <v:shape id="_x0000_i1034" o:spt="75" type="#_x0000_t75" style="height:54.75pt;width:202.8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例：若全国棒球锦标赛共7</w:t>
      </w:r>
      <w:r>
        <w:rPr>
          <w:rFonts w:ascii="仿宋" w:hAnsi="仿宋" w:eastAsia="仿宋"/>
          <w:sz w:val="32"/>
          <w:szCs w:val="32"/>
        </w:rPr>
        <w:t>只球队参赛，则名次间分差为：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pict>
          <v:shape id="_x0000_i1035" o:spt="75" type="#_x0000_t75" style="height:31.2pt;width:84.9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w=&quot;http://schemas.microsoft.com/office/word/2003/wordml&quot; xmlns:v=&quot;urn:schemas-microsoft-com:vml&quot; xmlns:w10=&quot;urn:schemas-microsoft-com:office:word&quot; xmlns:sl=&quot;http://schemas.microsoft.com/schemaLibrary/2003/core&quot; xmlns:aml=&quot;http://schemas.microsoft.com/aml/2001/core&quot; xmlns:wx=&quot;http://schemas.microsoft.com/office/word/2003/auxHint&quot; xmlns:o=&quot;urn:schemas-microsoft-com:office:office&quot; xmlns:dt=&quot;uuid:C2F41010-65B3-11d1-A29F-00AA00C14882&quot; xmlns:mc=&quot;http://schemas.openxmlformats.org/markup-compatibility/2006&quot; xmlns:m=&quot;http://schemas.openxmlformats.org/officeDocument/2006/math&quot; w:macrosPresent=&quot;no&quot; w:embeddedObjPresent=&quot;no&quot; w:ocxPresent=&quot;no&quot; xml:space=&quot;preserve&quot;&gt;&lt;o:DocumentProperties&gt;&lt;o:Version&gt;14&lt;/o:Version&gt;&lt;/o:DocumentProperties&gt;&lt;w:docPr&gt;&lt;w:view w:val=&quot;print&quot;/&gt;&lt;w:zoom w:percent=&quot;160&quot;/&gt;&lt;w:characterSpacingControl w:val=&quot;CompressPunctuation&quot;/&gt;&lt;w:documentProtection w:enforcement=&quot;off&quot;/&gt;&lt;w:punctuationKerning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compat&gt;&lt;w:adjustLineHeightInTable/&gt;&lt;w:ulTrailSpace/&gt;&lt;w:doNotExpandShiftReturn/&gt;&lt;w:balanceSingleByteDoubleByteWidth/&gt;&lt;w:useFELayout/&gt;&lt;w:spaceForUL/&gt;&lt;w:wrapTextWithPunct/&gt;&lt;w:breakWrappedTables/&gt;&lt;w:useAsianBreakRules/&gt;&lt;w:dontGrowAutofit/&gt;&lt;w:useFELayout/&gt;&lt;/w:compat&gt;&lt;/w:docPr&gt;&lt;w:body&gt;&lt;wx:sect&gt;&lt;w:p&gt;&lt;m:oMathPara&gt;&lt;m:oMath&gt;&lt;m:f&gt;&lt;m:fPr&gt;&lt;m:ctrlPr&gt;&lt;w:rPr&gt;&lt;w:rFonts w:ascii=&quot;Cambria Math&quot; w:h-ansi=&quot;Cambria Math&quot; w:fareast=&quot;仿宋&quot; w:cs=&quot;Times New Roman&quot; w:hint=&quot;default&quot;/&gt;&lt;w:b-cs/&gt;&lt;w:sz w:val=&quot;32&quot;/&gt;&lt;w:sz-cs w:val=&quot;32&quot;/&gt;&lt;/w:rPr&gt;&lt;/m:ctrlPr&gt;&lt;/m:fPr&gt;&lt;m:num&gt;&lt;m:r&gt;&lt;m:rPr&gt;&lt;m:sty m:val=&quot;p&quot;/&gt;&lt;m:scr m:val=&quot;roman&quot;/&gt;&lt;/m:rPr&gt;&lt;w:rPr&gt;&lt;w:rFonts w:ascii=&quot;Cambria Math&quot; w:h-ansi=&quot;Cambria Math&quot; w:fareast=&quot;仿宋&quot; w:cs=&quot;Times New Roman&quot; w:hint=&quot;default&quot;/&gt;&lt;w:sz w:val=&quot;32&quot;/&gt;&lt;w:sz-cs w:val=&quot;32&quot;/&gt;&lt;/w:rPr&gt;&lt;m:t&gt;600&lt;/m:t&gt;&lt;/m:r&gt;&lt;m:r&gt;&lt;m:rPr&gt;&lt;m:sty m:val=&quot;p&quot;/&gt;&lt;m:scr m:val=&quot;roman&quot;/&gt;&lt;/m:rPr&gt;&lt;w:rPr&gt;&lt;w:rFonts w:ascii=&quot;Cambria Math&quot; w:h-ansi=&quot;Cambria Math&quot; w:fareast=&quot;微软雅黑&quot; w:cs=&quot;Times New Roman&quot; w:hint=&quot;default&quot;/&gt;&lt;w:sz w:val=&quot;32&quot;/&gt;&lt;w:sz-cs w:val=&quot;32&quot;/&gt;&lt;/w:rPr&gt;&lt;m:t&gt;−&lt;/m:t&gt;&lt;/m:r&gt;&lt;m:r&gt;&lt;m:rPr&gt;&lt;m:sty m:val=&quot;p&quot;/&gt;&lt;m:scr m:val=&quot;roman&quot;/&gt;&lt;/m:rPr&gt;&lt;w:rPr&gt;&lt;w:rFonts w:ascii=&quot;Cambria Math&quot; w:h-ansi=&quot;Cambria Math&quot; w:fareast=&quot;仿宋&quot; w:cs=&quot;Times New Roman&quot; w:hint=&quot;default&quot;/&gt;&lt;w:sz w:val=&quot;32&quot;/&gt;&lt;w:sz-cs w:val=&quot;32&quot;/&gt;&lt;/w:rPr&gt;&lt;m:t&gt;120&lt;/m:t&gt;&lt;/m:r&gt;&lt;m:ctrlPr&gt;&lt;w:rPr&gt;&lt;w:rFonts w:ascii=&quot;Cambria Math&quot; w:h-ansi=&quot;Cambria Math&quot; w:fareast=&quot;仿宋&quot; w:cs=&quot;Times New Roman&quot; w:hint=&quot;default&quot;/&gt;&lt;w:b-cs/&gt;&lt;w:sz w:val=&quot;32&quot;/&gt;&lt;w:sz-cs w:val=&quot;32&quot;/&gt;&lt;/w:rPr&gt;&lt;/m:ctrlPr&gt;&lt;/m:num&gt;&lt;m:den&gt;&lt;m:r&gt;&lt;m:rPr&gt;&lt;m:sty m:val=&quot;p&quot;/&gt;&lt;m:scr m:val=&quot;roman&quot;/&gt;&lt;/m:rPr&gt;&lt;w:rPr&gt;&lt;w:rFonts w:ascii=&quot;Cambria Math&quot; w:h-ansi=&quot;Cambria Math&quot; w:fareast=&quot;仿宋&quot; w:cs=&quot;Times New Roman&quot; w:hint=&quot;default&quot;/&gt;&lt;w:sz w:val=&quot;32&quot;/&gt;&lt;w:sz-cs w:val=&quot;32&quot;/&gt;&lt;/w:rPr&gt;&lt;m:t&gt;7&lt;/m:t&gt;&lt;/m:r&gt;&lt;m:r&gt;&lt;m:rPr&gt;&lt;m:sty m:val=&quot;p&quot;/&gt;&lt;m:scr m:val=&quot;roman&quot;/&gt;&lt;/m:rPr&gt;&lt;w:rPr&gt;&lt;w:rFonts w:ascii=&quot;Cambria Math&quot; w:h-ansi=&quot;Cambria Math&quot; w:fareast=&quot;微软雅黑&quot; w:cs=&quot;Times New Roman&quot; w:hint=&quot;default&quot;/&gt;&lt;w:sz w:val=&quot;32&quot;/&gt;&lt;w:sz-cs w:val=&quot;32&quot;/&gt;&lt;/w:rPr&gt;&lt;m:t&gt;−&lt;/m:t&gt;&lt;/m:r&gt;&lt;m:r&gt;&lt;m:rPr&gt;&lt;m:sty m:val=&quot;p&quot;/&gt;&lt;m:scr m:val=&quot;roman&quot;/&gt;&lt;/m:rPr&gt;&lt;w:rPr&gt;&lt;w:rFonts w:ascii=&quot;Cambria Math&quot; w:h-ansi=&quot;Cambria Math&quot; w:fareast=&quot;仿宋&quot; w:cs=&quot;Times New Roman&quot; w:hint=&quot;default&quot;/&gt;&lt;w:sz w:val=&quot;32&quot;/&gt;&lt;w:sz-cs w:val=&quot;32&quot;/&gt;&lt;/w:rPr&gt;&lt;m:t&gt;1&lt;/m:t&gt;&lt;/m:r&gt;&lt;m:ctrlPr&gt;&lt;w:rPr&gt;&lt;w:rFonts w:ascii=&quot;Cambria Math&quot; w:h-ansi=&quot;Cambria Math&quot; w:fareast=&quot;仿宋&quot; w:cs=&quot;Times New Roman&quot; w:hint=&quot;default&quot;/&gt;&lt;w:b-cs/&gt;&lt;w:sz w:val=&quot;32&quot;/&gt;&lt;w:sz-cs w:val=&quot;32&quot;/&gt;&lt;/w:rPr&gt;&lt;/m:ctrlPr&gt;&lt;/m:den&gt;&lt;/m:f&gt;&lt;/m:oMath&gt;&lt;/m:oMathPara&gt;&lt;/w:p&gt;&lt;/wx:sect&gt;&lt;/w:body&gt;&lt;/w:wordDocument&gt;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</w:pic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t>=</w:t>
      </w:r>
      <w:r>
        <w:rPr>
          <w:rFonts w:hint="eastAsia" w:ascii="仿宋" w:hAnsi="仿宋" w:eastAsia="仿宋"/>
          <w:sz w:val="32"/>
          <w:szCs w:val="32"/>
        </w:rPr>
        <w:t>8</w:t>
      </w:r>
      <w:r>
        <w:rPr>
          <w:rFonts w:ascii="仿宋" w:hAnsi="仿宋" w:eastAsia="仿宋"/>
          <w:sz w:val="32"/>
          <w:szCs w:val="32"/>
        </w:rPr>
        <w:t>0分。第一名获得最高分</w:t>
      </w:r>
      <w:r>
        <w:rPr>
          <w:rFonts w:hint="eastAsia" w:ascii="仿宋" w:hAnsi="仿宋" w:eastAsia="仿宋"/>
          <w:sz w:val="32"/>
          <w:szCs w:val="32"/>
        </w:rPr>
        <w:t>6</w:t>
      </w:r>
      <w:r>
        <w:rPr>
          <w:rFonts w:ascii="仿宋" w:hAnsi="仿宋" w:eastAsia="仿宋"/>
          <w:sz w:val="32"/>
          <w:szCs w:val="32"/>
        </w:rPr>
        <w:t>00分；第二名获得最高分减1倍分差，即</w:t>
      </w:r>
      <w:r>
        <w:rPr>
          <w:rFonts w:hint="eastAsia" w:ascii="仿宋" w:hAnsi="仿宋" w:eastAsia="仿宋"/>
          <w:sz w:val="32"/>
          <w:szCs w:val="32"/>
        </w:rPr>
        <w:t>520</w:t>
      </w:r>
      <w:r>
        <w:rPr>
          <w:rFonts w:ascii="仿宋" w:hAnsi="仿宋" w:eastAsia="仿宋"/>
          <w:sz w:val="32"/>
          <w:szCs w:val="32"/>
        </w:rPr>
        <w:t>分；第三名获得最高分减2倍分差，即</w:t>
      </w:r>
      <w:r>
        <w:rPr>
          <w:rFonts w:hint="eastAsia" w:ascii="仿宋" w:hAnsi="仿宋" w:eastAsia="仿宋"/>
          <w:sz w:val="32"/>
          <w:szCs w:val="32"/>
        </w:rPr>
        <w:t>440</w:t>
      </w:r>
      <w:r>
        <w:rPr>
          <w:rFonts w:ascii="仿宋" w:hAnsi="仿宋" w:eastAsia="仿宋"/>
          <w:sz w:val="32"/>
          <w:szCs w:val="32"/>
        </w:rPr>
        <w:t>分；第四名获得最高分减3倍分差，即</w:t>
      </w:r>
      <w:r>
        <w:rPr>
          <w:rFonts w:hint="eastAsia" w:ascii="仿宋" w:hAnsi="仿宋" w:eastAsia="仿宋"/>
          <w:sz w:val="32"/>
          <w:szCs w:val="32"/>
        </w:rPr>
        <w:t>360</w:t>
      </w:r>
      <w:r>
        <w:rPr>
          <w:rFonts w:ascii="仿宋" w:hAnsi="仿宋" w:eastAsia="仿宋"/>
          <w:sz w:val="32"/>
          <w:szCs w:val="32"/>
        </w:rPr>
        <w:t>分，第五名获得最高分减4倍分差，即</w:t>
      </w:r>
      <w:r>
        <w:rPr>
          <w:rFonts w:hint="eastAsia" w:ascii="仿宋" w:hAnsi="仿宋" w:eastAsia="仿宋"/>
          <w:sz w:val="32"/>
          <w:szCs w:val="32"/>
        </w:rPr>
        <w:t>280</w:t>
      </w:r>
      <w:r>
        <w:rPr>
          <w:rFonts w:ascii="仿宋" w:hAnsi="仿宋" w:eastAsia="仿宋"/>
          <w:sz w:val="32"/>
          <w:szCs w:val="32"/>
        </w:rPr>
        <w:t>分，第</w:t>
      </w:r>
      <w:r>
        <w:rPr>
          <w:rFonts w:hint="eastAsia" w:ascii="仿宋" w:hAnsi="仿宋" w:eastAsia="仿宋"/>
          <w:sz w:val="32"/>
          <w:szCs w:val="32"/>
        </w:rPr>
        <w:t>六</w:t>
      </w:r>
      <w:r>
        <w:rPr>
          <w:rFonts w:ascii="仿宋" w:hAnsi="仿宋" w:eastAsia="仿宋"/>
          <w:sz w:val="32"/>
          <w:szCs w:val="32"/>
        </w:rPr>
        <w:t>名获得最高分减</w:t>
      </w:r>
      <w:r>
        <w:rPr>
          <w:rFonts w:hint="eastAsia" w:ascii="仿宋" w:hAnsi="仿宋" w:eastAsia="仿宋"/>
          <w:sz w:val="32"/>
          <w:szCs w:val="32"/>
        </w:rPr>
        <w:t>5</w:t>
      </w:r>
      <w:r>
        <w:rPr>
          <w:rFonts w:ascii="仿宋" w:hAnsi="仿宋" w:eastAsia="仿宋"/>
          <w:sz w:val="32"/>
          <w:szCs w:val="32"/>
        </w:rPr>
        <w:t>倍分差，即</w:t>
      </w:r>
      <w:r>
        <w:rPr>
          <w:rFonts w:hint="eastAsia" w:ascii="仿宋" w:hAnsi="仿宋" w:eastAsia="仿宋"/>
          <w:sz w:val="32"/>
          <w:szCs w:val="32"/>
        </w:rPr>
        <w:t>200</w:t>
      </w:r>
      <w:r>
        <w:rPr>
          <w:rFonts w:ascii="仿宋" w:hAnsi="仿宋" w:eastAsia="仿宋"/>
          <w:sz w:val="32"/>
          <w:szCs w:val="32"/>
        </w:rPr>
        <w:t>分，第</w:t>
      </w:r>
      <w:r>
        <w:rPr>
          <w:rFonts w:hint="eastAsia" w:ascii="仿宋" w:hAnsi="仿宋" w:eastAsia="仿宋"/>
          <w:sz w:val="32"/>
          <w:szCs w:val="32"/>
        </w:rPr>
        <w:t>七</w:t>
      </w:r>
      <w:r>
        <w:rPr>
          <w:rFonts w:ascii="仿宋" w:hAnsi="仿宋" w:eastAsia="仿宋"/>
          <w:sz w:val="32"/>
          <w:szCs w:val="32"/>
        </w:rPr>
        <w:t>名获得最低分</w:t>
      </w:r>
      <w:r>
        <w:rPr>
          <w:rFonts w:hint="eastAsia" w:ascii="仿宋" w:hAnsi="仿宋" w:eastAsia="仿宋"/>
          <w:sz w:val="32"/>
          <w:szCs w:val="32"/>
        </w:rPr>
        <w:t>12</w:t>
      </w:r>
      <w:r>
        <w:rPr>
          <w:rFonts w:ascii="仿宋" w:hAnsi="仿宋" w:eastAsia="仿宋"/>
          <w:sz w:val="32"/>
          <w:szCs w:val="32"/>
        </w:rPr>
        <w:t>0分。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（二）第十五届全国运动会棒球项目总积分</w:t>
      </w:r>
      <w:r>
        <w:rPr>
          <w:rFonts w:ascii="仿宋" w:hAnsi="仿宋" w:eastAsia="仿宋"/>
          <w:sz w:val="32"/>
          <w:szCs w:val="32"/>
        </w:rPr>
        <w:t>=</w:t>
      </w:r>
      <w:r>
        <w:rPr>
          <w:rFonts w:hint="eastAsia" w:ascii="仿宋" w:hAnsi="仿宋" w:eastAsia="仿宋"/>
          <w:sz w:val="32"/>
          <w:szCs w:val="32"/>
        </w:rPr>
        <w:t>2025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</w:rPr>
        <w:t>赛事</w:t>
      </w:r>
      <w:r>
        <w:rPr>
          <w:rFonts w:ascii="仿宋" w:hAnsi="仿宋" w:eastAsia="仿宋"/>
          <w:sz w:val="32"/>
          <w:szCs w:val="32"/>
        </w:rPr>
        <w:t>积分+</w:t>
      </w:r>
      <w:r>
        <w:rPr>
          <w:rFonts w:hint="eastAsia" w:ascii="仿宋" w:hAnsi="仿宋" w:eastAsia="仿宋"/>
          <w:sz w:val="32"/>
          <w:szCs w:val="32"/>
        </w:rPr>
        <w:t>2024</w:t>
      </w:r>
      <w:r>
        <w:rPr>
          <w:rFonts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</w:rPr>
        <w:t>赛事</w:t>
      </w:r>
      <w:r>
        <w:rPr>
          <w:rFonts w:ascii="仿宋" w:hAnsi="仿宋" w:eastAsia="仿宋"/>
          <w:sz w:val="32"/>
          <w:szCs w:val="32"/>
        </w:rPr>
        <w:t>积分</w:t>
      </w:r>
      <w:r>
        <w:rPr>
          <w:rFonts w:hint="eastAsia" w:ascii="仿宋" w:hAnsi="仿宋" w:eastAsia="仿宋"/>
          <w:sz w:val="32"/>
          <w:szCs w:val="32"/>
        </w:rPr>
        <w:t>×</w:t>
      </w:r>
      <w:r>
        <w:rPr>
          <w:rFonts w:ascii="仿宋" w:hAnsi="仿宋" w:eastAsia="仿宋"/>
          <w:sz w:val="32"/>
          <w:szCs w:val="32"/>
        </w:rPr>
        <w:t>75</w:t>
      </w:r>
      <w:r>
        <w:rPr>
          <w:rFonts w:hint="eastAsia" w:ascii="仿宋" w:hAnsi="仿宋" w:eastAsia="仿宋"/>
          <w:sz w:val="32"/>
          <w:szCs w:val="32"/>
        </w:rPr>
        <w:t>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（三）单项赛事积分乘以年份权重后，涉及到小数位按照四舍五入的方式取整，保留个位数。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9" w:lineRule="auto"/>
        <w:ind w:firstLine="640" w:firstLineChars="200"/>
        <w:textAlignment w:val="auto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（四）积分相同时，以2025年全国棒球锦标赛名次决定排名。</w:t>
      </w:r>
    </w:p>
    <w:p/>
    <w:sectPr>
      <w:footerReference r:id="rId5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楷体-GB2312">
    <w:altName w:val="楷体"/>
    <w:panose1 w:val="02000500000000000000"/>
    <w:charset w:val="00"/>
    <w:family w:val="auto"/>
    <w:pitch w:val="default"/>
    <w:sig w:usb0="00000000" w:usb1="00000000" w:usb2="00000012" w:usb3="00000000" w:csb0="0004000F" w:csb1="00000000"/>
  </w:font>
  <w:font w:name="CESI楷体-GB18030">
    <w:altName w:val="楷体"/>
    <w:panose1 w:val="02000500000000000000"/>
    <w:charset w:val="00"/>
    <w:family w:val="auto"/>
    <w:pitch w:val="default"/>
    <w:sig w:usb0="00000000" w:usb1="00000000" w:usb2="00000016" w:usb3="00000000" w:csb0="0004000F" w:csb1="00000000"/>
  </w:font>
  <w:font w:name="汉仪书宋二S">
    <w:altName w:val="方正书宋_GBK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pict>
        <v:shape id="文本框 2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gF26zFQIAABkEAAAOAAAAAAAAAAEAIAAAADUBAABkcnMvZTJvRG9jLnhtbFBLBQYAAAAABgAG&#10;AFkBAAC8BQAAAAA=&#10;">
          <v:path/>
          <v:fill on="f" focussize="0,0"/>
          <v:stroke on="f" weight="0.5pt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Fonts w:hint="eastAsia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true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775FCF18"/>
    <w:rsid w:val="1F6B37C9"/>
    <w:rsid w:val="33DF4D2F"/>
    <w:rsid w:val="3F433BDC"/>
    <w:rsid w:val="5FFFEBE7"/>
    <w:rsid w:val="775FCF18"/>
    <w:rsid w:val="7EB7782B"/>
    <w:rsid w:val="7FDD013A"/>
    <w:rsid w:val="97CDC9BD"/>
    <w:rsid w:val="AFF6DFB5"/>
    <w:rsid w:val="B6BF7700"/>
    <w:rsid w:val="B7DF566A"/>
    <w:rsid w:val="BE6D83BC"/>
    <w:rsid w:val="BEBDED52"/>
    <w:rsid w:val="CF38F104"/>
    <w:rsid w:val="D72FB973"/>
    <w:rsid w:val="EFD66BFB"/>
    <w:rsid w:val="EFEF5C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2025-01-12T09:49:00Z</dcterms:created>
  <dc:creator>zhangkai</dc:creator>
  <cp:lastModifiedBy>zhangkai</cp:lastModifiedBy>
  <cp:lastPrinted>2025-01-12T09:49:00Z</cp:lastPrinted>
  <dcterms:modified xsi:type="dcterms:W3CDTF">2025-01-14T08:31:54Z</dcterms:modified>
  <dc:title>第十五届全国运动会棒球项目竞赛规程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