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90" w:rsidRDefault="00293690">
      <w:pPr>
        <w:rPr>
          <w:rFonts w:ascii="仿宋_GB2312" w:eastAsia="仿宋_GB2312" w:hAnsi="仿宋" w:hint="eastAsia"/>
          <w:sz w:val="32"/>
          <w:szCs w:val="32"/>
        </w:rPr>
      </w:pPr>
      <w:r>
        <w:rPr>
          <w:rFonts w:ascii="仿宋_GB2312" w:eastAsia="仿宋_GB2312" w:hAnsi="仿宋" w:hint="eastAsia"/>
          <w:sz w:val="32"/>
          <w:szCs w:val="32"/>
        </w:rPr>
        <w:t>附件：</w:t>
      </w:r>
    </w:p>
    <w:p w:rsidR="005803EA" w:rsidRDefault="00293690" w:rsidP="00293690">
      <w:pPr>
        <w:jc w:val="center"/>
        <w:rPr>
          <w:rFonts w:ascii="仿宋_GB2312" w:eastAsia="仿宋_GB2312" w:hAnsi="仿宋" w:hint="eastAsia"/>
          <w:sz w:val="32"/>
          <w:szCs w:val="32"/>
        </w:rPr>
      </w:pPr>
      <w:r>
        <w:rPr>
          <w:rFonts w:ascii="仿宋_GB2312" w:eastAsia="仿宋_GB2312" w:hAnsi="仿宋" w:hint="eastAsia"/>
          <w:sz w:val="32"/>
          <w:szCs w:val="32"/>
        </w:rPr>
        <w:t>大型体育场馆</w:t>
      </w:r>
      <w:proofErr w:type="gramStart"/>
      <w:r>
        <w:rPr>
          <w:rFonts w:ascii="仿宋_GB2312" w:eastAsia="仿宋_GB2312" w:hAnsi="仿宋" w:hint="eastAsia"/>
          <w:sz w:val="32"/>
          <w:szCs w:val="32"/>
        </w:rPr>
        <w:t>免费低</w:t>
      </w:r>
      <w:proofErr w:type="gramEnd"/>
      <w:r>
        <w:rPr>
          <w:rFonts w:ascii="仿宋_GB2312" w:eastAsia="仿宋_GB2312" w:hAnsi="仿宋" w:hint="eastAsia"/>
          <w:sz w:val="32"/>
          <w:szCs w:val="32"/>
        </w:rPr>
        <w:t>收费开放第三方督查内容列项</w:t>
      </w:r>
    </w:p>
    <w:p w:rsidR="00293690" w:rsidRPr="00ED7D8E" w:rsidRDefault="00293690" w:rsidP="00293690">
      <w:pPr>
        <w:pStyle w:val="a5"/>
        <w:shd w:val="clear" w:color="auto" w:fill="FFFFFF"/>
        <w:spacing w:before="0" w:beforeAutospacing="0" w:after="0" w:afterAutospacing="0" w:line="560" w:lineRule="exact"/>
        <w:ind w:firstLine="422"/>
        <w:rPr>
          <w:rFonts w:ascii="仿宋" w:eastAsia="仿宋" w:hAnsi="仿宋"/>
          <w:b/>
        </w:rPr>
      </w:pPr>
      <w:r>
        <w:rPr>
          <w:rFonts w:ascii="仿宋" w:eastAsia="仿宋" w:hAnsi="仿宋" w:cs="Times New Roman" w:hint="eastAsia"/>
          <w:b/>
        </w:rPr>
        <w:t>一、</w:t>
      </w:r>
      <w:r w:rsidRPr="00ED7D8E">
        <w:rPr>
          <w:rFonts w:ascii="仿宋" w:eastAsia="仿宋" w:hAnsi="仿宋" w:cs="Times New Roman" w:hint="eastAsia"/>
          <w:b/>
        </w:rPr>
        <w:t>基本公共服务</w:t>
      </w:r>
    </w:p>
    <w:tbl>
      <w:tblPr>
        <w:tblW w:w="9177" w:type="dxa"/>
        <w:jc w:val="center"/>
        <w:tblLayout w:type="fixed"/>
        <w:tblLook w:val="04A0" w:firstRow="1" w:lastRow="0" w:firstColumn="1" w:lastColumn="0" w:noHBand="0" w:noVBand="1"/>
      </w:tblPr>
      <w:tblGrid>
        <w:gridCol w:w="1564"/>
        <w:gridCol w:w="1220"/>
        <w:gridCol w:w="1758"/>
        <w:gridCol w:w="425"/>
        <w:gridCol w:w="4210"/>
      </w:tblGrid>
      <w:tr w:rsidR="00293690" w:rsidRPr="00BC055C" w:rsidTr="00657C69">
        <w:trPr>
          <w:trHeight w:val="384"/>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大项</w:t>
            </w:r>
          </w:p>
        </w:tc>
        <w:tc>
          <w:tcPr>
            <w:tcW w:w="1220" w:type="dxa"/>
            <w:tcBorders>
              <w:top w:val="single" w:sz="4" w:space="0" w:color="auto"/>
              <w:left w:val="nil"/>
              <w:bottom w:val="nil"/>
              <w:right w:val="single" w:sz="4" w:space="0" w:color="auto"/>
            </w:tcBorders>
            <w:vAlign w:val="center"/>
            <w:hideMark/>
          </w:tcPr>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中项</w:t>
            </w:r>
          </w:p>
        </w:tc>
        <w:tc>
          <w:tcPr>
            <w:tcW w:w="6393" w:type="dxa"/>
            <w:gridSpan w:val="3"/>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小项</w:t>
            </w:r>
          </w:p>
        </w:tc>
      </w:tr>
      <w:tr w:rsidR="00293690" w:rsidRPr="00BC055C" w:rsidTr="00657C69">
        <w:trPr>
          <w:trHeight w:val="110"/>
          <w:jc w:val="center"/>
        </w:trPr>
        <w:tc>
          <w:tcPr>
            <w:tcW w:w="1564" w:type="dxa"/>
            <w:vMerge w:val="restart"/>
            <w:tcBorders>
              <w:top w:val="nil"/>
              <w:left w:val="single" w:sz="4" w:space="0" w:color="auto"/>
              <w:bottom w:val="single" w:sz="4" w:space="0" w:color="000000"/>
              <w:right w:val="single" w:sz="4" w:space="0" w:color="000000"/>
            </w:tcBorders>
            <w:vAlign w:val="center"/>
            <w:hideMark/>
          </w:tcPr>
          <w:p w:rsidR="00293690" w:rsidRPr="00BC055C" w:rsidRDefault="00293690" w:rsidP="00657C69">
            <w:pPr>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一</w:t>
            </w:r>
          </w:p>
          <w:p w:rsidR="00293690" w:rsidRPr="00BC055C" w:rsidRDefault="00293690" w:rsidP="00657C69">
            <w:pPr>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基础设施</w:t>
            </w:r>
          </w:p>
        </w:tc>
        <w:tc>
          <w:tcPr>
            <w:tcW w:w="1220" w:type="dxa"/>
            <w:vMerge w:val="restart"/>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kern w:val="0"/>
                <w:sz w:val="24"/>
                <w:szCs w:val="24"/>
              </w:rPr>
            </w:pPr>
            <w:r w:rsidRPr="00BC055C">
              <w:rPr>
                <w:rFonts w:ascii="仿宋" w:eastAsia="仿宋" w:hAnsi="仿宋"/>
                <w:kern w:val="0"/>
                <w:sz w:val="24"/>
                <w:szCs w:val="24"/>
              </w:rPr>
              <w:t>1.1</w:t>
            </w:r>
          </w:p>
          <w:p w:rsidR="00293690" w:rsidRPr="00BC055C" w:rsidRDefault="00293690" w:rsidP="00657C69">
            <w:pPr>
              <w:rPr>
                <w:rFonts w:ascii="仿宋" w:eastAsia="仿宋" w:hAnsi="仿宋"/>
                <w:kern w:val="0"/>
                <w:sz w:val="24"/>
                <w:szCs w:val="24"/>
              </w:rPr>
            </w:pPr>
            <w:r w:rsidRPr="00BC055C">
              <w:rPr>
                <w:rFonts w:ascii="仿宋" w:eastAsia="仿宋" w:hAnsi="仿宋" w:cs="宋体" w:hint="eastAsia"/>
                <w:kern w:val="0"/>
                <w:sz w:val="24"/>
                <w:szCs w:val="24"/>
              </w:rPr>
              <w:t>场馆类型、功能及场地设施</w:t>
            </w:r>
          </w:p>
        </w:tc>
        <w:tc>
          <w:tcPr>
            <w:tcW w:w="2183" w:type="dxa"/>
            <w:gridSpan w:val="2"/>
            <w:vMerge w:val="restart"/>
            <w:tcBorders>
              <w:top w:val="nil"/>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kern w:val="0"/>
                <w:sz w:val="24"/>
                <w:szCs w:val="24"/>
              </w:rPr>
            </w:pPr>
            <w:r w:rsidRPr="00BC055C">
              <w:rPr>
                <w:rFonts w:ascii="仿宋" w:eastAsia="仿宋" w:hAnsi="仿宋" w:cs="宋体" w:hint="eastAsia"/>
                <w:kern w:val="0"/>
                <w:sz w:val="24"/>
                <w:szCs w:val="24"/>
              </w:rPr>
              <w:t>□体育场型</w:t>
            </w:r>
          </w:p>
          <w:p w:rsidR="00293690" w:rsidRPr="00BC055C" w:rsidRDefault="00293690" w:rsidP="00657C69">
            <w:pPr>
              <w:widowControl/>
              <w:jc w:val="center"/>
              <w:rPr>
                <w:rFonts w:ascii="仿宋" w:eastAsia="仿宋" w:hAnsi="仿宋" w:cs="宋体"/>
                <w:kern w:val="0"/>
                <w:sz w:val="24"/>
                <w:szCs w:val="24"/>
              </w:rPr>
            </w:pPr>
            <w:r w:rsidRPr="00BC055C">
              <w:rPr>
                <w:rFonts w:ascii="仿宋" w:eastAsia="仿宋" w:hAnsi="仿宋" w:cs="宋体" w:hint="eastAsia"/>
                <w:kern w:val="0"/>
                <w:sz w:val="24"/>
                <w:szCs w:val="24"/>
              </w:rPr>
              <w:t>（座位数）</w:t>
            </w:r>
          </w:p>
        </w:tc>
        <w:tc>
          <w:tcPr>
            <w:tcW w:w="4210" w:type="dxa"/>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60000及以上</w:t>
            </w:r>
          </w:p>
        </w:tc>
      </w:tr>
      <w:tr w:rsidR="00293690" w:rsidRPr="00BC055C" w:rsidTr="00657C69">
        <w:trPr>
          <w:trHeight w:val="110"/>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2183" w:type="dxa"/>
            <w:gridSpan w:val="2"/>
            <w:vMerge/>
            <w:tcBorders>
              <w:top w:val="nil"/>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4210" w:type="dxa"/>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40000-59999</w:t>
            </w:r>
          </w:p>
        </w:tc>
      </w:tr>
      <w:tr w:rsidR="00293690" w:rsidRPr="00BC055C" w:rsidTr="00657C69">
        <w:trPr>
          <w:trHeight w:val="110"/>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2183" w:type="dxa"/>
            <w:gridSpan w:val="2"/>
            <w:vMerge/>
            <w:tcBorders>
              <w:top w:val="nil"/>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4210" w:type="dxa"/>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20000-39999</w:t>
            </w:r>
          </w:p>
        </w:tc>
      </w:tr>
      <w:tr w:rsidR="00293690" w:rsidRPr="00BC055C" w:rsidTr="00657C69">
        <w:trPr>
          <w:trHeight w:val="110"/>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2183" w:type="dxa"/>
            <w:gridSpan w:val="2"/>
            <w:vMerge w:val="restart"/>
            <w:tcBorders>
              <w:top w:val="nil"/>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kern w:val="0"/>
                <w:sz w:val="24"/>
                <w:szCs w:val="24"/>
              </w:rPr>
            </w:pPr>
            <w:r w:rsidRPr="00BC055C">
              <w:rPr>
                <w:rFonts w:ascii="仿宋" w:eastAsia="仿宋" w:hAnsi="仿宋" w:cs="宋体" w:hint="eastAsia"/>
                <w:kern w:val="0"/>
                <w:sz w:val="24"/>
                <w:szCs w:val="24"/>
              </w:rPr>
              <w:t>□体育馆型</w:t>
            </w:r>
          </w:p>
          <w:p w:rsidR="00293690" w:rsidRPr="00BC055C" w:rsidRDefault="00293690" w:rsidP="00657C69">
            <w:pPr>
              <w:widowControl/>
              <w:jc w:val="center"/>
              <w:rPr>
                <w:rFonts w:ascii="仿宋" w:eastAsia="仿宋" w:hAnsi="仿宋" w:cs="宋体"/>
                <w:kern w:val="0"/>
                <w:sz w:val="24"/>
                <w:szCs w:val="24"/>
              </w:rPr>
            </w:pPr>
            <w:r w:rsidRPr="00BC055C">
              <w:rPr>
                <w:rFonts w:ascii="仿宋" w:eastAsia="仿宋" w:hAnsi="仿宋" w:cs="宋体" w:hint="eastAsia"/>
                <w:kern w:val="0"/>
                <w:sz w:val="24"/>
                <w:szCs w:val="24"/>
              </w:rPr>
              <w:t>（座位数）</w:t>
            </w:r>
          </w:p>
        </w:tc>
        <w:tc>
          <w:tcPr>
            <w:tcW w:w="4210" w:type="dxa"/>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10000及以上</w:t>
            </w:r>
          </w:p>
        </w:tc>
      </w:tr>
      <w:tr w:rsidR="00293690" w:rsidRPr="00BC055C" w:rsidTr="00657C69">
        <w:trPr>
          <w:trHeight w:val="110"/>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2183" w:type="dxa"/>
            <w:gridSpan w:val="2"/>
            <w:vMerge/>
            <w:tcBorders>
              <w:top w:val="nil"/>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4210" w:type="dxa"/>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6000-9999</w:t>
            </w:r>
          </w:p>
        </w:tc>
      </w:tr>
      <w:tr w:rsidR="00293690" w:rsidRPr="00BC055C" w:rsidTr="00657C69">
        <w:trPr>
          <w:trHeight w:val="110"/>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2183" w:type="dxa"/>
            <w:gridSpan w:val="2"/>
            <w:vMerge/>
            <w:tcBorders>
              <w:top w:val="nil"/>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4210" w:type="dxa"/>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3000-5999</w:t>
            </w:r>
          </w:p>
        </w:tc>
      </w:tr>
      <w:tr w:rsidR="00293690" w:rsidRPr="00BC055C" w:rsidTr="00657C69">
        <w:trPr>
          <w:trHeight w:val="110"/>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2183" w:type="dxa"/>
            <w:gridSpan w:val="2"/>
            <w:vMerge w:val="restart"/>
            <w:tcBorders>
              <w:top w:val="nil"/>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kern w:val="0"/>
                <w:sz w:val="24"/>
                <w:szCs w:val="24"/>
              </w:rPr>
            </w:pPr>
            <w:r w:rsidRPr="00BC055C">
              <w:rPr>
                <w:rFonts w:ascii="仿宋" w:eastAsia="仿宋" w:hAnsi="仿宋" w:cs="宋体" w:hint="eastAsia"/>
                <w:kern w:val="0"/>
                <w:sz w:val="24"/>
                <w:szCs w:val="24"/>
              </w:rPr>
              <w:t>□游泳馆型</w:t>
            </w:r>
          </w:p>
          <w:p w:rsidR="00293690" w:rsidRPr="00BC055C" w:rsidRDefault="00293690" w:rsidP="00657C69">
            <w:pPr>
              <w:widowControl/>
              <w:jc w:val="center"/>
              <w:rPr>
                <w:rFonts w:ascii="仿宋" w:eastAsia="仿宋" w:hAnsi="仿宋" w:cs="宋体"/>
                <w:kern w:val="0"/>
                <w:sz w:val="24"/>
                <w:szCs w:val="24"/>
              </w:rPr>
            </w:pPr>
            <w:r w:rsidRPr="00BC055C">
              <w:rPr>
                <w:rFonts w:ascii="仿宋" w:eastAsia="仿宋" w:hAnsi="仿宋" w:cs="宋体" w:hint="eastAsia"/>
                <w:kern w:val="0"/>
                <w:sz w:val="24"/>
                <w:szCs w:val="24"/>
              </w:rPr>
              <w:t>（座位数）</w:t>
            </w:r>
          </w:p>
        </w:tc>
        <w:tc>
          <w:tcPr>
            <w:tcW w:w="4210" w:type="dxa"/>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6000及以上</w:t>
            </w:r>
          </w:p>
        </w:tc>
      </w:tr>
      <w:tr w:rsidR="00293690" w:rsidRPr="00BC055C" w:rsidTr="00657C69">
        <w:trPr>
          <w:trHeight w:val="110"/>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2183" w:type="dxa"/>
            <w:gridSpan w:val="2"/>
            <w:vMerge/>
            <w:tcBorders>
              <w:top w:val="nil"/>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4210" w:type="dxa"/>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3000-5999</w:t>
            </w:r>
          </w:p>
        </w:tc>
      </w:tr>
      <w:tr w:rsidR="00293690" w:rsidRPr="00BC055C" w:rsidTr="00657C69">
        <w:trPr>
          <w:trHeight w:val="110"/>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2183" w:type="dxa"/>
            <w:gridSpan w:val="2"/>
            <w:vMerge/>
            <w:tcBorders>
              <w:top w:val="nil"/>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4210" w:type="dxa"/>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1500-2999</w:t>
            </w:r>
          </w:p>
        </w:tc>
      </w:tr>
      <w:tr w:rsidR="00293690" w:rsidRPr="00BC055C" w:rsidTr="00657C69">
        <w:trPr>
          <w:trHeight w:val="110"/>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2183" w:type="dxa"/>
            <w:gridSpan w:val="2"/>
            <w:vMerge w:val="restart"/>
            <w:tcBorders>
              <w:top w:val="nil"/>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kern w:val="0"/>
                <w:sz w:val="24"/>
                <w:szCs w:val="24"/>
              </w:rPr>
            </w:pPr>
            <w:r w:rsidRPr="00BC055C">
              <w:rPr>
                <w:rFonts w:ascii="仿宋" w:eastAsia="仿宋" w:hAnsi="仿宋" w:cs="宋体" w:hint="eastAsia"/>
                <w:kern w:val="0"/>
                <w:sz w:val="24"/>
                <w:szCs w:val="24"/>
              </w:rPr>
              <w:t>场馆功能</w:t>
            </w:r>
          </w:p>
        </w:tc>
        <w:tc>
          <w:tcPr>
            <w:tcW w:w="4210" w:type="dxa"/>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□训练场馆</w:t>
            </w:r>
          </w:p>
        </w:tc>
      </w:tr>
      <w:tr w:rsidR="00293690" w:rsidRPr="00BC055C" w:rsidTr="00657C69">
        <w:trPr>
          <w:trHeight w:val="110"/>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2183" w:type="dxa"/>
            <w:gridSpan w:val="2"/>
            <w:vMerge/>
            <w:tcBorders>
              <w:top w:val="nil"/>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4210" w:type="dxa"/>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□专业性较强的场馆</w:t>
            </w:r>
          </w:p>
        </w:tc>
      </w:tr>
      <w:tr w:rsidR="00293690" w:rsidRPr="00BC055C" w:rsidTr="00657C69">
        <w:trPr>
          <w:trHeight w:val="110"/>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2183" w:type="dxa"/>
            <w:gridSpan w:val="2"/>
            <w:vMerge/>
            <w:tcBorders>
              <w:top w:val="nil"/>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4210" w:type="dxa"/>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□其他</w:t>
            </w:r>
          </w:p>
        </w:tc>
      </w:tr>
      <w:tr w:rsidR="00293690" w:rsidRPr="00BC055C" w:rsidTr="00657C69">
        <w:trPr>
          <w:trHeight w:val="324"/>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□是 □否 经营有高危险性体育项目</w:t>
            </w:r>
          </w:p>
        </w:tc>
      </w:tr>
      <w:tr w:rsidR="00293690" w:rsidRPr="00BC055C" w:rsidTr="00657C69">
        <w:trPr>
          <w:trHeight w:val="324"/>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设施设备和相关条件达到开放所应具备的基本条件和基本技术要求。</w:t>
            </w:r>
          </w:p>
        </w:tc>
      </w:tr>
      <w:tr w:rsidR="00293690" w:rsidRPr="00BC055C" w:rsidTr="00657C69">
        <w:trPr>
          <w:trHeight w:val="588"/>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nil"/>
              <w:bottom w:val="single" w:sz="4" w:space="0" w:color="auto"/>
              <w:right w:val="single" w:sz="4" w:space="0" w:color="auto"/>
            </w:tcBorders>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保证场馆及设施符合消防、卫生、安全、环保等要求，配备安全保护设施及人员，在醒目位置标明设施的使用方法和注意事项，确保场馆设施安全正常使用。</w:t>
            </w:r>
          </w:p>
        </w:tc>
      </w:tr>
      <w:tr w:rsidR="00293690" w:rsidRPr="00BC055C" w:rsidTr="00657C69">
        <w:trPr>
          <w:trHeight w:val="588"/>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场地符合相关体育赛事规则要求，并能基本满足多样化体育健身及其他活动需要。</w:t>
            </w:r>
          </w:p>
        </w:tc>
      </w:tr>
      <w:tr w:rsidR="00293690" w:rsidRPr="00BC055C" w:rsidTr="00657C69">
        <w:trPr>
          <w:trHeight w:val="588"/>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nil"/>
              <w:bottom w:val="single" w:sz="4" w:space="0" w:color="auto"/>
              <w:right w:val="single" w:sz="4" w:space="0" w:color="auto"/>
            </w:tcBorders>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充分利用场馆闲置空间，合理开展适用性改造，完善场地和服务设施</w:t>
            </w:r>
          </w:p>
        </w:tc>
      </w:tr>
      <w:tr w:rsidR="00293690" w:rsidRPr="00BC055C" w:rsidTr="00657C69">
        <w:trPr>
          <w:trHeight w:val="588"/>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val="restart"/>
            <w:tcBorders>
              <w:top w:val="nil"/>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kern w:val="0"/>
                <w:sz w:val="24"/>
                <w:szCs w:val="24"/>
              </w:rPr>
            </w:pPr>
            <w:r w:rsidRPr="00BC055C">
              <w:rPr>
                <w:rFonts w:ascii="仿宋" w:eastAsia="仿宋" w:hAnsi="仿宋"/>
                <w:kern w:val="0"/>
                <w:sz w:val="24"/>
                <w:szCs w:val="24"/>
              </w:rPr>
              <w:t>1.2</w:t>
            </w:r>
          </w:p>
          <w:p w:rsidR="00293690" w:rsidRPr="00BC055C" w:rsidRDefault="00293690" w:rsidP="00657C69">
            <w:pPr>
              <w:jc w:val="center"/>
              <w:rPr>
                <w:rFonts w:ascii="仿宋" w:eastAsia="仿宋" w:hAnsi="仿宋"/>
                <w:kern w:val="0"/>
                <w:sz w:val="24"/>
                <w:szCs w:val="24"/>
              </w:rPr>
            </w:pPr>
            <w:r w:rsidRPr="00BC055C">
              <w:rPr>
                <w:rFonts w:ascii="仿宋" w:eastAsia="仿宋" w:hAnsi="仿宋" w:cs="宋体" w:hint="eastAsia"/>
                <w:kern w:val="0"/>
                <w:sz w:val="24"/>
                <w:szCs w:val="24"/>
              </w:rPr>
              <w:t>安全设施</w:t>
            </w: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建筑结构完整，功能分区科学，人流控制合理，安全警示清晰，满足举办大型活动的安全要求</w:t>
            </w:r>
          </w:p>
        </w:tc>
      </w:tr>
      <w:tr w:rsidR="00293690" w:rsidRPr="00BC055C" w:rsidTr="00657C69">
        <w:trPr>
          <w:trHeight w:val="588"/>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水电、燃气、消防、安保、供热、应急设施和疏散系统、急救系统配置合理，设施完备，维护完好，经有关部门检验合格，符合正常使用要求</w:t>
            </w:r>
          </w:p>
        </w:tc>
      </w:tr>
      <w:tr w:rsidR="00293690" w:rsidRPr="00BC055C" w:rsidTr="00657C69">
        <w:trPr>
          <w:trHeight w:val="588"/>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有条件的场馆配备全面视频监控，实施动态管理，场地等重要场所监控录像保留时间不少于30日</w:t>
            </w:r>
          </w:p>
        </w:tc>
      </w:tr>
      <w:tr w:rsidR="00293690" w:rsidRPr="00BC055C" w:rsidTr="00657C69">
        <w:trPr>
          <w:trHeight w:val="324"/>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tcBorders>
              <w:top w:val="nil"/>
              <w:left w:val="nil"/>
              <w:bottom w:val="nil"/>
              <w:right w:val="single" w:sz="4" w:space="0" w:color="auto"/>
            </w:tcBorders>
            <w:vAlign w:val="center"/>
            <w:hideMark/>
          </w:tcPr>
          <w:p w:rsidR="00293690" w:rsidRPr="00BC055C" w:rsidRDefault="00293690" w:rsidP="00657C69">
            <w:pPr>
              <w:widowControl/>
              <w:jc w:val="center"/>
              <w:rPr>
                <w:rFonts w:ascii="仿宋" w:eastAsia="仿宋" w:hAnsi="仿宋"/>
                <w:kern w:val="0"/>
                <w:sz w:val="24"/>
                <w:szCs w:val="24"/>
              </w:rPr>
            </w:pPr>
            <w:r w:rsidRPr="00BC055C">
              <w:rPr>
                <w:rFonts w:ascii="仿宋" w:eastAsia="仿宋" w:hAnsi="仿宋"/>
                <w:kern w:val="0"/>
                <w:sz w:val="24"/>
                <w:szCs w:val="24"/>
              </w:rPr>
              <w:t>1.3</w:t>
            </w:r>
          </w:p>
        </w:tc>
        <w:tc>
          <w:tcPr>
            <w:tcW w:w="6393" w:type="dxa"/>
            <w:gridSpan w:val="3"/>
            <w:vMerge w:val="restart"/>
            <w:tcBorders>
              <w:top w:val="nil"/>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设施齐全，设备完善，维护完好，符合正常使用要求。</w:t>
            </w:r>
          </w:p>
        </w:tc>
      </w:tr>
      <w:tr w:rsidR="00293690" w:rsidRPr="00BC055C" w:rsidTr="00657C69">
        <w:trPr>
          <w:trHeight w:val="324"/>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tcBorders>
              <w:top w:val="nil"/>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kern w:val="0"/>
                <w:sz w:val="24"/>
                <w:szCs w:val="24"/>
              </w:rPr>
            </w:pPr>
            <w:r w:rsidRPr="00BC055C">
              <w:rPr>
                <w:rFonts w:ascii="仿宋" w:eastAsia="仿宋" w:hAnsi="仿宋" w:cs="宋体" w:hint="eastAsia"/>
                <w:kern w:val="0"/>
                <w:sz w:val="24"/>
                <w:szCs w:val="24"/>
              </w:rPr>
              <w:t>环卫设施</w:t>
            </w:r>
          </w:p>
        </w:tc>
        <w:tc>
          <w:tcPr>
            <w:tcW w:w="6393" w:type="dxa"/>
            <w:gridSpan w:val="3"/>
            <w:vMerge/>
            <w:tcBorders>
              <w:top w:val="nil"/>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r>
      <w:tr w:rsidR="00293690" w:rsidRPr="00BC055C" w:rsidTr="00657C69">
        <w:trPr>
          <w:trHeight w:val="324"/>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val="restart"/>
            <w:tcBorders>
              <w:top w:val="nil"/>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kern w:val="0"/>
                <w:sz w:val="24"/>
                <w:szCs w:val="24"/>
              </w:rPr>
            </w:pPr>
            <w:r w:rsidRPr="00BC055C">
              <w:rPr>
                <w:rFonts w:ascii="仿宋" w:eastAsia="仿宋" w:hAnsi="仿宋"/>
                <w:kern w:val="0"/>
                <w:sz w:val="24"/>
                <w:szCs w:val="24"/>
              </w:rPr>
              <w:t>1.4</w:t>
            </w:r>
          </w:p>
          <w:p w:rsidR="00293690" w:rsidRPr="00BC055C" w:rsidRDefault="00293690" w:rsidP="00657C69">
            <w:pPr>
              <w:jc w:val="center"/>
              <w:rPr>
                <w:rFonts w:ascii="仿宋" w:eastAsia="仿宋" w:hAnsi="仿宋"/>
                <w:kern w:val="0"/>
                <w:sz w:val="24"/>
                <w:szCs w:val="24"/>
              </w:rPr>
            </w:pPr>
            <w:r w:rsidRPr="00BC055C">
              <w:rPr>
                <w:rFonts w:ascii="仿宋" w:eastAsia="仿宋" w:hAnsi="仿宋" w:cs="宋体" w:hint="eastAsia"/>
                <w:kern w:val="0"/>
                <w:sz w:val="24"/>
                <w:szCs w:val="24"/>
              </w:rPr>
              <w:t>交通设施</w:t>
            </w:r>
          </w:p>
        </w:tc>
        <w:tc>
          <w:tcPr>
            <w:tcW w:w="6393" w:type="dxa"/>
            <w:gridSpan w:val="3"/>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区域内导向标识完整，无障碍设施完善，交通组织顺畅</w:t>
            </w:r>
          </w:p>
        </w:tc>
      </w:tr>
      <w:tr w:rsidR="00293690" w:rsidRPr="00BC055C" w:rsidTr="00657C69">
        <w:trPr>
          <w:trHeight w:val="324"/>
          <w:jc w:val="center"/>
        </w:trPr>
        <w:tc>
          <w:tcPr>
            <w:tcW w:w="1564" w:type="dxa"/>
            <w:vMerge/>
            <w:tcBorders>
              <w:top w:val="nil"/>
              <w:left w:val="single" w:sz="4" w:space="0" w:color="auto"/>
              <w:bottom w:val="single" w:sz="4" w:space="0" w:color="000000"/>
              <w:right w:val="single" w:sz="4" w:space="0" w:color="000000"/>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具备可利用的与场馆规模相适应的停车位</w:t>
            </w:r>
          </w:p>
        </w:tc>
      </w:tr>
      <w:tr w:rsidR="00293690" w:rsidRPr="00BC055C" w:rsidTr="00657C69">
        <w:trPr>
          <w:trHeight w:val="324"/>
          <w:jc w:val="center"/>
        </w:trPr>
        <w:tc>
          <w:tcPr>
            <w:tcW w:w="1564" w:type="dxa"/>
            <w:vMerge w:val="restart"/>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二</w:t>
            </w:r>
          </w:p>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基本管理</w:t>
            </w:r>
          </w:p>
        </w:tc>
        <w:tc>
          <w:tcPr>
            <w:tcW w:w="1220" w:type="dxa"/>
            <w:vMerge w:val="restart"/>
            <w:tcBorders>
              <w:top w:val="nil"/>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kern w:val="0"/>
                <w:sz w:val="24"/>
                <w:szCs w:val="24"/>
              </w:rPr>
            </w:pPr>
            <w:r w:rsidRPr="00BC055C">
              <w:rPr>
                <w:rFonts w:ascii="仿宋" w:eastAsia="仿宋" w:hAnsi="仿宋"/>
                <w:kern w:val="0"/>
                <w:sz w:val="24"/>
                <w:szCs w:val="24"/>
              </w:rPr>
              <w:t>2.1</w:t>
            </w:r>
          </w:p>
          <w:p w:rsidR="00293690" w:rsidRPr="00BC055C" w:rsidRDefault="00293690" w:rsidP="00657C69">
            <w:pPr>
              <w:jc w:val="center"/>
              <w:rPr>
                <w:rFonts w:ascii="仿宋" w:eastAsia="仿宋" w:hAnsi="仿宋"/>
                <w:kern w:val="0"/>
                <w:sz w:val="24"/>
                <w:szCs w:val="24"/>
              </w:rPr>
            </w:pPr>
            <w:r w:rsidRPr="00BC055C">
              <w:rPr>
                <w:rFonts w:ascii="仿宋" w:eastAsia="仿宋" w:hAnsi="仿宋" w:cs="宋体" w:hint="eastAsia"/>
                <w:kern w:val="0"/>
                <w:sz w:val="24"/>
                <w:szCs w:val="24"/>
              </w:rPr>
              <w:t>组织机构</w:t>
            </w: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机构设置健全，管理构架清晰，配备专业运营团队满足服务运营需要。</w:t>
            </w:r>
          </w:p>
        </w:tc>
      </w:tr>
      <w:tr w:rsidR="00293690" w:rsidRPr="00BC055C" w:rsidTr="00657C69">
        <w:trPr>
          <w:trHeight w:val="958"/>
          <w:jc w:val="center"/>
        </w:trPr>
        <w:tc>
          <w:tcPr>
            <w:tcW w:w="1564"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合理设置部门和岗位，完善运营管理体系，健全管理制度，建立激励约束绩效考核机制</w:t>
            </w:r>
          </w:p>
        </w:tc>
      </w:tr>
      <w:tr w:rsidR="00293690" w:rsidRPr="00BC055C" w:rsidTr="00657C69">
        <w:trPr>
          <w:trHeight w:val="324"/>
          <w:jc w:val="center"/>
        </w:trPr>
        <w:tc>
          <w:tcPr>
            <w:tcW w:w="1564"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val="restart"/>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kern w:val="0"/>
                <w:sz w:val="24"/>
                <w:szCs w:val="24"/>
              </w:rPr>
            </w:pPr>
            <w:r w:rsidRPr="00BC055C">
              <w:rPr>
                <w:rFonts w:ascii="仿宋" w:eastAsia="仿宋" w:hAnsi="仿宋"/>
                <w:kern w:val="0"/>
                <w:sz w:val="24"/>
                <w:szCs w:val="24"/>
              </w:rPr>
              <w:t>2.2</w:t>
            </w:r>
          </w:p>
          <w:p w:rsidR="00293690" w:rsidRPr="00BC055C" w:rsidRDefault="00293690" w:rsidP="00657C69">
            <w:pPr>
              <w:jc w:val="center"/>
              <w:rPr>
                <w:rFonts w:ascii="仿宋" w:eastAsia="仿宋" w:hAnsi="仿宋"/>
                <w:kern w:val="0"/>
                <w:sz w:val="24"/>
                <w:szCs w:val="24"/>
              </w:rPr>
            </w:pPr>
            <w:r w:rsidRPr="00BC055C">
              <w:rPr>
                <w:rFonts w:ascii="仿宋" w:eastAsia="仿宋" w:hAnsi="仿宋" w:cs="宋体" w:hint="eastAsia"/>
                <w:kern w:val="0"/>
                <w:sz w:val="24"/>
                <w:szCs w:val="24"/>
              </w:rPr>
              <w:t>管理制度</w:t>
            </w:r>
          </w:p>
        </w:tc>
        <w:tc>
          <w:tcPr>
            <w:tcW w:w="6393" w:type="dxa"/>
            <w:gridSpan w:val="3"/>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服务、安全、卫生、信息公示、监督考核等制度健全，执行规范，</w:t>
            </w:r>
            <w:proofErr w:type="gramStart"/>
            <w:r w:rsidRPr="00BC055C">
              <w:rPr>
                <w:rFonts w:ascii="仿宋" w:eastAsia="仿宋" w:hAnsi="仿宋" w:cs="宋体" w:hint="eastAsia"/>
                <w:kern w:val="0"/>
                <w:sz w:val="24"/>
                <w:szCs w:val="24"/>
              </w:rPr>
              <w:t>档案台</w:t>
            </w:r>
            <w:proofErr w:type="gramEnd"/>
            <w:r w:rsidRPr="00BC055C">
              <w:rPr>
                <w:rFonts w:ascii="仿宋" w:eastAsia="仿宋" w:hAnsi="仿宋" w:cs="宋体" w:hint="eastAsia"/>
                <w:kern w:val="0"/>
                <w:sz w:val="24"/>
                <w:szCs w:val="24"/>
              </w:rPr>
              <w:t>账完整</w:t>
            </w:r>
          </w:p>
        </w:tc>
      </w:tr>
      <w:tr w:rsidR="00293690" w:rsidRPr="00BC055C" w:rsidTr="00657C69">
        <w:trPr>
          <w:trHeight w:val="324"/>
          <w:jc w:val="center"/>
        </w:trPr>
        <w:tc>
          <w:tcPr>
            <w:tcW w:w="1564"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完善安全制度，健全应急救护措施和突发公共事件预防预警及应急处置方案，定期开展安全</w:t>
            </w:r>
            <w:r>
              <w:rPr>
                <w:rFonts w:ascii="仿宋" w:eastAsia="仿宋" w:hAnsi="仿宋" w:cs="宋体" w:hint="eastAsia"/>
                <w:kern w:val="0"/>
                <w:sz w:val="24"/>
                <w:szCs w:val="24"/>
              </w:rPr>
              <w:t>督查</w:t>
            </w:r>
            <w:r w:rsidRPr="00BC055C">
              <w:rPr>
                <w:rFonts w:ascii="仿宋" w:eastAsia="仿宋" w:hAnsi="仿宋" w:cs="宋体" w:hint="eastAsia"/>
                <w:kern w:val="0"/>
                <w:sz w:val="24"/>
                <w:szCs w:val="24"/>
              </w:rPr>
              <w:t>，培训和演习</w:t>
            </w:r>
          </w:p>
        </w:tc>
      </w:tr>
      <w:tr w:rsidR="00293690" w:rsidRPr="00BC055C" w:rsidTr="00657C69">
        <w:trPr>
          <w:trHeight w:val="817"/>
          <w:jc w:val="center"/>
        </w:trPr>
        <w:tc>
          <w:tcPr>
            <w:tcW w:w="1564"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加强能源管理，采取节能措施，降低单位能耗节约运营成本</w:t>
            </w:r>
          </w:p>
        </w:tc>
      </w:tr>
      <w:tr w:rsidR="00293690" w:rsidRPr="00BC055C" w:rsidTr="00657C69">
        <w:trPr>
          <w:trHeight w:val="817"/>
          <w:jc w:val="center"/>
        </w:trPr>
        <w:tc>
          <w:tcPr>
            <w:tcW w:w="1564"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鼓励引入环卫、安保、工程、绿化等专业服务机构，提升场馆区域范围内物业管理和专业化水平</w:t>
            </w:r>
          </w:p>
        </w:tc>
      </w:tr>
      <w:tr w:rsidR="00293690" w:rsidRPr="00BC055C" w:rsidTr="00657C69">
        <w:trPr>
          <w:trHeight w:val="817"/>
          <w:jc w:val="center"/>
        </w:trPr>
        <w:tc>
          <w:tcPr>
            <w:tcW w:w="1564"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场馆开展无形资产开发、房屋出租等经营，应引入第三方评估，应采用公开招标或竞争性谈判等方式确定合作对象和价格等内容</w:t>
            </w:r>
          </w:p>
        </w:tc>
      </w:tr>
      <w:tr w:rsidR="00293690" w:rsidRPr="00BC055C" w:rsidTr="00657C69">
        <w:trPr>
          <w:trHeight w:val="817"/>
          <w:jc w:val="center"/>
        </w:trPr>
        <w:tc>
          <w:tcPr>
            <w:tcW w:w="1564"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加强合同管理，规范合同签订、履行、变更和终止，相关协议涉及同到如经营业态、商业开发等要求事项的，需在合中约定</w:t>
            </w:r>
          </w:p>
        </w:tc>
      </w:tr>
      <w:tr w:rsidR="00293690" w:rsidRPr="00BC055C" w:rsidTr="00657C69">
        <w:trPr>
          <w:trHeight w:val="817"/>
          <w:jc w:val="center"/>
        </w:trPr>
        <w:tc>
          <w:tcPr>
            <w:tcW w:w="1564"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加强合同履行监管，及时制止擅自变更经营业态、擅自转租等行为，必要时按法定程序终止或解除合同</w:t>
            </w:r>
          </w:p>
        </w:tc>
      </w:tr>
      <w:tr w:rsidR="00293690" w:rsidRPr="00BC055C" w:rsidTr="00657C69">
        <w:trPr>
          <w:trHeight w:val="817"/>
          <w:jc w:val="center"/>
        </w:trPr>
        <w:tc>
          <w:tcPr>
            <w:tcW w:w="1564"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场馆应当将运营经费纳入预算管理，并严格遵守国家相关财务规范，健全财务管理制度和体系，规范预算、收支和专项资金使用</w:t>
            </w:r>
          </w:p>
        </w:tc>
      </w:tr>
      <w:tr w:rsidR="00293690" w:rsidRPr="00BC055C" w:rsidTr="00657C69">
        <w:trPr>
          <w:trHeight w:val="324"/>
          <w:jc w:val="center"/>
        </w:trPr>
        <w:tc>
          <w:tcPr>
            <w:tcW w:w="1564"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val="restart"/>
            <w:tcBorders>
              <w:top w:val="nil"/>
              <w:left w:val="single" w:sz="4" w:space="0" w:color="auto"/>
              <w:bottom w:val="nil"/>
              <w:right w:val="single" w:sz="4" w:space="0" w:color="auto"/>
            </w:tcBorders>
            <w:vAlign w:val="bottom"/>
            <w:hideMark/>
          </w:tcPr>
          <w:p w:rsidR="00293690" w:rsidRPr="00BC055C" w:rsidRDefault="00293690" w:rsidP="00657C69">
            <w:pPr>
              <w:widowControl/>
              <w:jc w:val="center"/>
              <w:rPr>
                <w:rFonts w:ascii="仿宋" w:eastAsia="仿宋" w:hAnsi="仿宋"/>
                <w:kern w:val="0"/>
                <w:sz w:val="24"/>
                <w:szCs w:val="24"/>
              </w:rPr>
            </w:pPr>
            <w:r w:rsidRPr="00BC055C">
              <w:rPr>
                <w:rFonts w:ascii="仿宋" w:eastAsia="仿宋" w:hAnsi="仿宋"/>
                <w:kern w:val="0"/>
                <w:sz w:val="24"/>
                <w:szCs w:val="24"/>
              </w:rPr>
              <w:t>2.3</w:t>
            </w: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办理相应的责任保险。</w:t>
            </w:r>
          </w:p>
        </w:tc>
      </w:tr>
      <w:tr w:rsidR="00293690" w:rsidRPr="00BC055C" w:rsidTr="00657C69">
        <w:trPr>
          <w:trHeight w:val="324"/>
          <w:jc w:val="center"/>
        </w:trPr>
        <w:tc>
          <w:tcPr>
            <w:tcW w:w="1564"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提供意外伤害</w:t>
            </w:r>
            <w:proofErr w:type="gramStart"/>
            <w:r w:rsidRPr="00BC055C">
              <w:rPr>
                <w:rFonts w:ascii="仿宋" w:eastAsia="仿宋" w:hAnsi="仿宋" w:cs="宋体" w:hint="eastAsia"/>
                <w:kern w:val="0"/>
                <w:sz w:val="24"/>
                <w:szCs w:val="24"/>
              </w:rPr>
              <w:t>险购买</w:t>
            </w:r>
            <w:proofErr w:type="gramEnd"/>
            <w:r w:rsidRPr="00BC055C">
              <w:rPr>
                <w:rFonts w:ascii="仿宋" w:eastAsia="仿宋" w:hAnsi="仿宋" w:cs="宋体" w:hint="eastAsia"/>
                <w:kern w:val="0"/>
                <w:sz w:val="24"/>
                <w:szCs w:val="24"/>
              </w:rPr>
              <w:t>服务并尽到提示购买义务。</w:t>
            </w:r>
          </w:p>
        </w:tc>
      </w:tr>
      <w:tr w:rsidR="00293690" w:rsidRPr="00BC055C" w:rsidTr="00657C69">
        <w:trPr>
          <w:trHeight w:val="588"/>
          <w:jc w:val="center"/>
        </w:trPr>
        <w:tc>
          <w:tcPr>
            <w:tcW w:w="1564"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val="restart"/>
            <w:tcBorders>
              <w:top w:val="nil"/>
              <w:left w:val="single" w:sz="4" w:space="0" w:color="auto"/>
              <w:bottom w:val="single" w:sz="4" w:space="0" w:color="000000"/>
              <w:right w:val="single" w:sz="4" w:space="0" w:color="auto"/>
            </w:tcBorders>
            <w:hideMark/>
          </w:tcPr>
          <w:p w:rsidR="00293690" w:rsidRPr="00BC055C" w:rsidRDefault="00293690" w:rsidP="00657C69">
            <w:pPr>
              <w:widowControl/>
              <w:jc w:val="center"/>
              <w:rPr>
                <w:rFonts w:ascii="仿宋" w:eastAsia="仿宋" w:hAnsi="仿宋" w:cs="宋体"/>
                <w:kern w:val="0"/>
                <w:sz w:val="24"/>
                <w:szCs w:val="24"/>
              </w:rPr>
            </w:pPr>
            <w:r w:rsidRPr="00BC055C">
              <w:rPr>
                <w:rFonts w:ascii="仿宋" w:eastAsia="仿宋" w:hAnsi="仿宋" w:cs="宋体" w:hint="eastAsia"/>
                <w:kern w:val="0"/>
                <w:sz w:val="24"/>
                <w:szCs w:val="24"/>
              </w:rPr>
              <w:t>风险控制</w:t>
            </w: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建立自然灾害、重特大事故、消防、环境公害及人为破坏等突发事件应急预案，开展定期培训、模拟演练</w:t>
            </w:r>
          </w:p>
        </w:tc>
      </w:tr>
      <w:tr w:rsidR="00293690" w:rsidRPr="00BC055C" w:rsidTr="00657C69">
        <w:trPr>
          <w:trHeight w:val="324"/>
          <w:jc w:val="center"/>
        </w:trPr>
        <w:tc>
          <w:tcPr>
            <w:tcW w:w="1564"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制定大型活动风险控制管理办法。</w:t>
            </w:r>
          </w:p>
        </w:tc>
      </w:tr>
      <w:tr w:rsidR="00293690" w:rsidRPr="00BC055C" w:rsidTr="00657C69">
        <w:trPr>
          <w:trHeight w:val="588"/>
          <w:jc w:val="center"/>
        </w:trPr>
        <w:tc>
          <w:tcPr>
            <w:tcW w:w="1564" w:type="dxa"/>
            <w:vMerge w:val="restart"/>
            <w:tcBorders>
              <w:top w:val="nil"/>
              <w:left w:val="single" w:sz="4" w:space="0" w:color="auto"/>
              <w:bottom w:val="nil"/>
              <w:right w:val="single" w:sz="4" w:space="0" w:color="auto"/>
            </w:tcBorders>
            <w:vAlign w:val="center"/>
            <w:hideMark/>
          </w:tcPr>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三</w:t>
            </w:r>
          </w:p>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基本服务</w:t>
            </w:r>
          </w:p>
        </w:tc>
        <w:tc>
          <w:tcPr>
            <w:tcW w:w="1220" w:type="dxa"/>
            <w:vMerge w:val="restart"/>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center"/>
              <w:rPr>
                <w:rFonts w:ascii="仿宋" w:eastAsia="仿宋" w:hAnsi="仿宋"/>
                <w:kern w:val="0"/>
                <w:sz w:val="24"/>
                <w:szCs w:val="24"/>
              </w:rPr>
            </w:pPr>
            <w:r w:rsidRPr="00BC055C">
              <w:rPr>
                <w:rFonts w:ascii="仿宋" w:eastAsia="仿宋" w:hAnsi="仿宋"/>
                <w:kern w:val="0"/>
                <w:sz w:val="24"/>
                <w:szCs w:val="24"/>
              </w:rPr>
              <w:t>3.1</w:t>
            </w:r>
          </w:p>
          <w:p w:rsidR="00293690" w:rsidRPr="00BC055C" w:rsidRDefault="00293690" w:rsidP="00657C69">
            <w:pPr>
              <w:jc w:val="center"/>
              <w:rPr>
                <w:rFonts w:ascii="仿宋" w:eastAsia="仿宋" w:hAnsi="仿宋"/>
                <w:kern w:val="0"/>
                <w:sz w:val="24"/>
                <w:szCs w:val="24"/>
              </w:rPr>
            </w:pPr>
            <w:r w:rsidRPr="00BC055C">
              <w:rPr>
                <w:rFonts w:ascii="仿宋" w:eastAsia="仿宋" w:hAnsi="仿宋" w:cs="宋体" w:hint="eastAsia"/>
                <w:kern w:val="0"/>
                <w:sz w:val="24"/>
                <w:szCs w:val="24"/>
              </w:rPr>
              <w:t>开放要求</w:t>
            </w: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体育场馆和区域内的公共体育场地、设施用于提供体育及相关服务的面积比例不低于</w:t>
            </w:r>
            <w:r w:rsidRPr="00BC055C">
              <w:rPr>
                <w:rFonts w:ascii="仿宋" w:eastAsia="仿宋" w:hAnsi="仿宋"/>
                <w:kern w:val="0"/>
                <w:sz w:val="24"/>
                <w:szCs w:val="24"/>
              </w:rPr>
              <w:t>60%</w:t>
            </w:r>
          </w:p>
        </w:tc>
      </w:tr>
      <w:tr w:rsidR="00293690" w:rsidRPr="00BC055C" w:rsidTr="00657C69">
        <w:trPr>
          <w:trHeight w:val="588"/>
          <w:jc w:val="center"/>
        </w:trPr>
        <w:tc>
          <w:tcPr>
            <w:tcW w:w="1564"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公示服务内容、开放时间、收费项目和价格、</w:t>
            </w:r>
            <w:proofErr w:type="gramStart"/>
            <w:r w:rsidRPr="00BC055C">
              <w:rPr>
                <w:rFonts w:ascii="仿宋" w:eastAsia="仿宋" w:hAnsi="仿宋" w:cs="宋体" w:hint="eastAsia"/>
                <w:kern w:val="0"/>
                <w:sz w:val="24"/>
                <w:szCs w:val="24"/>
              </w:rPr>
              <w:t>免费低</w:t>
            </w:r>
            <w:proofErr w:type="gramEnd"/>
            <w:r w:rsidRPr="00BC055C">
              <w:rPr>
                <w:rFonts w:ascii="仿宋" w:eastAsia="仿宋" w:hAnsi="仿宋" w:cs="宋体" w:hint="eastAsia"/>
                <w:kern w:val="0"/>
                <w:sz w:val="24"/>
                <w:szCs w:val="24"/>
              </w:rPr>
              <w:t>收费开放措施等内容</w:t>
            </w:r>
          </w:p>
        </w:tc>
      </w:tr>
      <w:tr w:rsidR="00293690" w:rsidRPr="00BC055C" w:rsidTr="00657C69">
        <w:trPr>
          <w:trHeight w:val="324"/>
          <w:jc w:val="center"/>
        </w:trPr>
        <w:tc>
          <w:tcPr>
            <w:tcW w:w="1564"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体育场馆和区域内的公共体育场地、设施全民健身日免费向公众开放</w:t>
            </w:r>
          </w:p>
        </w:tc>
      </w:tr>
      <w:tr w:rsidR="00293690" w:rsidRPr="00BC055C" w:rsidTr="00657C69">
        <w:trPr>
          <w:trHeight w:val="324"/>
          <w:jc w:val="center"/>
        </w:trPr>
        <w:tc>
          <w:tcPr>
            <w:tcW w:w="1564"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体育场馆所属户外公共区域及户外健身器材全年免费开放</w:t>
            </w:r>
          </w:p>
        </w:tc>
      </w:tr>
      <w:tr w:rsidR="00293690" w:rsidRPr="00BC055C" w:rsidTr="00657C69">
        <w:trPr>
          <w:trHeight w:val="924"/>
          <w:jc w:val="center"/>
        </w:trPr>
        <w:tc>
          <w:tcPr>
            <w:tcW w:w="1564"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体育场馆和区域内的公共体育场地、设施</w:t>
            </w:r>
            <w:proofErr w:type="gramStart"/>
            <w:r w:rsidRPr="00BC055C">
              <w:rPr>
                <w:rFonts w:ascii="仿宋" w:eastAsia="仿宋" w:hAnsi="仿宋" w:cs="宋体" w:hint="eastAsia"/>
                <w:kern w:val="0"/>
                <w:sz w:val="24"/>
                <w:szCs w:val="24"/>
              </w:rPr>
              <w:t>年开放</w:t>
            </w:r>
            <w:proofErr w:type="gramEnd"/>
            <w:r w:rsidRPr="00BC055C">
              <w:rPr>
                <w:rFonts w:ascii="仿宋" w:eastAsia="仿宋" w:hAnsi="仿宋" w:cs="宋体" w:hint="eastAsia"/>
                <w:kern w:val="0"/>
                <w:sz w:val="24"/>
                <w:szCs w:val="24"/>
              </w:rPr>
              <w:t>天数一般不少于</w:t>
            </w:r>
            <w:r w:rsidRPr="00BC055C">
              <w:rPr>
                <w:rFonts w:ascii="仿宋" w:eastAsia="仿宋" w:hAnsi="仿宋"/>
                <w:kern w:val="0"/>
                <w:sz w:val="24"/>
                <w:szCs w:val="24"/>
              </w:rPr>
              <w:t>330</w:t>
            </w:r>
            <w:r w:rsidRPr="00BC055C">
              <w:rPr>
                <w:rFonts w:ascii="仿宋" w:eastAsia="仿宋" w:hAnsi="仿宋" w:cs="宋体" w:hint="eastAsia"/>
                <w:kern w:val="0"/>
                <w:sz w:val="24"/>
                <w:szCs w:val="24"/>
              </w:rPr>
              <w:t>天，周开放时间一般不少于</w:t>
            </w:r>
            <w:r w:rsidRPr="00BC055C">
              <w:rPr>
                <w:rFonts w:ascii="仿宋" w:eastAsia="仿宋" w:hAnsi="仿宋"/>
                <w:kern w:val="0"/>
                <w:sz w:val="24"/>
                <w:szCs w:val="24"/>
              </w:rPr>
              <w:t>35</w:t>
            </w:r>
            <w:r w:rsidRPr="00BC055C">
              <w:rPr>
                <w:rFonts w:ascii="仿宋" w:eastAsia="仿宋" w:hAnsi="仿宋" w:cs="宋体" w:hint="eastAsia"/>
                <w:kern w:val="0"/>
                <w:sz w:val="24"/>
                <w:szCs w:val="24"/>
              </w:rPr>
              <w:t>小时。国家法定节假日、全民健身日和学校寒暑假期间，每天开放时间不少于</w:t>
            </w:r>
            <w:r w:rsidRPr="00BC055C">
              <w:rPr>
                <w:rFonts w:ascii="仿宋" w:eastAsia="仿宋" w:hAnsi="仿宋"/>
                <w:kern w:val="0"/>
                <w:sz w:val="24"/>
                <w:szCs w:val="24"/>
              </w:rPr>
              <w:t>8</w:t>
            </w:r>
            <w:r w:rsidRPr="00BC055C">
              <w:rPr>
                <w:rFonts w:ascii="仿宋" w:eastAsia="仿宋" w:hAnsi="仿宋" w:cs="宋体" w:hint="eastAsia"/>
                <w:kern w:val="0"/>
                <w:sz w:val="24"/>
                <w:szCs w:val="24"/>
              </w:rPr>
              <w:t>小时</w:t>
            </w:r>
          </w:p>
        </w:tc>
      </w:tr>
      <w:tr w:rsidR="00293690" w:rsidRPr="00BC055C" w:rsidTr="00657C69">
        <w:trPr>
          <w:trHeight w:val="1212"/>
          <w:jc w:val="center"/>
        </w:trPr>
        <w:tc>
          <w:tcPr>
            <w:tcW w:w="1564"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体育场馆所属户外公共区域及户外健身器材每天开放时间一般不少于</w:t>
            </w:r>
            <w:r w:rsidRPr="00BC055C">
              <w:rPr>
                <w:rFonts w:ascii="仿宋" w:eastAsia="仿宋" w:hAnsi="仿宋"/>
                <w:kern w:val="0"/>
                <w:sz w:val="24"/>
                <w:szCs w:val="24"/>
              </w:rPr>
              <w:t>12</w:t>
            </w:r>
            <w:r w:rsidRPr="00BC055C">
              <w:rPr>
                <w:rFonts w:ascii="仿宋" w:eastAsia="仿宋" w:hAnsi="仿宋" w:cs="宋体" w:hint="eastAsia"/>
                <w:kern w:val="0"/>
                <w:sz w:val="24"/>
                <w:szCs w:val="24"/>
              </w:rPr>
              <w:t>小时</w:t>
            </w:r>
          </w:p>
        </w:tc>
      </w:tr>
      <w:tr w:rsidR="00293690" w:rsidRPr="00BC055C" w:rsidTr="00657C69">
        <w:trPr>
          <w:trHeight w:val="588"/>
          <w:jc w:val="center"/>
        </w:trPr>
        <w:tc>
          <w:tcPr>
            <w:tcW w:w="1564"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因维修、保养、安全、训练、赛事等原因，不能向社会开放或调整开放时间，应提前</w:t>
            </w:r>
            <w:r w:rsidRPr="00BC055C">
              <w:rPr>
                <w:rFonts w:ascii="仿宋" w:eastAsia="仿宋" w:hAnsi="仿宋"/>
                <w:kern w:val="0"/>
                <w:sz w:val="24"/>
                <w:szCs w:val="24"/>
              </w:rPr>
              <w:t>7</w:t>
            </w:r>
            <w:r w:rsidRPr="00BC055C">
              <w:rPr>
                <w:rFonts w:ascii="仿宋" w:eastAsia="仿宋" w:hAnsi="仿宋" w:cs="宋体" w:hint="eastAsia"/>
                <w:kern w:val="0"/>
                <w:sz w:val="24"/>
                <w:szCs w:val="24"/>
              </w:rPr>
              <w:t>天（不可抗力原因除外）向社会公告</w:t>
            </w:r>
          </w:p>
        </w:tc>
      </w:tr>
      <w:tr w:rsidR="00293690" w:rsidRPr="00BC055C" w:rsidTr="00657C69">
        <w:trPr>
          <w:trHeight w:val="117"/>
          <w:jc w:val="center"/>
        </w:trPr>
        <w:tc>
          <w:tcPr>
            <w:tcW w:w="1564"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1758" w:type="dxa"/>
            <w:vMerge w:val="restart"/>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不能正常对外开放的场馆原因</w:t>
            </w:r>
          </w:p>
        </w:tc>
        <w:tc>
          <w:tcPr>
            <w:tcW w:w="4635" w:type="dxa"/>
            <w:gridSpan w:val="2"/>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□场馆类型</w:t>
            </w:r>
          </w:p>
        </w:tc>
      </w:tr>
      <w:tr w:rsidR="00293690" w:rsidRPr="00BC055C" w:rsidTr="00657C69">
        <w:trPr>
          <w:trHeight w:val="117"/>
          <w:jc w:val="center"/>
        </w:trPr>
        <w:tc>
          <w:tcPr>
            <w:tcW w:w="1564"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1758"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4635" w:type="dxa"/>
            <w:gridSpan w:val="2"/>
            <w:tcBorders>
              <w:top w:val="single" w:sz="4" w:space="0" w:color="auto"/>
              <w:left w:val="nil"/>
              <w:bottom w:val="single" w:sz="4" w:space="0" w:color="auto"/>
              <w:right w:val="single" w:sz="4" w:space="0" w:color="auto"/>
            </w:tcBorders>
            <w:hideMark/>
          </w:tcPr>
          <w:p w:rsidR="00293690" w:rsidRPr="00BC055C" w:rsidRDefault="00293690" w:rsidP="00657C69">
            <w:pPr>
              <w:rPr>
                <w:rFonts w:ascii="仿宋" w:eastAsia="仿宋" w:hAnsi="仿宋"/>
                <w:sz w:val="24"/>
                <w:szCs w:val="24"/>
              </w:rPr>
            </w:pPr>
            <w:r w:rsidRPr="00BC055C">
              <w:rPr>
                <w:rFonts w:ascii="仿宋" w:eastAsia="仿宋" w:hAnsi="仿宋" w:cs="宋体" w:hint="eastAsia"/>
                <w:kern w:val="0"/>
                <w:sz w:val="24"/>
                <w:szCs w:val="24"/>
              </w:rPr>
              <w:t>□气候条件</w:t>
            </w:r>
          </w:p>
        </w:tc>
      </w:tr>
      <w:tr w:rsidR="00293690" w:rsidRPr="00BC055C" w:rsidTr="00657C69">
        <w:trPr>
          <w:trHeight w:val="117"/>
          <w:jc w:val="center"/>
        </w:trPr>
        <w:tc>
          <w:tcPr>
            <w:tcW w:w="1564"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1758"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4635" w:type="dxa"/>
            <w:gridSpan w:val="2"/>
            <w:tcBorders>
              <w:top w:val="single" w:sz="4" w:space="0" w:color="auto"/>
              <w:left w:val="nil"/>
              <w:bottom w:val="single" w:sz="4" w:space="0" w:color="auto"/>
              <w:right w:val="single" w:sz="4" w:space="0" w:color="auto"/>
            </w:tcBorders>
            <w:hideMark/>
          </w:tcPr>
          <w:p w:rsidR="00293690" w:rsidRPr="00BC055C" w:rsidRDefault="00293690" w:rsidP="00657C69">
            <w:pPr>
              <w:rPr>
                <w:rFonts w:ascii="仿宋" w:eastAsia="仿宋" w:hAnsi="仿宋"/>
                <w:sz w:val="24"/>
                <w:szCs w:val="24"/>
              </w:rPr>
            </w:pPr>
            <w:r w:rsidRPr="00BC055C">
              <w:rPr>
                <w:rFonts w:ascii="仿宋" w:eastAsia="仿宋" w:hAnsi="仿宋" w:cs="宋体" w:hint="eastAsia"/>
                <w:kern w:val="0"/>
                <w:sz w:val="24"/>
                <w:szCs w:val="24"/>
              </w:rPr>
              <w:t>□承担专业训练</w:t>
            </w:r>
          </w:p>
        </w:tc>
      </w:tr>
      <w:tr w:rsidR="00293690" w:rsidRPr="00BC055C" w:rsidTr="00657C69">
        <w:trPr>
          <w:trHeight w:val="117"/>
          <w:jc w:val="center"/>
        </w:trPr>
        <w:tc>
          <w:tcPr>
            <w:tcW w:w="1564"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1758"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4635" w:type="dxa"/>
            <w:gridSpan w:val="2"/>
            <w:tcBorders>
              <w:top w:val="single" w:sz="4" w:space="0" w:color="auto"/>
              <w:left w:val="nil"/>
              <w:bottom w:val="single" w:sz="4" w:space="0" w:color="auto"/>
              <w:right w:val="single" w:sz="4" w:space="0" w:color="auto"/>
            </w:tcBorders>
            <w:hideMark/>
          </w:tcPr>
          <w:p w:rsidR="00293690" w:rsidRPr="00BC055C" w:rsidRDefault="00293690" w:rsidP="00657C69">
            <w:pPr>
              <w:rPr>
                <w:rFonts w:ascii="仿宋" w:eastAsia="仿宋" w:hAnsi="仿宋"/>
                <w:sz w:val="24"/>
                <w:szCs w:val="24"/>
              </w:rPr>
            </w:pPr>
            <w:r w:rsidRPr="00BC055C">
              <w:rPr>
                <w:rFonts w:ascii="仿宋" w:eastAsia="仿宋" w:hAnsi="仿宋" w:cs="宋体" w:hint="eastAsia"/>
                <w:kern w:val="0"/>
                <w:sz w:val="24"/>
                <w:szCs w:val="24"/>
              </w:rPr>
              <w:t>□竞赛任务</w:t>
            </w:r>
          </w:p>
        </w:tc>
      </w:tr>
      <w:tr w:rsidR="00293690" w:rsidRPr="00BC055C" w:rsidTr="00657C69">
        <w:trPr>
          <w:trHeight w:val="117"/>
          <w:jc w:val="center"/>
        </w:trPr>
        <w:tc>
          <w:tcPr>
            <w:tcW w:w="1564"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1758" w:type="dxa"/>
            <w:vMerge/>
            <w:tcBorders>
              <w:top w:val="single" w:sz="4" w:space="0" w:color="auto"/>
              <w:left w:val="nil"/>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4635" w:type="dxa"/>
            <w:gridSpan w:val="2"/>
            <w:tcBorders>
              <w:top w:val="single" w:sz="4" w:space="0" w:color="auto"/>
              <w:left w:val="nil"/>
              <w:bottom w:val="single" w:sz="4" w:space="0" w:color="auto"/>
              <w:right w:val="single" w:sz="4" w:space="0" w:color="auto"/>
            </w:tcBorders>
            <w:hideMark/>
          </w:tcPr>
          <w:p w:rsidR="00293690" w:rsidRPr="00BC055C" w:rsidRDefault="00293690" w:rsidP="00657C69">
            <w:pPr>
              <w:rPr>
                <w:rFonts w:ascii="仿宋" w:eastAsia="仿宋" w:hAnsi="仿宋"/>
                <w:sz w:val="24"/>
                <w:szCs w:val="24"/>
              </w:rPr>
            </w:pPr>
            <w:r w:rsidRPr="00BC055C">
              <w:rPr>
                <w:rFonts w:ascii="仿宋" w:eastAsia="仿宋" w:hAnsi="仿宋" w:cs="宋体" w:hint="eastAsia"/>
                <w:kern w:val="0"/>
                <w:sz w:val="24"/>
                <w:szCs w:val="24"/>
              </w:rPr>
              <w:t>□其他</w:t>
            </w:r>
          </w:p>
        </w:tc>
      </w:tr>
      <w:tr w:rsidR="00293690" w:rsidRPr="00BC055C" w:rsidTr="00657C69">
        <w:trPr>
          <w:trHeight w:val="324"/>
          <w:jc w:val="center"/>
        </w:trPr>
        <w:tc>
          <w:tcPr>
            <w:tcW w:w="1564"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val="restart"/>
            <w:tcBorders>
              <w:top w:val="nil"/>
              <w:left w:val="single" w:sz="4" w:space="0" w:color="auto"/>
              <w:bottom w:val="nil"/>
              <w:right w:val="single" w:sz="4" w:space="0" w:color="auto"/>
            </w:tcBorders>
            <w:vAlign w:val="bottom"/>
            <w:hideMark/>
          </w:tcPr>
          <w:p w:rsidR="00293690" w:rsidRPr="00BC055C" w:rsidRDefault="00293690" w:rsidP="00657C69">
            <w:pPr>
              <w:widowControl/>
              <w:jc w:val="center"/>
              <w:rPr>
                <w:rFonts w:ascii="仿宋" w:eastAsia="仿宋" w:hAnsi="仿宋"/>
                <w:kern w:val="0"/>
                <w:sz w:val="24"/>
                <w:szCs w:val="24"/>
              </w:rPr>
            </w:pPr>
            <w:r w:rsidRPr="00BC055C">
              <w:rPr>
                <w:rFonts w:ascii="仿宋" w:eastAsia="仿宋" w:hAnsi="仿宋"/>
                <w:kern w:val="0"/>
                <w:sz w:val="24"/>
                <w:szCs w:val="24"/>
              </w:rPr>
              <w:t>3.2</w:t>
            </w: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提供与体育健身相关的配套服务。</w:t>
            </w:r>
          </w:p>
        </w:tc>
      </w:tr>
      <w:tr w:rsidR="00293690" w:rsidRPr="00BC055C" w:rsidTr="00657C69">
        <w:trPr>
          <w:trHeight w:val="324"/>
          <w:jc w:val="center"/>
        </w:trPr>
        <w:tc>
          <w:tcPr>
            <w:tcW w:w="1564"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kern w:val="0"/>
                <w:sz w:val="24"/>
                <w:szCs w:val="24"/>
              </w:rPr>
            </w:pP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开展科学健身推广、体育健身技能培训等服务</w:t>
            </w:r>
          </w:p>
        </w:tc>
      </w:tr>
      <w:tr w:rsidR="00293690" w:rsidRPr="00BC055C" w:rsidTr="00657C69">
        <w:trPr>
          <w:trHeight w:val="324"/>
          <w:jc w:val="center"/>
        </w:trPr>
        <w:tc>
          <w:tcPr>
            <w:tcW w:w="1564"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val="restart"/>
            <w:tcBorders>
              <w:top w:val="nil"/>
              <w:left w:val="single" w:sz="4" w:space="0" w:color="auto"/>
              <w:bottom w:val="single" w:sz="4" w:space="0" w:color="000000"/>
              <w:right w:val="single" w:sz="4" w:space="0" w:color="auto"/>
            </w:tcBorders>
            <w:hideMark/>
          </w:tcPr>
          <w:p w:rsidR="00293690" w:rsidRPr="00BC055C" w:rsidRDefault="00293690" w:rsidP="00657C69">
            <w:pPr>
              <w:widowControl/>
              <w:jc w:val="center"/>
              <w:rPr>
                <w:rFonts w:ascii="仿宋" w:eastAsia="仿宋" w:hAnsi="仿宋" w:cs="宋体"/>
                <w:kern w:val="0"/>
                <w:sz w:val="24"/>
                <w:szCs w:val="24"/>
              </w:rPr>
            </w:pPr>
            <w:r w:rsidRPr="00BC055C">
              <w:rPr>
                <w:rFonts w:ascii="仿宋" w:eastAsia="仿宋" w:hAnsi="仿宋" w:cs="宋体" w:hint="eastAsia"/>
                <w:kern w:val="0"/>
                <w:sz w:val="24"/>
                <w:szCs w:val="24"/>
              </w:rPr>
              <w:t>服务内容</w:t>
            </w: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开展国民体质测试服务</w:t>
            </w:r>
          </w:p>
        </w:tc>
      </w:tr>
      <w:tr w:rsidR="00293690" w:rsidRPr="00BC055C" w:rsidTr="00657C69">
        <w:trPr>
          <w:trHeight w:val="324"/>
          <w:jc w:val="center"/>
        </w:trPr>
        <w:tc>
          <w:tcPr>
            <w:tcW w:w="1564" w:type="dxa"/>
            <w:vMerge/>
            <w:tcBorders>
              <w:top w:val="nil"/>
              <w:left w:val="single" w:sz="4" w:space="0" w:color="auto"/>
              <w:bottom w:val="nil"/>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vMerge/>
            <w:tcBorders>
              <w:top w:val="nil"/>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6393" w:type="dxa"/>
            <w:gridSpan w:val="3"/>
            <w:tcBorders>
              <w:top w:val="nil"/>
              <w:left w:val="nil"/>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举办或承办各类体育赛事、群众体育及文化等活动</w:t>
            </w:r>
          </w:p>
        </w:tc>
      </w:tr>
      <w:tr w:rsidR="00293690" w:rsidRPr="00BC055C" w:rsidTr="00657C69">
        <w:trPr>
          <w:trHeight w:val="324"/>
          <w:jc w:val="center"/>
        </w:trPr>
        <w:tc>
          <w:tcPr>
            <w:tcW w:w="1564" w:type="dxa"/>
            <w:vMerge w:val="restart"/>
            <w:tcBorders>
              <w:top w:val="single" w:sz="4" w:space="0" w:color="auto"/>
              <w:left w:val="single" w:sz="4" w:space="0" w:color="auto"/>
              <w:bottom w:val="single" w:sz="4" w:space="0" w:color="000000"/>
              <w:right w:val="single" w:sz="4" w:space="0" w:color="auto"/>
            </w:tcBorders>
            <w:vAlign w:val="center"/>
            <w:hideMark/>
          </w:tcPr>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四</w:t>
            </w:r>
          </w:p>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商业服务及开发</w:t>
            </w:r>
          </w:p>
        </w:tc>
        <w:tc>
          <w:tcPr>
            <w:tcW w:w="1220" w:type="dxa"/>
            <w:tcBorders>
              <w:top w:val="nil"/>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kern w:val="0"/>
                <w:sz w:val="24"/>
                <w:szCs w:val="24"/>
              </w:rPr>
            </w:pPr>
            <w:r w:rsidRPr="00BC055C">
              <w:rPr>
                <w:rFonts w:ascii="仿宋" w:eastAsia="仿宋" w:hAnsi="仿宋"/>
                <w:kern w:val="0"/>
                <w:sz w:val="24"/>
                <w:szCs w:val="24"/>
              </w:rPr>
              <w:t>4.1</w:t>
            </w:r>
          </w:p>
        </w:tc>
        <w:tc>
          <w:tcPr>
            <w:tcW w:w="6393" w:type="dxa"/>
            <w:gridSpan w:val="3"/>
            <w:tcBorders>
              <w:top w:val="nil"/>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完善配套服务，优化消费环境，提供与健身、竞赛、培训等内容相适应的商业服务</w:t>
            </w:r>
          </w:p>
        </w:tc>
      </w:tr>
      <w:tr w:rsidR="00293690" w:rsidRPr="00BC055C" w:rsidTr="00657C69">
        <w:trPr>
          <w:trHeight w:val="324"/>
          <w:jc w:val="center"/>
        </w:trPr>
        <w:tc>
          <w:tcPr>
            <w:tcW w:w="1564" w:type="dxa"/>
            <w:vMerge/>
            <w:tcBorders>
              <w:top w:val="single" w:sz="4" w:space="0" w:color="auto"/>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tcBorders>
              <w:top w:val="nil"/>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kern w:val="0"/>
                <w:sz w:val="24"/>
                <w:szCs w:val="24"/>
              </w:rPr>
            </w:pPr>
            <w:r w:rsidRPr="00BC055C">
              <w:rPr>
                <w:rFonts w:ascii="仿宋" w:eastAsia="仿宋" w:hAnsi="仿宋" w:cs="宋体" w:hint="eastAsia"/>
                <w:kern w:val="0"/>
                <w:sz w:val="24"/>
                <w:szCs w:val="24"/>
              </w:rPr>
              <w:t>4.2</w:t>
            </w:r>
          </w:p>
        </w:tc>
        <w:tc>
          <w:tcPr>
            <w:tcW w:w="6393" w:type="dxa"/>
            <w:gridSpan w:val="3"/>
            <w:tcBorders>
              <w:top w:val="nil"/>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不得经营含有奢侈、低俗内容的商品和服务</w:t>
            </w:r>
          </w:p>
        </w:tc>
      </w:tr>
      <w:tr w:rsidR="00293690" w:rsidRPr="00BC055C" w:rsidTr="00657C69">
        <w:trPr>
          <w:trHeight w:val="324"/>
          <w:jc w:val="center"/>
        </w:trPr>
        <w:tc>
          <w:tcPr>
            <w:tcW w:w="1564" w:type="dxa"/>
            <w:vMerge/>
            <w:tcBorders>
              <w:top w:val="single" w:sz="4" w:space="0" w:color="auto"/>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tcBorders>
              <w:top w:val="nil"/>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kern w:val="0"/>
                <w:sz w:val="24"/>
                <w:szCs w:val="24"/>
              </w:rPr>
            </w:pPr>
            <w:r w:rsidRPr="00BC055C">
              <w:rPr>
                <w:rFonts w:ascii="仿宋" w:eastAsia="仿宋" w:hAnsi="仿宋" w:cs="宋体" w:hint="eastAsia"/>
                <w:kern w:val="0"/>
                <w:sz w:val="24"/>
                <w:szCs w:val="24"/>
              </w:rPr>
              <w:t>4.3</w:t>
            </w:r>
          </w:p>
        </w:tc>
        <w:tc>
          <w:tcPr>
            <w:tcW w:w="6393" w:type="dxa"/>
            <w:gridSpan w:val="3"/>
            <w:tcBorders>
              <w:top w:val="nil"/>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场馆主体部分（含场地和看台），除进行广告等无形资产开发外，不得占用进行商业开发</w:t>
            </w:r>
          </w:p>
        </w:tc>
      </w:tr>
      <w:tr w:rsidR="00293690" w:rsidRPr="00BC055C" w:rsidTr="00657C69">
        <w:trPr>
          <w:trHeight w:val="324"/>
          <w:jc w:val="center"/>
        </w:trPr>
        <w:tc>
          <w:tcPr>
            <w:tcW w:w="1564" w:type="dxa"/>
            <w:vMerge/>
            <w:tcBorders>
              <w:top w:val="single" w:sz="4" w:space="0" w:color="auto"/>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tcBorders>
              <w:top w:val="nil"/>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kern w:val="0"/>
                <w:sz w:val="24"/>
                <w:szCs w:val="24"/>
              </w:rPr>
            </w:pPr>
            <w:r w:rsidRPr="00BC055C">
              <w:rPr>
                <w:rFonts w:ascii="仿宋" w:eastAsia="仿宋" w:hAnsi="仿宋" w:cs="宋体" w:hint="eastAsia"/>
                <w:kern w:val="0"/>
                <w:sz w:val="24"/>
                <w:szCs w:val="24"/>
              </w:rPr>
              <w:t>4.4</w:t>
            </w:r>
          </w:p>
        </w:tc>
        <w:tc>
          <w:tcPr>
            <w:tcW w:w="6393" w:type="dxa"/>
            <w:gridSpan w:val="3"/>
            <w:tcBorders>
              <w:top w:val="nil"/>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场馆主体部分附属设施，包括除主体部分以外的室内附属用房等，可在不影响设施原有功能的前提下适度进行商业开发</w:t>
            </w:r>
          </w:p>
        </w:tc>
      </w:tr>
      <w:tr w:rsidR="00293690" w:rsidRPr="00BC055C" w:rsidTr="00657C69">
        <w:trPr>
          <w:trHeight w:val="324"/>
          <w:jc w:val="center"/>
        </w:trPr>
        <w:tc>
          <w:tcPr>
            <w:tcW w:w="1564" w:type="dxa"/>
            <w:vMerge/>
            <w:tcBorders>
              <w:top w:val="single" w:sz="4" w:space="0" w:color="auto"/>
              <w:left w:val="single" w:sz="4" w:space="0" w:color="auto"/>
              <w:bottom w:val="single" w:sz="4" w:space="0" w:color="000000"/>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1220" w:type="dxa"/>
            <w:tcBorders>
              <w:top w:val="nil"/>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kern w:val="0"/>
                <w:sz w:val="24"/>
                <w:szCs w:val="24"/>
              </w:rPr>
            </w:pPr>
            <w:r w:rsidRPr="00BC055C">
              <w:rPr>
                <w:rFonts w:ascii="仿宋" w:eastAsia="仿宋" w:hAnsi="仿宋" w:cs="宋体" w:hint="eastAsia"/>
                <w:kern w:val="0"/>
                <w:sz w:val="24"/>
                <w:szCs w:val="24"/>
              </w:rPr>
              <w:t>4.5</w:t>
            </w:r>
          </w:p>
        </w:tc>
        <w:tc>
          <w:tcPr>
            <w:tcW w:w="6393" w:type="dxa"/>
            <w:gridSpan w:val="3"/>
            <w:tcBorders>
              <w:top w:val="nil"/>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场馆配套设施，包括按规划建设的、与体育场馆或场馆群相配套的室内外非体育设施和用房，可结合城市发展需要，根据规划和功能定位进行多元开发</w:t>
            </w:r>
          </w:p>
        </w:tc>
      </w:tr>
      <w:tr w:rsidR="00293690" w:rsidRPr="00BC055C" w:rsidTr="00657C69">
        <w:trPr>
          <w:trHeight w:val="958"/>
          <w:jc w:val="center"/>
        </w:trPr>
        <w:tc>
          <w:tcPr>
            <w:tcW w:w="1564" w:type="dxa"/>
            <w:tcBorders>
              <w:top w:val="single" w:sz="4" w:space="0" w:color="auto"/>
              <w:left w:val="single" w:sz="4" w:space="0" w:color="auto"/>
              <w:bottom w:val="single" w:sz="4" w:space="0" w:color="000000"/>
              <w:right w:val="single" w:sz="4" w:space="0" w:color="auto"/>
            </w:tcBorders>
            <w:vAlign w:val="center"/>
            <w:hideMark/>
          </w:tcPr>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五</w:t>
            </w:r>
          </w:p>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满意度</w:t>
            </w:r>
          </w:p>
        </w:tc>
        <w:tc>
          <w:tcPr>
            <w:tcW w:w="1220" w:type="dxa"/>
            <w:tcBorders>
              <w:top w:val="nil"/>
              <w:left w:val="nil"/>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kern w:val="0"/>
                <w:sz w:val="24"/>
                <w:szCs w:val="24"/>
              </w:rPr>
            </w:pPr>
            <w:r w:rsidRPr="00BC055C">
              <w:rPr>
                <w:rFonts w:ascii="仿宋" w:eastAsia="仿宋" w:hAnsi="仿宋"/>
                <w:kern w:val="0"/>
                <w:sz w:val="24"/>
                <w:szCs w:val="24"/>
              </w:rPr>
              <w:t>5.1</w:t>
            </w:r>
            <w:r w:rsidRPr="00BC055C">
              <w:rPr>
                <w:rFonts w:ascii="仿宋" w:eastAsia="仿宋" w:hAnsi="仿宋" w:cs="宋体" w:hint="eastAsia"/>
                <w:kern w:val="0"/>
                <w:sz w:val="24"/>
                <w:szCs w:val="24"/>
              </w:rPr>
              <w:t>顾客满意度</w:t>
            </w:r>
          </w:p>
        </w:tc>
        <w:tc>
          <w:tcPr>
            <w:tcW w:w="6393" w:type="dxa"/>
            <w:gridSpan w:val="3"/>
            <w:tcBorders>
              <w:top w:val="nil"/>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定期开展测评，并根据反馈意见及时改进，提高服务水平。</w:t>
            </w:r>
          </w:p>
        </w:tc>
      </w:tr>
    </w:tbl>
    <w:p w:rsidR="00293690" w:rsidRPr="00ED7D8E" w:rsidRDefault="00293690" w:rsidP="00293690">
      <w:pPr>
        <w:pStyle w:val="a5"/>
        <w:shd w:val="clear" w:color="auto" w:fill="FFFFFF"/>
        <w:spacing w:before="0" w:beforeAutospacing="0" w:after="0" w:afterAutospacing="0" w:line="560" w:lineRule="exact"/>
        <w:ind w:firstLine="422"/>
        <w:rPr>
          <w:rFonts w:ascii="仿宋" w:eastAsia="仿宋" w:hAnsi="仿宋" w:cs="Times New Roman"/>
          <w:b/>
        </w:rPr>
      </w:pPr>
      <w:r>
        <w:rPr>
          <w:rFonts w:ascii="仿宋" w:eastAsia="仿宋" w:hAnsi="仿宋" w:cs="Times New Roman" w:hint="eastAsia"/>
          <w:b/>
        </w:rPr>
        <w:t>二、</w:t>
      </w:r>
      <w:r w:rsidRPr="00ED7D8E">
        <w:rPr>
          <w:rFonts w:ascii="仿宋" w:eastAsia="仿宋" w:hAnsi="仿宋" w:cs="Times New Roman" w:hint="eastAsia"/>
          <w:b/>
        </w:rPr>
        <w:t>运营管理</w:t>
      </w:r>
      <w:r>
        <w:rPr>
          <w:rFonts w:ascii="仿宋" w:eastAsia="仿宋" w:hAnsi="仿宋" w:cs="Times New Roman" w:hint="eastAsia"/>
          <w:b/>
        </w:rPr>
        <w:t>情况</w:t>
      </w:r>
      <w:bookmarkStart w:id="0" w:name="_GoBack"/>
      <w:bookmarkEnd w:id="0"/>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701"/>
        <w:gridCol w:w="2054"/>
        <w:gridCol w:w="3873"/>
      </w:tblGrid>
      <w:tr w:rsidR="00293690" w:rsidRPr="00BC055C" w:rsidTr="00657C69">
        <w:trPr>
          <w:trHeight w:val="599"/>
          <w:jc w:val="center"/>
        </w:trPr>
        <w:tc>
          <w:tcPr>
            <w:tcW w:w="158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大项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中项</w:t>
            </w: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小项</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细项</w:t>
            </w:r>
          </w:p>
        </w:tc>
      </w:tr>
      <w:tr w:rsidR="00293690" w:rsidRPr="00BC055C" w:rsidTr="00657C69">
        <w:trPr>
          <w:trHeight w:val="505"/>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 xml:space="preserve">一 </w:t>
            </w:r>
          </w:p>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开放情况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1、场地开放</w:t>
            </w: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1.1开放面积</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体育场馆和区域内的公共体育场地、设施用于提供体育及相关服务的面积比例</w:t>
            </w:r>
          </w:p>
        </w:tc>
      </w:tr>
      <w:tr w:rsidR="00293690" w:rsidRPr="00BC055C" w:rsidTr="00657C69">
        <w:trPr>
          <w:trHeight w:val="331"/>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1.2开放天数</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体育场馆和区域内的场地、设施全年开放天数</w:t>
            </w:r>
          </w:p>
        </w:tc>
      </w:tr>
      <w:tr w:rsidR="00293690" w:rsidRPr="00BC055C" w:rsidTr="00657C69">
        <w:trPr>
          <w:trHeight w:val="484"/>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1.3开放时间</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体育场馆、配套设施、户外场地每周开放时间</w:t>
            </w:r>
          </w:p>
        </w:tc>
      </w:tr>
      <w:tr w:rsidR="00293690" w:rsidRPr="00BC055C" w:rsidTr="00657C69">
        <w:trPr>
          <w:trHeight w:val="375"/>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kern w:val="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2、活动承载</w:t>
            </w: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2.1体育赛事</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每年举办或承办体育赛事数量</w:t>
            </w:r>
          </w:p>
        </w:tc>
      </w:tr>
      <w:tr w:rsidR="00293690" w:rsidRPr="00BC055C" w:rsidTr="00657C69">
        <w:trPr>
          <w:trHeight w:val="455"/>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2.2群体活动</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每年举办或承办群体性体育活动（含群众性体育赛事）的数量</w:t>
            </w:r>
          </w:p>
        </w:tc>
      </w:tr>
      <w:tr w:rsidR="00293690" w:rsidRPr="00BC055C" w:rsidTr="00657C69">
        <w:trPr>
          <w:trHeight w:val="702"/>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2.3其他文体及相关活动</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每年举办或承办文化活动、文艺演出、文体讲座、文体展览等活动的数量</w:t>
            </w:r>
          </w:p>
        </w:tc>
      </w:tr>
      <w:tr w:rsidR="00293690" w:rsidRPr="00BC055C" w:rsidTr="00657C69">
        <w:trPr>
          <w:trHeight w:val="702"/>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2.4非体育活动次数</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全年举办的活动中，非体育类活动次数不得超过全年</w:t>
            </w:r>
            <w:proofErr w:type="gramStart"/>
            <w:r w:rsidRPr="00BC055C">
              <w:rPr>
                <w:rFonts w:ascii="仿宋" w:eastAsia="仿宋" w:hAnsi="仿宋" w:cs="宋体" w:hint="eastAsia"/>
                <w:kern w:val="0"/>
                <w:sz w:val="24"/>
                <w:szCs w:val="24"/>
              </w:rPr>
              <w:t>总活动</w:t>
            </w:r>
            <w:proofErr w:type="gramEnd"/>
            <w:r w:rsidRPr="00BC055C">
              <w:rPr>
                <w:rFonts w:ascii="仿宋" w:eastAsia="仿宋" w:hAnsi="仿宋" w:cs="宋体" w:hint="eastAsia"/>
                <w:kern w:val="0"/>
                <w:sz w:val="24"/>
                <w:szCs w:val="24"/>
              </w:rPr>
              <w:t>次数的40%</w:t>
            </w:r>
          </w:p>
        </w:tc>
      </w:tr>
      <w:tr w:rsidR="00293690" w:rsidRPr="00BC055C" w:rsidTr="00657C69">
        <w:trPr>
          <w:trHeight w:val="405"/>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kern w:val="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3、体育服务</w:t>
            </w: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3.1体育培训</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每年体育培训的人次</w:t>
            </w:r>
          </w:p>
        </w:tc>
      </w:tr>
      <w:tr w:rsidR="00293690" w:rsidRPr="00BC055C" w:rsidTr="00657C69">
        <w:trPr>
          <w:trHeight w:val="405"/>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3.2运动健身指导</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每年国民体质测试、运动能力评估和科学健身指导的人次</w:t>
            </w:r>
          </w:p>
        </w:tc>
      </w:tr>
      <w:tr w:rsidR="00293690" w:rsidRPr="00BC055C" w:rsidTr="00657C69">
        <w:trPr>
          <w:trHeight w:val="465"/>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3.3专业训练</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每年承接专业运动队训练累计天数</w:t>
            </w:r>
          </w:p>
        </w:tc>
      </w:tr>
      <w:tr w:rsidR="00293690" w:rsidRPr="00BC055C" w:rsidTr="00657C69">
        <w:trPr>
          <w:trHeight w:val="385"/>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3.4健康管理</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每年开展健身管理的累计人次</w:t>
            </w:r>
          </w:p>
        </w:tc>
      </w:tr>
      <w:tr w:rsidR="00293690" w:rsidRPr="00BC055C" w:rsidTr="00657C69">
        <w:trPr>
          <w:trHeight w:val="570"/>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二</w:t>
            </w:r>
          </w:p>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管理情况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4、管理层</w:t>
            </w: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4.1法人</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pStyle w:val="a5"/>
              <w:shd w:val="clear" w:color="auto" w:fill="FFFFFF"/>
              <w:jc w:val="both"/>
              <w:rPr>
                <w:rFonts w:ascii="仿宋" w:eastAsia="仿宋" w:hAnsi="仿宋"/>
              </w:rPr>
            </w:pPr>
            <w:r w:rsidRPr="00BC055C">
              <w:rPr>
                <w:rFonts w:ascii="仿宋" w:eastAsia="仿宋" w:hAnsi="仿宋" w:hint="eastAsia"/>
              </w:rPr>
              <w:t>完善法人治理结构，建立科学决策机制，对重大事项决策、重要干部任免、重大项目安排、大额资金使用进行集体决策</w:t>
            </w:r>
          </w:p>
        </w:tc>
      </w:tr>
      <w:tr w:rsidR="00293690" w:rsidRPr="00BC055C" w:rsidTr="00657C69">
        <w:trPr>
          <w:trHeight w:val="570"/>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Cs/>
                <w:kern w:val="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5、人才队伍</w:t>
            </w: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5.1学历</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pStyle w:val="a5"/>
              <w:shd w:val="clear" w:color="auto" w:fill="FFFFFF"/>
              <w:jc w:val="both"/>
              <w:rPr>
                <w:rFonts w:ascii="仿宋" w:eastAsia="仿宋" w:hAnsi="仿宋"/>
              </w:rPr>
            </w:pPr>
            <w:r w:rsidRPr="00BC055C">
              <w:rPr>
                <w:rFonts w:ascii="仿宋" w:eastAsia="仿宋" w:hAnsi="仿宋" w:hint="eastAsia"/>
              </w:rPr>
              <w:t>场馆运营单位的员工大专及以上学历人数占总员工人数的比例</w:t>
            </w:r>
          </w:p>
        </w:tc>
      </w:tr>
      <w:tr w:rsidR="00293690" w:rsidRPr="00BC055C" w:rsidTr="00657C69">
        <w:trPr>
          <w:trHeight w:val="445"/>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Cs/>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5.2专业技能</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场馆运营单位的员工拥有三级及以上职业资格或中级及以上专业技术职称人数占总员工人数的比例</w:t>
            </w:r>
          </w:p>
        </w:tc>
      </w:tr>
      <w:tr w:rsidR="00293690" w:rsidRPr="00BC055C" w:rsidTr="00657C69">
        <w:trPr>
          <w:trHeight w:val="445"/>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Cs/>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5.3人才培养和引进</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加强人才培养和引进，完善员工培训体系，建立符合场馆发展的人才队伍</w:t>
            </w:r>
          </w:p>
        </w:tc>
      </w:tr>
      <w:tr w:rsidR="00293690" w:rsidRPr="00BC055C" w:rsidTr="00657C69">
        <w:trPr>
          <w:trHeight w:val="445"/>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Cs/>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足额配备具备专业资质的工程设备、健身指导、医疗救护技术人员。</w:t>
            </w:r>
          </w:p>
        </w:tc>
      </w:tr>
      <w:tr w:rsidR="00293690" w:rsidRPr="00BC055C" w:rsidTr="00657C69">
        <w:trPr>
          <w:trHeight w:val="445"/>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Cs/>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5.4 规范用工</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依法规范用工</w:t>
            </w:r>
          </w:p>
        </w:tc>
      </w:tr>
      <w:tr w:rsidR="00293690" w:rsidRPr="00BC055C" w:rsidTr="00657C69">
        <w:trPr>
          <w:trHeight w:val="365"/>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Cs/>
                <w:kern w:val="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6、规范化</w:t>
            </w: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6.1规范化管理</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pStyle w:val="a5"/>
              <w:shd w:val="clear" w:color="auto" w:fill="FFFFFF"/>
              <w:jc w:val="both"/>
              <w:rPr>
                <w:rFonts w:ascii="仿宋" w:eastAsia="仿宋" w:hAnsi="仿宋"/>
              </w:rPr>
            </w:pPr>
            <w:r w:rsidRPr="00BC055C">
              <w:rPr>
                <w:rFonts w:ascii="仿宋" w:eastAsia="仿宋" w:hAnsi="仿宋" w:hint="eastAsia"/>
              </w:rPr>
              <w:t>管理规范化、标准化程度</w:t>
            </w:r>
          </w:p>
        </w:tc>
      </w:tr>
      <w:tr w:rsidR="00293690" w:rsidRPr="00BC055C" w:rsidTr="00657C69">
        <w:trPr>
          <w:trHeight w:val="365"/>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Cs/>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6.2制定服务规范</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pStyle w:val="a5"/>
              <w:shd w:val="clear" w:color="auto" w:fill="FFFFFF"/>
              <w:jc w:val="both"/>
              <w:rPr>
                <w:rFonts w:ascii="仿宋" w:eastAsia="仿宋" w:hAnsi="仿宋"/>
              </w:rPr>
            </w:pPr>
            <w:r w:rsidRPr="00BC055C">
              <w:rPr>
                <w:rFonts w:ascii="仿宋" w:eastAsia="仿宋" w:hAnsi="仿宋" w:hint="eastAsia"/>
              </w:rPr>
              <w:t>制定服务规范，明确服务标准和流程，配备专职服务人员，提供专业化、标准化、规范化服务</w:t>
            </w:r>
          </w:p>
        </w:tc>
      </w:tr>
      <w:tr w:rsidR="00293690" w:rsidRPr="00BC055C" w:rsidTr="00657C69">
        <w:trPr>
          <w:trHeight w:val="365"/>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Cs/>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6.3服务质量认证</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pStyle w:val="a5"/>
              <w:shd w:val="clear" w:color="auto" w:fill="FFFFFF"/>
              <w:jc w:val="both"/>
              <w:rPr>
                <w:rFonts w:ascii="仿宋" w:eastAsia="仿宋" w:hAnsi="仿宋"/>
              </w:rPr>
            </w:pPr>
            <w:r w:rsidRPr="00BC055C">
              <w:rPr>
                <w:rFonts w:ascii="仿宋" w:eastAsia="仿宋" w:hAnsi="仿宋" w:hint="eastAsia"/>
              </w:rPr>
              <w:t>通过相关认证机构合格评定，获得体育服务认证证书</w:t>
            </w:r>
          </w:p>
        </w:tc>
      </w:tr>
      <w:tr w:rsidR="00293690" w:rsidRPr="00BC055C" w:rsidTr="00657C69">
        <w:trPr>
          <w:trHeight w:val="554"/>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Cs/>
                <w:kern w:val="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7、信息化</w:t>
            </w: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7.1信息化管理</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场馆网络化服务和信息化管理水平</w:t>
            </w:r>
          </w:p>
        </w:tc>
      </w:tr>
      <w:tr w:rsidR="00293690" w:rsidRPr="00BC055C" w:rsidTr="00657C69">
        <w:trPr>
          <w:trHeight w:val="554"/>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Cs/>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7.2健全信息服务系统</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建立客户维护体系</w:t>
            </w:r>
          </w:p>
        </w:tc>
      </w:tr>
      <w:tr w:rsidR="00293690" w:rsidRPr="00BC055C" w:rsidTr="00657C69">
        <w:trPr>
          <w:trHeight w:val="554"/>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Cs/>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建立网络服务平台，提供多样化，人性化服务，提升客户体验</w:t>
            </w:r>
          </w:p>
        </w:tc>
      </w:tr>
      <w:tr w:rsidR="00293690" w:rsidRPr="00BC055C" w:rsidTr="00657C69">
        <w:trPr>
          <w:trHeight w:val="554"/>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Cs/>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7.3 基础信息统计</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 xml:space="preserve">对健身人群和培训人数进行统计和分析，动态调整经营策略和服务方式 </w:t>
            </w:r>
          </w:p>
        </w:tc>
      </w:tr>
      <w:tr w:rsidR="00293690" w:rsidRPr="00BC055C" w:rsidTr="00657C69">
        <w:trPr>
          <w:trHeight w:val="360"/>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 xml:space="preserve">三 </w:t>
            </w:r>
          </w:p>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综合效益</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8、运营效益</w:t>
            </w: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8.1接待总量</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每万平米面积（场馆园区用地面积）全年接待人次（包括健身、培训、参与或观看赛事活动及文艺演出）</w:t>
            </w:r>
          </w:p>
        </w:tc>
      </w:tr>
      <w:tr w:rsidR="00293690" w:rsidRPr="00BC055C" w:rsidTr="00657C69">
        <w:trPr>
          <w:trHeight w:val="360"/>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8.2接待人次增长</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接待人次年增长率（本年度与上年</w:t>
            </w:r>
            <w:r w:rsidRPr="00BC055C">
              <w:rPr>
                <w:rFonts w:ascii="仿宋" w:eastAsia="仿宋" w:hAnsi="仿宋" w:cs="宋体" w:hint="eastAsia"/>
                <w:kern w:val="0"/>
                <w:sz w:val="24"/>
                <w:szCs w:val="24"/>
              </w:rPr>
              <w:lastRenderedPageBreak/>
              <w:t>度相比）</w:t>
            </w:r>
          </w:p>
        </w:tc>
      </w:tr>
      <w:tr w:rsidR="00293690" w:rsidRPr="00BC055C" w:rsidTr="00657C69">
        <w:trPr>
          <w:trHeight w:val="360"/>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8.3收支比例</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经营收入与运营支出的比值</w:t>
            </w:r>
          </w:p>
        </w:tc>
      </w:tr>
      <w:tr w:rsidR="00293690" w:rsidRPr="00BC055C" w:rsidTr="00657C69">
        <w:trPr>
          <w:trHeight w:val="360"/>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8.4收入增长</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场馆经营收入年增长率（本年度与上年度相比）</w:t>
            </w:r>
          </w:p>
        </w:tc>
      </w:tr>
      <w:tr w:rsidR="00293690" w:rsidRPr="00BC055C" w:rsidTr="00657C69">
        <w:trPr>
          <w:trHeight w:val="375"/>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kern w:val="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rPr>
                <w:rFonts w:ascii="仿宋" w:eastAsia="仿宋" w:hAnsi="仿宋" w:cs="宋体"/>
                <w:kern w:val="0"/>
                <w:sz w:val="24"/>
                <w:szCs w:val="24"/>
              </w:rPr>
            </w:pPr>
            <w:r w:rsidRPr="00BC055C">
              <w:rPr>
                <w:rFonts w:ascii="仿宋" w:eastAsia="仿宋" w:hAnsi="仿宋" w:cs="宋体" w:hint="eastAsia"/>
                <w:kern w:val="0"/>
                <w:sz w:val="24"/>
                <w:szCs w:val="24"/>
              </w:rPr>
              <w:t>9、 社会影响</w:t>
            </w: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9.1公益活动</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免费举办或承办体育赛事、群体活动、体育健身技能培训、国民体质测试及其他文体活动参与或服务人次</w:t>
            </w:r>
          </w:p>
        </w:tc>
      </w:tr>
      <w:tr w:rsidR="00293690" w:rsidRPr="00BC055C" w:rsidTr="00657C69">
        <w:trPr>
          <w:trHeight w:val="450"/>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9.2满意度</w:t>
            </w:r>
          </w:p>
        </w:tc>
        <w:tc>
          <w:tcPr>
            <w:tcW w:w="3873" w:type="dxa"/>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定期顾客满意度测评</w:t>
            </w:r>
          </w:p>
        </w:tc>
      </w:tr>
      <w:tr w:rsidR="00293690" w:rsidRPr="00BC055C" w:rsidTr="00657C69">
        <w:trPr>
          <w:trHeight w:val="327"/>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 xml:space="preserve">四 </w:t>
            </w:r>
          </w:p>
          <w:p w:rsidR="00293690" w:rsidRPr="00BC055C" w:rsidRDefault="00293690" w:rsidP="00657C69">
            <w:pPr>
              <w:widowControl/>
              <w:jc w:val="center"/>
              <w:rPr>
                <w:rFonts w:ascii="仿宋" w:eastAsia="仿宋" w:hAnsi="仿宋" w:cs="宋体"/>
                <w:b/>
                <w:bCs/>
                <w:kern w:val="0"/>
                <w:sz w:val="24"/>
                <w:szCs w:val="24"/>
              </w:rPr>
            </w:pPr>
            <w:r w:rsidRPr="00BC055C">
              <w:rPr>
                <w:rFonts w:ascii="仿宋" w:eastAsia="仿宋" w:hAnsi="仿宋" w:cs="宋体" w:hint="eastAsia"/>
                <w:b/>
                <w:bCs/>
                <w:kern w:val="0"/>
                <w:sz w:val="24"/>
                <w:szCs w:val="24"/>
              </w:rPr>
              <w:t>特色</w:t>
            </w:r>
          </w:p>
        </w:tc>
        <w:tc>
          <w:tcPr>
            <w:tcW w:w="7628" w:type="dxa"/>
            <w:gridSpan w:val="3"/>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10、无形资产开发</w:t>
            </w:r>
          </w:p>
        </w:tc>
      </w:tr>
      <w:tr w:rsidR="00293690" w:rsidRPr="00BC055C" w:rsidTr="00657C69">
        <w:trPr>
          <w:trHeight w:val="327"/>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7628" w:type="dxa"/>
            <w:gridSpan w:val="3"/>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11、</w:t>
            </w:r>
            <w:proofErr w:type="gramStart"/>
            <w:r w:rsidRPr="00BC055C">
              <w:rPr>
                <w:rFonts w:ascii="仿宋" w:eastAsia="仿宋" w:hAnsi="仿宋" w:cs="宋体" w:hint="eastAsia"/>
                <w:kern w:val="0"/>
                <w:sz w:val="24"/>
                <w:szCs w:val="24"/>
              </w:rPr>
              <w:t>多元业</w:t>
            </w:r>
            <w:proofErr w:type="gramEnd"/>
            <w:r w:rsidRPr="00BC055C">
              <w:rPr>
                <w:rFonts w:ascii="仿宋" w:eastAsia="仿宋" w:hAnsi="仿宋" w:cs="宋体" w:hint="eastAsia"/>
                <w:kern w:val="0"/>
                <w:sz w:val="24"/>
                <w:szCs w:val="24"/>
              </w:rPr>
              <w:t>态</w:t>
            </w:r>
          </w:p>
        </w:tc>
      </w:tr>
      <w:tr w:rsidR="00293690" w:rsidRPr="00BC055C" w:rsidTr="00657C69">
        <w:trPr>
          <w:trHeight w:val="327"/>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7628" w:type="dxa"/>
            <w:gridSpan w:val="3"/>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12、机制创新</w:t>
            </w:r>
          </w:p>
        </w:tc>
      </w:tr>
      <w:tr w:rsidR="00293690" w:rsidRPr="00BC055C" w:rsidTr="00657C69">
        <w:trPr>
          <w:trHeight w:val="327"/>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7628" w:type="dxa"/>
            <w:gridSpan w:val="3"/>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13、品牌建设</w:t>
            </w:r>
          </w:p>
        </w:tc>
      </w:tr>
      <w:tr w:rsidR="00293690" w:rsidRPr="00BC055C" w:rsidTr="00657C69">
        <w:trPr>
          <w:trHeight w:val="327"/>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7628" w:type="dxa"/>
            <w:gridSpan w:val="3"/>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14体育赛事</w:t>
            </w:r>
          </w:p>
        </w:tc>
      </w:tr>
      <w:tr w:rsidR="00293690" w:rsidRPr="00BC055C" w:rsidTr="00657C69">
        <w:trPr>
          <w:trHeight w:val="327"/>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jc w:val="left"/>
              <w:rPr>
                <w:rFonts w:ascii="仿宋" w:eastAsia="仿宋" w:hAnsi="仿宋" w:cs="宋体"/>
                <w:b/>
                <w:bCs/>
                <w:kern w:val="0"/>
                <w:sz w:val="24"/>
                <w:szCs w:val="24"/>
              </w:rPr>
            </w:pPr>
          </w:p>
        </w:tc>
        <w:tc>
          <w:tcPr>
            <w:tcW w:w="7628" w:type="dxa"/>
            <w:gridSpan w:val="3"/>
            <w:tcBorders>
              <w:top w:val="single" w:sz="4" w:space="0" w:color="auto"/>
              <w:left w:val="single" w:sz="4" w:space="0" w:color="auto"/>
              <w:bottom w:val="single" w:sz="4" w:space="0" w:color="auto"/>
              <w:right w:val="single" w:sz="4" w:space="0" w:color="auto"/>
            </w:tcBorders>
            <w:vAlign w:val="center"/>
            <w:hideMark/>
          </w:tcPr>
          <w:p w:rsidR="00293690" w:rsidRPr="00BC055C" w:rsidRDefault="00293690" w:rsidP="00657C69">
            <w:pPr>
              <w:widowControl/>
              <w:rPr>
                <w:rFonts w:ascii="仿宋" w:eastAsia="仿宋" w:hAnsi="仿宋" w:cs="宋体"/>
                <w:kern w:val="0"/>
                <w:sz w:val="24"/>
                <w:szCs w:val="24"/>
              </w:rPr>
            </w:pPr>
            <w:r w:rsidRPr="00BC055C">
              <w:rPr>
                <w:rFonts w:ascii="仿宋" w:eastAsia="仿宋" w:hAnsi="仿宋" w:cs="宋体" w:hint="eastAsia"/>
                <w:kern w:val="0"/>
                <w:sz w:val="24"/>
                <w:szCs w:val="24"/>
              </w:rPr>
              <w:t>15行业组织作用</w:t>
            </w:r>
          </w:p>
        </w:tc>
      </w:tr>
    </w:tbl>
    <w:p w:rsidR="00293690" w:rsidRDefault="00293690" w:rsidP="00293690">
      <w:pPr>
        <w:pStyle w:val="a5"/>
        <w:shd w:val="clear" w:color="auto" w:fill="FFFFFF"/>
        <w:spacing w:before="0" w:beforeAutospacing="0" w:after="0" w:afterAutospacing="0" w:line="360" w:lineRule="atLeast"/>
        <w:ind w:firstLine="602"/>
        <w:rPr>
          <w:rFonts w:ascii="仿宋" w:eastAsia="仿宋" w:hAnsi="仿宋" w:cs="Times New Roman"/>
          <w:b/>
          <w:sz w:val="30"/>
          <w:szCs w:val="30"/>
        </w:rPr>
      </w:pPr>
    </w:p>
    <w:p w:rsidR="00293690" w:rsidRDefault="00293690" w:rsidP="00293690">
      <w:pPr>
        <w:jc w:val="center"/>
      </w:pPr>
    </w:p>
    <w:sectPr w:rsidR="002936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A35" w:rsidRDefault="00E53A35" w:rsidP="00293690">
      <w:r>
        <w:separator/>
      </w:r>
    </w:p>
  </w:endnote>
  <w:endnote w:type="continuationSeparator" w:id="0">
    <w:p w:rsidR="00E53A35" w:rsidRDefault="00E53A35" w:rsidP="0029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A35" w:rsidRDefault="00E53A35" w:rsidP="00293690">
      <w:r>
        <w:separator/>
      </w:r>
    </w:p>
  </w:footnote>
  <w:footnote w:type="continuationSeparator" w:id="0">
    <w:p w:rsidR="00E53A35" w:rsidRDefault="00E53A35" w:rsidP="00293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17"/>
    <w:rsid w:val="00293690"/>
    <w:rsid w:val="005803EA"/>
    <w:rsid w:val="005E2C17"/>
    <w:rsid w:val="00E53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36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3690"/>
    <w:rPr>
      <w:sz w:val="18"/>
      <w:szCs w:val="18"/>
    </w:rPr>
  </w:style>
  <w:style w:type="paragraph" w:styleId="a4">
    <w:name w:val="footer"/>
    <w:basedOn w:val="a"/>
    <w:link w:val="Char0"/>
    <w:uiPriority w:val="99"/>
    <w:unhideWhenUsed/>
    <w:rsid w:val="00293690"/>
    <w:pPr>
      <w:tabs>
        <w:tab w:val="center" w:pos="4153"/>
        <w:tab w:val="right" w:pos="8306"/>
      </w:tabs>
      <w:snapToGrid w:val="0"/>
      <w:jc w:val="left"/>
    </w:pPr>
    <w:rPr>
      <w:sz w:val="18"/>
      <w:szCs w:val="18"/>
    </w:rPr>
  </w:style>
  <w:style w:type="character" w:customStyle="1" w:styleId="Char0">
    <w:name w:val="页脚 Char"/>
    <w:basedOn w:val="a0"/>
    <w:link w:val="a4"/>
    <w:uiPriority w:val="99"/>
    <w:rsid w:val="00293690"/>
    <w:rPr>
      <w:sz w:val="18"/>
      <w:szCs w:val="18"/>
    </w:rPr>
  </w:style>
  <w:style w:type="paragraph" w:styleId="a5">
    <w:name w:val="Normal (Web)"/>
    <w:basedOn w:val="a"/>
    <w:uiPriority w:val="99"/>
    <w:unhideWhenUsed/>
    <w:rsid w:val="0029369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36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3690"/>
    <w:rPr>
      <w:sz w:val="18"/>
      <w:szCs w:val="18"/>
    </w:rPr>
  </w:style>
  <w:style w:type="paragraph" w:styleId="a4">
    <w:name w:val="footer"/>
    <w:basedOn w:val="a"/>
    <w:link w:val="Char0"/>
    <w:uiPriority w:val="99"/>
    <w:unhideWhenUsed/>
    <w:rsid w:val="00293690"/>
    <w:pPr>
      <w:tabs>
        <w:tab w:val="center" w:pos="4153"/>
        <w:tab w:val="right" w:pos="8306"/>
      </w:tabs>
      <w:snapToGrid w:val="0"/>
      <w:jc w:val="left"/>
    </w:pPr>
    <w:rPr>
      <w:sz w:val="18"/>
      <w:szCs w:val="18"/>
    </w:rPr>
  </w:style>
  <w:style w:type="character" w:customStyle="1" w:styleId="Char0">
    <w:name w:val="页脚 Char"/>
    <w:basedOn w:val="a0"/>
    <w:link w:val="a4"/>
    <w:uiPriority w:val="99"/>
    <w:rsid w:val="00293690"/>
    <w:rPr>
      <w:sz w:val="18"/>
      <w:szCs w:val="18"/>
    </w:rPr>
  </w:style>
  <w:style w:type="paragraph" w:styleId="a5">
    <w:name w:val="Normal (Web)"/>
    <w:basedOn w:val="a"/>
    <w:uiPriority w:val="99"/>
    <w:unhideWhenUsed/>
    <w:rsid w:val="002936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ycl</dc:creator>
  <cp:keywords/>
  <dc:description/>
  <cp:lastModifiedBy>ycl</cp:lastModifiedBy>
  <cp:revision>2</cp:revision>
  <dcterms:created xsi:type="dcterms:W3CDTF">2016-12-15T05:38:00Z</dcterms:created>
  <dcterms:modified xsi:type="dcterms:W3CDTF">2016-12-15T05:40:00Z</dcterms:modified>
</cp:coreProperties>
</file>