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879CC" w14:textId="77777777" w:rsidR="00F252AB" w:rsidRDefault="00F252AB" w:rsidP="00F252AB">
      <w:pPr>
        <w:jc w:val="left"/>
        <w:rPr>
          <w:rFonts w:ascii="黑体" w:eastAsia="黑体" w:hAnsi="黑体" w:cs="黑体"/>
          <w:sz w:val="30"/>
          <w:szCs w:val="30"/>
        </w:rPr>
      </w:pPr>
      <w:bookmarkStart w:id="0" w:name="_GoBack"/>
      <w:bookmarkEnd w:id="0"/>
      <w:r>
        <w:rPr>
          <w:rFonts w:ascii="黑体" w:eastAsia="黑体" w:hAnsi="黑体" w:cs="黑体" w:hint="eastAsia"/>
          <w:sz w:val="30"/>
          <w:szCs w:val="30"/>
        </w:rPr>
        <w:t>附件2</w:t>
      </w:r>
    </w:p>
    <w:p w14:paraId="34E57302" w14:textId="77777777" w:rsidR="00F252AB" w:rsidRDefault="00F252AB" w:rsidP="00F252AB">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科技创新评比办法</w:t>
      </w:r>
    </w:p>
    <w:p w14:paraId="6179DCC8" w14:textId="77777777" w:rsidR="00F252AB" w:rsidRDefault="00F252AB" w:rsidP="00F252AB">
      <w:pPr>
        <w:jc w:val="left"/>
        <w:rPr>
          <w:rFonts w:ascii="方正仿宋_GB2312" w:eastAsia="方正仿宋_GB2312" w:hAnsi="方正仿宋_GB2312" w:cs="方正仿宋_GB2312"/>
          <w:sz w:val="30"/>
          <w:szCs w:val="30"/>
        </w:rPr>
      </w:pPr>
    </w:p>
    <w:p w14:paraId="1B17C252" w14:textId="77777777" w:rsidR="00F252AB" w:rsidRPr="00F252AB" w:rsidRDefault="00F252AB" w:rsidP="00F252AB">
      <w:pPr>
        <w:ind w:firstLineChars="200" w:firstLine="640"/>
        <w:rPr>
          <w:rFonts w:ascii="黑体" w:eastAsia="黑体" w:hAnsi="黑体" w:cs="黑体"/>
          <w:sz w:val="32"/>
          <w:szCs w:val="32"/>
        </w:rPr>
      </w:pPr>
      <w:r w:rsidRPr="00F252AB">
        <w:rPr>
          <w:rFonts w:ascii="黑体" w:eastAsia="黑体" w:hAnsi="黑体" w:cs="黑体" w:hint="eastAsia"/>
          <w:sz w:val="32"/>
          <w:szCs w:val="32"/>
        </w:rPr>
        <w:t>一、设计主题</w:t>
      </w:r>
    </w:p>
    <w:p w14:paraId="79867936"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科技创新作品鼓励围绕以下四个主题设计：</w:t>
      </w:r>
    </w:p>
    <w:p w14:paraId="36E4FA03"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（一）模型飞行器的总体设计、动力装置、结构工艺、飞行控制、起落装置、抓取投放装置创新。</w:t>
      </w:r>
    </w:p>
    <w:p w14:paraId="0958266D"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（二）飞行汽车创新。</w:t>
      </w:r>
    </w:p>
    <w:p w14:paraId="15C6D534"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（三）参赛模型飞行器的飞行训练设备和辅助地面设备创新。</w:t>
      </w:r>
    </w:p>
    <w:p w14:paraId="07EDE8D0"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 xml:space="preserve">（四）新概念模型飞行器的创新设计及其飞行验证。 </w:t>
      </w:r>
    </w:p>
    <w:p w14:paraId="4D091A86" w14:textId="77777777" w:rsidR="00F252AB" w:rsidRPr="00F252AB" w:rsidRDefault="00F252AB" w:rsidP="00F252AB">
      <w:pPr>
        <w:ind w:firstLineChars="200" w:firstLine="640"/>
        <w:rPr>
          <w:rFonts w:ascii="黑体" w:eastAsia="黑体" w:hAnsi="黑体" w:cs="黑体"/>
          <w:sz w:val="32"/>
          <w:szCs w:val="32"/>
        </w:rPr>
      </w:pPr>
      <w:r w:rsidRPr="00F252AB">
        <w:rPr>
          <w:rFonts w:ascii="黑体" w:eastAsia="黑体" w:hAnsi="黑体" w:cs="黑体" w:hint="eastAsia"/>
          <w:sz w:val="32"/>
          <w:szCs w:val="32"/>
        </w:rPr>
        <w:t>二、评奖类别</w:t>
      </w:r>
    </w:p>
    <w:p w14:paraId="714B71E6" w14:textId="77777777" w:rsidR="00F252AB" w:rsidRPr="00F252AB" w:rsidRDefault="00F252AB" w:rsidP="00F252AB">
      <w:pPr>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 xml:space="preserve">    （一）评奖类别分为参赛项目类别和非参赛项目类别。</w:t>
      </w:r>
    </w:p>
    <w:p w14:paraId="765D81FB"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参赛项目类别有：总体设计、动力装置、结构工艺、飞行控制、起落装置、抓取投放装置、飞行汽车。</w:t>
      </w:r>
    </w:p>
    <w:p w14:paraId="7C507D14"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非参赛项目类别有：飞行训练设备、辅助地面设备、新概念模型飞行器。</w:t>
      </w:r>
    </w:p>
    <w:p w14:paraId="36DB750F"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（二）各单位根据自己项目的创新点对照上述类别进行申报，如创新点与申报类别不符，将不予评比。</w:t>
      </w:r>
    </w:p>
    <w:p w14:paraId="1C267F9E" w14:textId="77777777" w:rsidR="00F252AB" w:rsidRPr="00F252AB" w:rsidRDefault="00F252AB" w:rsidP="00F252AB">
      <w:pPr>
        <w:ind w:firstLineChars="200" w:firstLine="640"/>
        <w:rPr>
          <w:rFonts w:ascii="黑体" w:eastAsia="黑体" w:hAnsi="黑体" w:cs="黑体"/>
          <w:sz w:val="32"/>
          <w:szCs w:val="32"/>
        </w:rPr>
      </w:pPr>
      <w:r w:rsidRPr="00F252AB">
        <w:rPr>
          <w:rFonts w:ascii="黑体" w:eastAsia="黑体" w:hAnsi="黑体" w:cs="黑体" w:hint="eastAsia"/>
          <w:sz w:val="32"/>
          <w:szCs w:val="32"/>
        </w:rPr>
        <w:t>三、评奖项目的申请</w:t>
      </w:r>
    </w:p>
    <w:p w14:paraId="0BFA8899"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（一）申请截止日期为2022年12月3日。</w:t>
      </w:r>
    </w:p>
    <w:p w14:paraId="255711E7"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（二）各单位可申报评比项目的数量由上一年度评比结</w:t>
      </w:r>
      <w:r w:rsidRPr="00F252AB">
        <w:rPr>
          <w:rFonts w:ascii="仿宋_GB2312" w:eastAsia="仿宋_GB2312" w:hAnsi="方正仿宋_GB2312" w:cs="方正仿宋_GB2312" w:hint="eastAsia"/>
          <w:sz w:val="32"/>
          <w:szCs w:val="32"/>
        </w:rPr>
        <w:lastRenderedPageBreak/>
        <w:t>果决定。最高获奖等次为一等奖的单位可报3项；最高获奖等次为二等奖和三等奖的单位可报2项；其他单位可报1项。每项上报的人员最多3人。</w:t>
      </w:r>
    </w:p>
    <w:p w14:paraId="185686DD"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（三）如申报的评奖类别与参评作品不符，将不予评比。</w:t>
      </w:r>
    </w:p>
    <w:p w14:paraId="4A808BC0"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（四）参加评奖的作品必须由作者自行研发设计，参赛高校应出具纸质证明文件（证明参赛作品为作者自行研发设计）并加盖公章（学院章、团委章均可），如比赛中不能出具纸质证明，将不予评比。</w:t>
      </w:r>
    </w:p>
    <w:p w14:paraId="407E18D2"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（五）参加评奖的作品须在正式报名截止前申报，比赛期间临时申请一概不予授理。</w:t>
      </w:r>
    </w:p>
    <w:p w14:paraId="408B027C"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（六）作品申报</w:t>
      </w:r>
    </w:p>
    <w:p w14:paraId="2FEB32DA"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第一步：填写评奖项目申请表，制作展示创新点及完整工作过程的视频（视频格式仅限AVI、MOV、MP4、3GP，清晰度不低于1080P，时间不超过2分钟），制作演示PPT（不超过15页，PPT并非必要报名材料）。</w:t>
      </w:r>
    </w:p>
    <w:p w14:paraId="6D0AACEF"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第二步：将申请表、视频、PPT等报名材料放入“单位名称+科技创新评比”文件夹发送到邮箱：keyanlei@126.com。</w:t>
      </w:r>
    </w:p>
    <w:p w14:paraId="4D994190"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注意：一支代表队报名多个科技创新评比项目时请在科技创新评比文件夹中分别放入子文件夹，子文件夹名称须为“科技创新评比+单位名称+作品名称”。</w:t>
      </w:r>
    </w:p>
    <w:p w14:paraId="0B750B28"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（七）下列项目请勿提交评审：</w:t>
      </w:r>
    </w:p>
    <w:p w14:paraId="2439A8D8"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1.不属于飞行器模型作品的科技创新项目；</w:t>
      </w:r>
    </w:p>
    <w:p w14:paraId="530F197E"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lastRenderedPageBreak/>
        <w:t>2.涉及内容需保密的；</w:t>
      </w:r>
    </w:p>
    <w:p w14:paraId="0551EB5E"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3.获得国家或省部级基金等资助的；</w:t>
      </w:r>
    </w:p>
    <w:p w14:paraId="32BF1A8A"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4.已经获得国家或省部级奖励的；</w:t>
      </w:r>
    </w:p>
    <w:p w14:paraId="6869EC1C"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5.未参加比赛，又不能提供录像或进行现场表演等的。</w:t>
      </w:r>
    </w:p>
    <w:p w14:paraId="4293CF0E" w14:textId="77777777" w:rsidR="00F252AB" w:rsidRPr="00F252AB" w:rsidRDefault="00F252AB" w:rsidP="00F252AB">
      <w:pPr>
        <w:ind w:firstLineChars="200" w:firstLine="640"/>
        <w:rPr>
          <w:rFonts w:ascii="黑体" w:eastAsia="黑体" w:hAnsi="黑体" w:cs="黑体"/>
          <w:sz w:val="32"/>
          <w:szCs w:val="32"/>
        </w:rPr>
      </w:pPr>
      <w:r w:rsidRPr="00F252AB">
        <w:rPr>
          <w:rFonts w:ascii="黑体" w:eastAsia="黑体" w:hAnsi="黑体" w:cs="黑体" w:hint="eastAsia"/>
          <w:sz w:val="32"/>
          <w:szCs w:val="32"/>
        </w:rPr>
        <w:t>四、评审原则</w:t>
      </w:r>
    </w:p>
    <w:p w14:paraId="3B7B209B"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（一）评审过程中综合考虑作品的创新性、科学性、实用性和现实意义等因素进行评定。</w:t>
      </w:r>
    </w:p>
    <w:p w14:paraId="7D9EAFF3"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（二）评委会在公平、公正的基础上，注重于为我国培养具有创新意识和创新能力的后备人才。</w:t>
      </w:r>
    </w:p>
    <w:p w14:paraId="4BD0EEB8" w14:textId="77777777" w:rsidR="00F252AB" w:rsidRPr="00F252AB" w:rsidRDefault="00F252AB" w:rsidP="00F252AB">
      <w:pPr>
        <w:ind w:firstLineChars="200" w:firstLine="640"/>
        <w:rPr>
          <w:rFonts w:ascii="黑体" w:eastAsia="黑体" w:hAnsi="黑体" w:cs="黑体"/>
          <w:sz w:val="32"/>
          <w:szCs w:val="32"/>
        </w:rPr>
      </w:pPr>
      <w:r w:rsidRPr="00F252AB">
        <w:rPr>
          <w:rFonts w:ascii="黑体" w:eastAsia="黑体" w:hAnsi="黑体" w:cs="黑体" w:hint="eastAsia"/>
          <w:sz w:val="32"/>
          <w:szCs w:val="32"/>
        </w:rPr>
        <w:t>五、评审流程</w:t>
      </w:r>
    </w:p>
    <w:p w14:paraId="2962E2FC"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（一）材料审核：评委会将对各项目提交的申报材料进行审核。对于介绍内容不符合申报要求的作品，评委会有权要求相关单位补充申报材料，甚至取消评比资格。</w:t>
      </w:r>
    </w:p>
    <w:p w14:paraId="51AAA4BA"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（二）合议：评委会合议产生各奖项。合议实行保密制度。</w:t>
      </w:r>
    </w:p>
    <w:p w14:paraId="1A7E62D7" w14:textId="77777777" w:rsidR="00F252AB" w:rsidRPr="00F252AB" w:rsidRDefault="00F252AB" w:rsidP="00F252AB">
      <w:pPr>
        <w:ind w:firstLineChars="200" w:firstLine="640"/>
        <w:rPr>
          <w:rFonts w:ascii="仿宋_GB2312" w:eastAsia="仿宋_GB2312" w:hAnsi="方正仿宋_GB2312" w:cs="方正仿宋_GB2312"/>
          <w:sz w:val="32"/>
          <w:szCs w:val="32"/>
        </w:rPr>
      </w:pPr>
      <w:r w:rsidRPr="00F252AB">
        <w:rPr>
          <w:rFonts w:ascii="仿宋_GB2312" w:eastAsia="仿宋_GB2312" w:hAnsi="方正仿宋_GB2312" w:cs="方正仿宋_GB2312" w:hint="eastAsia"/>
          <w:sz w:val="32"/>
          <w:szCs w:val="32"/>
        </w:rPr>
        <w:t>（三）公布结果：评比结果将在国家体育总局航管中心网站公布（https://www.sport.gov.cn/hgzx/）。</w:t>
      </w:r>
    </w:p>
    <w:p w14:paraId="7DA2A1D3" w14:textId="77777777" w:rsidR="00F252AB" w:rsidRPr="00F252AB" w:rsidRDefault="00F252AB" w:rsidP="00F252AB">
      <w:pPr>
        <w:ind w:firstLineChars="200" w:firstLine="640"/>
        <w:rPr>
          <w:rFonts w:ascii="黑体" w:eastAsia="黑体" w:hAnsi="黑体" w:cs="黑体"/>
          <w:sz w:val="32"/>
          <w:szCs w:val="32"/>
        </w:rPr>
      </w:pPr>
      <w:r w:rsidRPr="00F252AB">
        <w:rPr>
          <w:rFonts w:ascii="黑体" w:eastAsia="黑体" w:hAnsi="黑体" w:cs="黑体" w:hint="eastAsia"/>
          <w:sz w:val="32"/>
          <w:szCs w:val="32"/>
        </w:rPr>
        <w:t>六、本评比办法解释权归国家体育总局航管中心所有</w:t>
      </w:r>
    </w:p>
    <w:p w14:paraId="6327260B" w14:textId="77777777" w:rsidR="00F252AB" w:rsidRDefault="00F252AB" w:rsidP="00F252AB"/>
    <w:p w14:paraId="6FEB60B7" w14:textId="77777777" w:rsidR="00F252AB" w:rsidRDefault="00F252AB" w:rsidP="00F252AB"/>
    <w:p w14:paraId="33EA3BD3" w14:textId="77777777" w:rsidR="00F252AB" w:rsidRDefault="00F252AB" w:rsidP="00F252AB"/>
    <w:p w14:paraId="3C05E47F" w14:textId="77777777" w:rsidR="00F252AB" w:rsidRDefault="00F252AB" w:rsidP="00F252AB"/>
    <w:p w14:paraId="491BA39E" w14:textId="77777777" w:rsidR="00F252AB" w:rsidRDefault="00F252AB" w:rsidP="00F252AB"/>
    <w:p w14:paraId="4460C92D" w14:textId="77777777" w:rsidR="00F252AB" w:rsidRDefault="00F252AB" w:rsidP="00F252AB"/>
    <w:p w14:paraId="5012A8F3" w14:textId="77777777" w:rsidR="00F252AB" w:rsidRDefault="00F252AB" w:rsidP="00F252AB"/>
    <w:p w14:paraId="76E857CD" w14:textId="77777777" w:rsidR="00F252AB" w:rsidRDefault="00F252AB" w:rsidP="00F252AB"/>
    <w:p w14:paraId="4A7D5865" w14:textId="77777777" w:rsidR="00F252AB" w:rsidRDefault="00F252AB" w:rsidP="00F252AB">
      <w:pPr>
        <w:ind w:firstLine="275"/>
        <w:jc w:val="left"/>
      </w:pPr>
    </w:p>
    <w:p w14:paraId="45B4FD86" w14:textId="77777777" w:rsidR="00F252AB" w:rsidRPr="009B021F" w:rsidRDefault="00F252AB" w:rsidP="00F252AB">
      <w:pPr>
        <w:jc w:val="center"/>
        <w:rPr>
          <w:rFonts w:ascii="黑体" w:eastAsia="黑体" w:hAnsi="黑体" w:cs="黑体"/>
          <w:bCs/>
          <w:color w:val="000000"/>
          <w:sz w:val="36"/>
          <w:szCs w:val="36"/>
        </w:rPr>
      </w:pPr>
      <w:r w:rsidRPr="009B021F">
        <w:rPr>
          <w:rFonts w:ascii="黑体" w:eastAsia="黑体" w:hAnsi="黑体" w:cs="黑体" w:hint="eastAsia"/>
          <w:bCs/>
          <w:color w:val="000000"/>
          <w:sz w:val="36"/>
          <w:szCs w:val="36"/>
        </w:rPr>
        <w:t>CADC科技创新评比评奖项目申报表</w:t>
      </w:r>
    </w:p>
    <w:p w14:paraId="4B6EC78F" w14:textId="77777777" w:rsidR="00F252AB" w:rsidRDefault="00F252AB" w:rsidP="00F252AB">
      <w:pPr>
        <w:spacing w:beforeLines="50" w:before="156"/>
        <w:rPr>
          <w:rFonts w:ascii="仿宋" w:eastAsia="仿宋" w:hAnsi="仿宋"/>
          <w:color w:val="000000"/>
          <w:sz w:val="32"/>
          <w:szCs w:val="32"/>
        </w:rPr>
      </w:pPr>
      <w:r>
        <w:rPr>
          <w:rFonts w:ascii="仿宋" w:eastAsia="仿宋" w:hAnsi="仿宋" w:hint="eastAsia"/>
          <w:color w:val="000000"/>
          <w:sz w:val="32"/>
          <w:szCs w:val="32"/>
        </w:rPr>
        <w:t>（单位公章）</w:t>
      </w:r>
    </w:p>
    <w:tbl>
      <w:tblPr>
        <w:tblW w:w="9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3"/>
        <w:gridCol w:w="651"/>
        <w:gridCol w:w="1050"/>
        <w:gridCol w:w="680"/>
        <w:gridCol w:w="1163"/>
        <w:gridCol w:w="2097"/>
      </w:tblGrid>
      <w:tr w:rsidR="00F252AB" w14:paraId="07D79E03" w14:textId="77777777" w:rsidTr="00990EBD">
        <w:trPr>
          <w:trHeight w:val="367"/>
        </w:trPr>
        <w:tc>
          <w:tcPr>
            <w:tcW w:w="1843" w:type="dxa"/>
            <w:vAlign w:val="center"/>
          </w:tcPr>
          <w:p w14:paraId="73EA9688"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作品名称</w:t>
            </w:r>
          </w:p>
        </w:tc>
        <w:tc>
          <w:tcPr>
            <w:tcW w:w="7484" w:type="dxa"/>
            <w:gridSpan w:val="6"/>
            <w:vAlign w:val="center"/>
          </w:tcPr>
          <w:p w14:paraId="099DDA98" w14:textId="77777777" w:rsidR="00F252AB" w:rsidRDefault="00F252AB" w:rsidP="00990EBD">
            <w:pPr>
              <w:jc w:val="center"/>
              <w:rPr>
                <w:rFonts w:ascii="仿宋" w:eastAsia="仿宋" w:hAnsi="仿宋"/>
                <w:color w:val="000000"/>
                <w:sz w:val="32"/>
                <w:szCs w:val="32"/>
              </w:rPr>
            </w:pPr>
          </w:p>
        </w:tc>
      </w:tr>
      <w:tr w:rsidR="00F252AB" w14:paraId="24974369" w14:textId="77777777" w:rsidTr="00990EBD">
        <w:trPr>
          <w:trHeight w:val="359"/>
        </w:trPr>
        <w:tc>
          <w:tcPr>
            <w:tcW w:w="1843" w:type="dxa"/>
            <w:vAlign w:val="center"/>
          </w:tcPr>
          <w:p w14:paraId="75D593AE"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学校名称</w:t>
            </w:r>
          </w:p>
        </w:tc>
        <w:tc>
          <w:tcPr>
            <w:tcW w:w="7484" w:type="dxa"/>
            <w:gridSpan w:val="6"/>
            <w:vAlign w:val="center"/>
          </w:tcPr>
          <w:p w14:paraId="1D8F7C10" w14:textId="77777777" w:rsidR="00F252AB" w:rsidRDefault="00F252AB" w:rsidP="00990EBD">
            <w:pPr>
              <w:jc w:val="center"/>
              <w:rPr>
                <w:rFonts w:ascii="仿宋" w:eastAsia="仿宋" w:hAnsi="仿宋"/>
                <w:color w:val="000000"/>
                <w:sz w:val="32"/>
                <w:szCs w:val="32"/>
              </w:rPr>
            </w:pPr>
          </w:p>
        </w:tc>
      </w:tr>
      <w:tr w:rsidR="00F252AB" w14:paraId="2AE98A91" w14:textId="77777777" w:rsidTr="00F252AB">
        <w:trPr>
          <w:trHeight w:val="365"/>
        </w:trPr>
        <w:tc>
          <w:tcPr>
            <w:tcW w:w="1843" w:type="dxa"/>
            <w:vAlign w:val="center"/>
          </w:tcPr>
          <w:p w14:paraId="5A01E590"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第一作者</w:t>
            </w:r>
          </w:p>
        </w:tc>
        <w:tc>
          <w:tcPr>
            <w:tcW w:w="1843" w:type="dxa"/>
            <w:vAlign w:val="center"/>
          </w:tcPr>
          <w:p w14:paraId="15D0BE06"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第二作者</w:t>
            </w:r>
          </w:p>
        </w:tc>
        <w:tc>
          <w:tcPr>
            <w:tcW w:w="1701" w:type="dxa"/>
            <w:gridSpan w:val="2"/>
            <w:vAlign w:val="center"/>
          </w:tcPr>
          <w:p w14:paraId="0416B790"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第三作者</w:t>
            </w:r>
          </w:p>
        </w:tc>
        <w:tc>
          <w:tcPr>
            <w:tcW w:w="1843" w:type="dxa"/>
            <w:gridSpan w:val="2"/>
            <w:vAlign w:val="center"/>
          </w:tcPr>
          <w:p w14:paraId="768CB872"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指导教师1</w:t>
            </w:r>
          </w:p>
        </w:tc>
        <w:tc>
          <w:tcPr>
            <w:tcW w:w="2097" w:type="dxa"/>
            <w:vAlign w:val="center"/>
          </w:tcPr>
          <w:p w14:paraId="0F8CE2E8"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指导教师2</w:t>
            </w:r>
          </w:p>
        </w:tc>
      </w:tr>
      <w:tr w:rsidR="00F252AB" w14:paraId="4D11D583" w14:textId="77777777" w:rsidTr="00F252AB">
        <w:trPr>
          <w:trHeight w:val="358"/>
        </w:trPr>
        <w:tc>
          <w:tcPr>
            <w:tcW w:w="1843" w:type="dxa"/>
            <w:vAlign w:val="center"/>
          </w:tcPr>
          <w:p w14:paraId="5C759D90" w14:textId="77777777" w:rsidR="00F252AB" w:rsidRDefault="00F252AB" w:rsidP="00990EBD">
            <w:pPr>
              <w:jc w:val="center"/>
              <w:rPr>
                <w:rFonts w:ascii="仿宋" w:eastAsia="仿宋" w:hAnsi="仿宋"/>
                <w:color w:val="000000"/>
                <w:sz w:val="32"/>
                <w:szCs w:val="32"/>
              </w:rPr>
            </w:pPr>
          </w:p>
        </w:tc>
        <w:tc>
          <w:tcPr>
            <w:tcW w:w="1843" w:type="dxa"/>
            <w:vAlign w:val="center"/>
          </w:tcPr>
          <w:p w14:paraId="272A82B1" w14:textId="77777777" w:rsidR="00F252AB" w:rsidRDefault="00F252AB" w:rsidP="00990EBD">
            <w:pPr>
              <w:jc w:val="center"/>
              <w:rPr>
                <w:rFonts w:ascii="仿宋" w:eastAsia="仿宋" w:hAnsi="仿宋"/>
                <w:color w:val="000000"/>
                <w:sz w:val="32"/>
                <w:szCs w:val="32"/>
              </w:rPr>
            </w:pPr>
          </w:p>
        </w:tc>
        <w:tc>
          <w:tcPr>
            <w:tcW w:w="1701" w:type="dxa"/>
            <w:gridSpan w:val="2"/>
            <w:vAlign w:val="center"/>
          </w:tcPr>
          <w:p w14:paraId="24E490ED" w14:textId="77777777" w:rsidR="00F252AB" w:rsidRDefault="00F252AB" w:rsidP="00990EBD">
            <w:pPr>
              <w:jc w:val="center"/>
              <w:rPr>
                <w:rFonts w:ascii="仿宋" w:eastAsia="仿宋" w:hAnsi="仿宋"/>
                <w:color w:val="000000"/>
                <w:sz w:val="32"/>
                <w:szCs w:val="32"/>
              </w:rPr>
            </w:pPr>
          </w:p>
        </w:tc>
        <w:tc>
          <w:tcPr>
            <w:tcW w:w="1843" w:type="dxa"/>
            <w:gridSpan w:val="2"/>
            <w:vAlign w:val="center"/>
          </w:tcPr>
          <w:p w14:paraId="6F9898A8" w14:textId="77777777" w:rsidR="00F252AB" w:rsidRDefault="00F252AB" w:rsidP="00990EBD">
            <w:pPr>
              <w:jc w:val="center"/>
              <w:rPr>
                <w:rFonts w:ascii="仿宋" w:eastAsia="仿宋" w:hAnsi="仿宋"/>
                <w:color w:val="000000"/>
                <w:sz w:val="32"/>
                <w:szCs w:val="32"/>
              </w:rPr>
            </w:pPr>
          </w:p>
        </w:tc>
        <w:tc>
          <w:tcPr>
            <w:tcW w:w="2097" w:type="dxa"/>
            <w:vAlign w:val="center"/>
          </w:tcPr>
          <w:p w14:paraId="4C254696" w14:textId="77777777" w:rsidR="00F252AB" w:rsidRDefault="00F252AB" w:rsidP="00990EBD">
            <w:pPr>
              <w:jc w:val="center"/>
              <w:rPr>
                <w:rFonts w:ascii="仿宋" w:eastAsia="仿宋" w:hAnsi="仿宋"/>
                <w:color w:val="000000"/>
                <w:sz w:val="32"/>
                <w:szCs w:val="32"/>
              </w:rPr>
            </w:pPr>
          </w:p>
        </w:tc>
      </w:tr>
      <w:tr w:rsidR="00F252AB" w14:paraId="528C31BE" w14:textId="77777777" w:rsidTr="00990EBD">
        <w:trPr>
          <w:trHeight w:val="363"/>
        </w:trPr>
        <w:tc>
          <w:tcPr>
            <w:tcW w:w="1843" w:type="dxa"/>
            <w:vAlign w:val="center"/>
          </w:tcPr>
          <w:p w14:paraId="4038E772"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评奖类别</w:t>
            </w:r>
          </w:p>
        </w:tc>
        <w:tc>
          <w:tcPr>
            <w:tcW w:w="2494" w:type="dxa"/>
            <w:gridSpan w:val="2"/>
            <w:vAlign w:val="center"/>
          </w:tcPr>
          <w:p w14:paraId="6213C69F" w14:textId="77777777" w:rsidR="00F252AB" w:rsidRDefault="00F252AB" w:rsidP="00990EBD">
            <w:pPr>
              <w:jc w:val="center"/>
              <w:rPr>
                <w:rFonts w:ascii="仿宋" w:eastAsia="仿宋" w:hAnsi="仿宋"/>
                <w:color w:val="000000"/>
                <w:sz w:val="32"/>
                <w:szCs w:val="32"/>
              </w:rPr>
            </w:pPr>
          </w:p>
        </w:tc>
        <w:tc>
          <w:tcPr>
            <w:tcW w:w="1730" w:type="dxa"/>
            <w:gridSpan w:val="2"/>
            <w:vAlign w:val="center"/>
          </w:tcPr>
          <w:p w14:paraId="2BB7A32C"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参赛项目</w:t>
            </w:r>
          </w:p>
        </w:tc>
        <w:tc>
          <w:tcPr>
            <w:tcW w:w="3260" w:type="dxa"/>
            <w:gridSpan w:val="2"/>
            <w:vAlign w:val="center"/>
          </w:tcPr>
          <w:p w14:paraId="3EFB878E" w14:textId="77777777" w:rsidR="00F252AB" w:rsidRDefault="00F252AB" w:rsidP="00990EBD">
            <w:pPr>
              <w:jc w:val="center"/>
              <w:rPr>
                <w:rFonts w:ascii="仿宋" w:eastAsia="仿宋" w:hAnsi="仿宋"/>
                <w:color w:val="000000"/>
                <w:sz w:val="24"/>
              </w:rPr>
            </w:pPr>
            <w:r>
              <w:rPr>
                <w:rFonts w:ascii="仿宋" w:eastAsia="仿宋" w:hAnsi="仿宋" w:hint="eastAsia"/>
                <w:color w:val="000000"/>
                <w:sz w:val="24"/>
              </w:rPr>
              <w:t>仅申报参赛项目类别时填写</w:t>
            </w:r>
          </w:p>
        </w:tc>
      </w:tr>
      <w:tr w:rsidR="00F252AB" w14:paraId="7E8A45B0" w14:textId="77777777" w:rsidTr="00990EBD">
        <w:trPr>
          <w:trHeight w:val="369"/>
        </w:trPr>
        <w:tc>
          <w:tcPr>
            <w:tcW w:w="9327" w:type="dxa"/>
            <w:gridSpan w:val="7"/>
            <w:vAlign w:val="center"/>
          </w:tcPr>
          <w:p w14:paraId="675D3A16" w14:textId="77777777" w:rsidR="00F252AB" w:rsidRDefault="00F252AB" w:rsidP="00990EBD">
            <w:pPr>
              <w:jc w:val="center"/>
              <w:rPr>
                <w:rFonts w:ascii="仿宋" w:eastAsia="仿宋" w:hAnsi="仿宋"/>
                <w:color w:val="000000"/>
                <w:sz w:val="32"/>
                <w:szCs w:val="32"/>
              </w:rPr>
            </w:pPr>
            <w:r>
              <w:rPr>
                <w:rFonts w:ascii="仿宋" w:eastAsia="仿宋" w:hAnsi="仿宋" w:hint="eastAsia"/>
                <w:color w:val="000000"/>
                <w:sz w:val="32"/>
                <w:szCs w:val="32"/>
              </w:rPr>
              <w:t>申   请   理   由</w:t>
            </w:r>
          </w:p>
        </w:tc>
      </w:tr>
      <w:tr w:rsidR="00F252AB" w14:paraId="3D6029F6" w14:textId="77777777" w:rsidTr="00990EBD">
        <w:trPr>
          <w:trHeight w:val="3734"/>
        </w:trPr>
        <w:tc>
          <w:tcPr>
            <w:tcW w:w="9327" w:type="dxa"/>
            <w:gridSpan w:val="7"/>
          </w:tcPr>
          <w:p w14:paraId="19A08021" w14:textId="77777777" w:rsidR="00F252AB" w:rsidRDefault="00F252AB" w:rsidP="00990EBD">
            <w:pPr>
              <w:rPr>
                <w:rFonts w:ascii="仿宋" w:eastAsia="仿宋" w:hAnsi="仿宋"/>
                <w:color w:val="000000"/>
                <w:sz w:val="32"/>
                <w:szCs w:val="32"/>
              </w:rPr>
            </w:pPr>
            <w:r>
              <w:rPr>
                <w:rFonts w:ascii="仿宋" w:eastAsia="仿宋" w:hAnsi="仿宋" w:hint="eastAsia"/>
                <w:color w:val="000000"/>
                <w:sz w:val="32"/>
                <w:szCs w:val="32"/>
              </w:rPr>
              <w:t>作品简介（项目背景，研究内容，技术指标，主要成果）</w:t>
            </w:r>
          </w:p>
        </w:tc>
      </w:tr>
      <w:tr w:rsidR="00F252AB" w14:paraId="2144A3C0" w14:textId="77777777" w:rsidTr="00990EBD">
        <w:trPr>
          <w:trHeight w:val="3667"/>
        </w:trPr>
        <w:tc>
          <w:tcPr>
            <w:tcW w:w="9327" w:type="dxa"/>
            <w:gridSpan w:val="7"/>
          </w:tcPr>
          <w:p w14:paraId="2D369025" w14:textId="77777777" w:rsidR="00F252AB" w:rsidRDefault="00F252AB" w:rsidP="00990EBD">
            <w:pPr>
              <w:rPr>
                <w:rFonts w:ascii="仿宋" w:eastAsia="仿宋" w:hAnsi="仿宋"/>
                <w:color w:val="000000"/>
                <w:sz w:val="32"/>
                <w:szCs w:val="32"/>
              </w:rPr>
            </w:pPr>
            <w:r>
              <w:rPr>
                <w:rFonts w:ascii="仿宋" w:eastAsia="仿宋" w:hAnsi="仿宋" w:hint="eastAsia"/>
                <w:color w:val="000000"/>
                <w:sz w:val="32"/>
                <w:szCs w:val="32"/>
              </w:rPr>
              <w:t>主要技术创新点</w:t>
            </w:r>
          </w:p>
        </w:tc>
      </w:tr>
    </w:tbl>
    <w:p w14:paraId="38BE72A4" w14:textId="77777777" w:rsidR="003F385E" w:rsidRDefault="003F385E"/>
    <w:sectPr w:rsidR="003F385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44947" w14:textId="77777777" w:rsidR="00461FC8" w:rsidRDefault="00461FC8" w:rsidP="00F252AB">
      <w:r>
        <w:separator/>
      </w:r>
    </w:p>
  </w:endnote>
  <w:endnote w:type="continuationSeparator" w:id="0">
    <w:p w14:paraId="75CB3F44" w14:textId="77777777" w:rsidR="00461FC8" w:rsidRDefault="00461FC8" w:rsidP="00F2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_GB2312">
    <w:altName w:val="微软雅黑"/>
    <w:charset w:val="86"/>
    <w:family w:val="auto"/>
    <w:pitch w:val="default"/>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0209487"/>
      <w:docPartObj>
        <w:docPartGallery w:val="Page Numbers (Bottom of Page)"/>
        <w:docPartUnique/>
      </w:docPartObj>
    </w:sdtPr>
    <w:sdtContent>
      <w:p w14:paraId="19439358" w14:textId="31796CD6" w:rsidR="001063A5" w:rsidRDefault="001063A5">
        <w:pPr>
          <w:pStyle w:val="a5"/>
          <w:jc w:val="center"/>
        </w:pPr>
        <w:r>
          <w:fldChar w:fldCharType="begin"/>
        </w:r>
        <w:r>
          <w:instrText>PAGE   \* MERGEFORMAT</w:instrText>
        </w:r>
        <w:r>
          <w:fldChar w:fldCharType="separate"/>
        </w:r>
        <w:r>
          <w:rPr>
            <w:lang w:val="zh-CN"/>
          </w:rPr>
          <w:t>2</w:t>
        </w:r>
        <w:r>
          <w:fldChar w:fldCharType="end"/>
        </w:r>
      </w:p>
    </w:sdtContent>
  </w:sdt>
  <w:p w14:paraId="05612937" w14:textId="77777777" w:rsidR="001063A5" w:rsidRDefault="001063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23F4B" w14:textId="77777777" w:rsidR="00461FC8" w:rsidRDefault="00461FC8" w:rsidP="00F252AB">
      <w:r>
        <w:separator/>
      </w:r>
    </w:p>
  </w:footnote>
  <w:footnote w:type="continuationSeparator" w:id="0">
    <w:p w14:paraId="329E7578" w14:textId="77777777" w:rsidR="00461FC8" w:rsidRDefault="00461FC8" w:rsidP="00F25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85E"/>
    <w:rsid w:val="001063A5"/>
    <w:rsid w:val="003F385E"/>
    <w:rsid w:val="00461FC8"/>
    <w:rsid w:val="005B44B2"/>
    <w:rsid w:val="00F2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A50B6A-04C0-4F31-A4E7-FDF224E6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2A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52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52AB"/>
    <w:rPr>
      <w:sz w:val="18"/>
      <w:szCs w:val="18"/>
    </w:rPr>
  </w:style>
  <w:style w:type="paragraph" w:styleId="a5">
    <w:name w:val="footer"/>
    <w:basedOn w:val="a"/>
    <w:link w:val="a6"/>
    <w:uiPriority w:val="99"/>
    <w:unhideWhenUsed/>
    <w:rsid w:val="00F252AB"/>
    <w:pPr>
      <w:tabs>
        <w:tab w:val="center" w:pos="4153"/>
        <w:tab w:val="right" w:pos="8306"/>
      </w:tabs>
      <w:snapToGrid w:val="0"/>
      <w:jc w:val="left"/>
    </w:pPr>
    <w:rPr>
      <w:sz w:val="18"/>
      <w:szCs w:val="18"/>
    </w:rPr>
  </w:style>
  <w:style w:type="character" w:customStyle="1" w:styleId="a6">
    <w:name w:val="页脚 字符"/>
    <w:basedOn w:val="a0"/>
    <w:link w:val="a5"/>
    <w:uiPriority w:val="99"/>
    <w:rsid w:val="00F252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2022-11-03T08:11:00Z</dcterms:created>
  <dcterms:modified xsi:type="dcterms:W3CDTF">2022-11-03T08:31:00Z</dcterms:modified>
</cp:coreProperties>
</file>