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AFA2D">
      <w:pPr>
        <w:spacing w:before="0" w:after="0"/>
        <w:jc w:val="both"/>
        <w:rPr>
          <w:rFonts w:hint="eastAsia" w:ascii="黑体" w:hAnsi="黑体" w:eastAsia="黑体" w:cs="黑体"/>
          <w:b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000000"/>
          <w:sz w:val="32"/>
          <w:szCs w:val="32"/>
          <w:lang w:val="en-US" w:eastAsia="zh-CN"/>
        </w:rPr>
        <w:t>附件3</w:t>
      </w:r>
    </w:p>
    <w:p w14:paraId="121B5C09">
      <w:pPr>
        <w:spacing w:before="0" w:after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36"/>
        </w:rPr>
        <w:t>2026中国模拟无人机竞速系列赛</w:t>
      </w:r>
    </w:p>
    <w:p w14:paraId="53EF1341">
      <w:pPr>
        <w:spacing w:before="0" w:after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36"/>
        </w:rPr>
        <w:t>竞赛日程表</w:t>
      </w:r>
    </w:p>
    <w:p w14:paraId="03A215C2">
      <w:pPr>
        <w:spacing w:before="0" w:after="0" w:line="560" w:lineRule="exact"/>
        <w:jc w:val="center"/>
      </w:pPr>
    </w:p>
    <w:tbl>
      <w:tblPr>
        <w:tblStyle w:val="3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078"/>
        <w:gridCol w:w="2078"/>
        <w:gridCol w:w="2078"/>
      </w:tblGrid>
      <w:tr w14:paraId="0DEDA77E">
        <w:trPr>
          <w:jc w:val="center"/>
        </w:trPr>
        <w:tc>
          <w:tcPr>
            <w:tcW w:w="2078" w:type="dxa"/>
            <w:vAlign w:val="center"/>
          </w:tcPr>
          <w:p w14:paraId="1519C5E4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站次</w:t>
            </w:r>
          </w:p>
        </w:tc>
        <w:tc>
          <w:tcPr>
            <w:tcW w:w="2078" w:type="dxa"/>
            <w:vAlign w:val="center"/>
          </w:tcPr>
          <w:p w14:paraId="08823323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比赛阶段</w:t>
            </w:r>
          </w:p>
        </w:tc>
        <w:tc>
          <w:tcPr>
            <w:tcW w:w="2078" w:type="dxa"/>
            <w:vAlign w:val="center"/>
          </w:tcPr>
          <w:p w14:paraId="0154E5FE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时间</w:t>
            </w:r>
          </w:p>
        </w:tc>
        <w:tc>
          <w:tcPr>
            <w:tcW w:w="2078" w:type="dxa"/>
            <w:vAlign w:val="center"/>
          </w:tcPr>
          <w:p w14:paraId="0A082F43">
            <w:pPr>
              <w:spacing w:line="480" w:lineRule="exact"/>
              <w:jc w:val="center"/>
            </w:pPr>
            <w:r>
              <w:rPr>
                <w:rFonts w:ascii="黑体" w:hAnsi="黑体" w:eastAsia="黑体"/>
                <w:b w:val="0"/>
                <w:color w:val="000000"/>
                <w:sz w:val="24"/>
              </w:rPr>
              <w:t>地点</w:t>
            </w:r>
          </w:p>
        </w:tc>
      </w:tr>
      <w:tr w14:paraId="0B18AF98">
        <w:trPr>
          <w:trHeight w:val="1770" w:hRule="atLeast"/>
          <w:jc w:val="center"/>
        </w:trPr>
        <w:tc>
          <w:tcPr>
            <w:tcW w:w="2078" w:type="dxa"/>
            <w:vMerge w:val="restart"/>
            <w:vAlign w:val="center"/>
          </w:tcPr>
          <w:p w14:paraId="20CD9A78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第一站</w:t>
            </w:r>
          </w:p>
          <w:p w14:paraId="23C31FD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（深圳站）</w:t>
            </w:r>
          </w:p>
        </w:tc>
        <w:tc>
          <w:tcPr>
            <w:tcW w:w="2078" w:type="dxa"/>
            <w:vAlign w:val="center"/>
          </w:tcPr>
          <w:p w14:paraId="4996D1F7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</w:t>
            </w:r>
          </w:p>
        </w:tc>
        <w:tc>
          <w:tcPr>
            <w:tcW w:w="2078" w:type="dxa"/>
            <w:vAlign w:val="center"/>
          </w:tcPr>
          <w:p w14:paraId="466BC2E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通知发布之日起至8月20日</w:t>
            </w:r>
          </w:p>
        </w:tc>
        <w:tc>
          <w:tcPr>
            <w:tcW w:w="2078" w:type="dxa"/>
            <w:vMerge w:val="restart"/>
            <w:vAlign w:val="center"/>
          </w:tcPr>
          <w:p w14:paraId="2A92263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169F97D9">
        <w:trPr>
          <w:trHeight w:val="1770" w:hRule="atLeast"/>
          <w:jc w:val="center"/>
        </w:trPr>
        <w:tc>
          <w:tcPr>
            <w:tcW w:w="2078" w:type="dxa"/>
            <w:vMerge w:val="continue"/>
            <w:vAlign w:val="center"/>
          </w:tcPr>
          <w:p w14:paraId="06768256">
            <w:pPr>
              <w:spacing w:line="480" w:lineRule="exact"/>
              <w:jc w:val="left"/>
            </w:pPr>
          </w:p>
        </w:tc>
        <w:tc>
          <w:tcPr>
            <w:tcW w:w="2078" w:type="dxa"/>
            <w:vAlign w:val="center"/>
          </w:tcPr>
          <w:p w14:paraId="36FD374D">
            <w:pPr>
              <w:spacing w:line="480" w:lineRule="exact"/>
              <w:jc w:val="left"/>
              <w:rPr>
                <w:rFonts w:ascii="仿宋_GB2312" w:hAnsi="仿宋_GB2312" w:eastAsia="仿宋_GB2312"/>
                <w:b w:val="0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线上资格排位赛</w:t>
            </w:r>
          </w:p>
        </w:tc>
        <w:tc>
          <w:tcPr>
            <w:tcW w:w="2078" w:type="dxa"/>
            <w:vAlign w:val="center"/>
          </w:tcPr>
          <w:p w14:paraId="12C90A87">
            <w:pPr>
              <w:spacing w:line="480" w:lineRule="exact"/>
              <w:jc w:val="center"/>
              <w:rPr>
                <w:rFonts w:ascii="仿宋_GB2312" w:hAnsi="仿宋_GB2312" w:eastAsia="仿宋_GB2312"/>
                <w:b w:val="0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8月21日至8月30日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每周五、周六、周日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20:00—2</w:t>
            </w:r>
            <w:r>
              <w:rPr>
                <w:rFonts w:hint="eastAsia" w:ascii="仿宋_GB2312" w:hAnsi="仿宋_GB2312" w:eastAsia="仿宋_GB2312"/>
                <w:b w:val="0"/>
                <w:color w:val="000000"/>
                <w:sz w:val="24"/>
                <w:lang w:val="en-US" w:eastAsia="zh-CN"/>
              </w:rPr>
              <w:t>1</w:t>
            </w: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:00</w:t>
            </w:r>
          </w:p>
        </w:tc>
        <w:tc>
          <w:tcPr>
            <w:tcW w:w="2078" w:type="dxa"/>
            <w:vMerge w:val="continue"/>
            <w:vAlign w:val="center"/>
          </w:tcPr>
          <w:p w14:paraId="7F7897BE">
            <w:pPr>
              <w:spacing w:line="480" w:lineRule="exact"/>
              <w:jc w:val="left"/>
              <w:rPr>
                <w:rFonts w:ascii="仿宋_GB2312" w:hAnsi="仿宋_GB2312" w:eastAsia="仿宋_GB2312"/>
                <w:b w:val="0"/>
                <w:color w:val="000000"/>
                <w:sz w:val="24"/>
              </w:rPr>
            </w:pPr>
          </w:p>
        </w:tc>
      </w:tr>
      <w:tr w14:paraId="6FFF7E02">
        <w:trPr>
          <w:trHeight w:val="810" w:hRule="atLeast"/>
          <w:jc w:val="center"/>
        </w:trPr>
        <w:tc>
          <w:tcPr>
            <w:tcW w:w="2078" w:type="dxa"/>
            <w:vMerge w:val="continue"/>
            <w:vAlign w:val="center"/>
          </w:tcPr>
          <w:p w14:paraId="40243522"/>
        </w:tc>
        <w:tc>
          <w:tcPr>
            <w:tcW w:w="2078" w:type="dxa"/>
            <w:vAlign w:val="center"/>
          </w:tcPr>
          <w:p w14:paraId="049F83DD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晋级名单公示</w:t>
            </w:r>
          </w:p>
        </w:tc>
        <w:tc>
          <w:tcPr>
            <w:tcW w:w="2078" w:type="dxa"/>
            <w:vAlign w:val="center"/>
          </w:tcPr>
          <w:p w14:paraId="3A3F16C3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9月1日</w:t>
            </w:r>
          </w:p>
        </w:tc>
        <w:tc>
          <w:tcPr>
            <w:tcW w:w="2078" w:type="dxa"/>
            <w:vMerge w:val="restart"/>
            <w:vAlign w:val="center"/>
          </w:tcPr>
          <w:p w14:paraId="462E96C7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深圳（具体地点另行通知）</w:t>
            </w:r>
          </w:p>
        </w:tc>
      </w:tr>
      <w:tr w14:paraId="4361943E">
        <w:trPr>
          <w:trHeight w:val="810" w:hRule="atLeast"/>
          <w:jc w:val="center"/>
        </w:trPr>
        <w:tc>
          <w:tcPr>
            <w:tcW w:w="2078" w:type="dxa"/>
            <w:vMerge w:val="continue"/>
            <w:vAlign w:val="center"/>
          </w:tcPr>
          <w:p w14:paraId="7D19BDA6">
            <w:pPr>
              <w:spacing w:line="480" w:lineRule="exact"/>
              <w:jc w:val="left"/>
            </w:pPr>
          </w:p>
        </w:tc>
        <w:tc>
          <w:tcPr>
            <w:tcW w:w="2078" w:type="dxa"/>
            <w:vAlign w:val="center"/>
          </w:tcPr>
          <w:p w14:paraId="164C1353">
            <w:pPr>
              <w:spacing w:line="480" w:lineRule="exact"/>
              <w:jc w:val="left"/>
              <w:rPr>
                <w:rFonts w:ascii="仿宋_GB2312" w:hAnsi="仿宋_GB2312" w:eastAsia="仿宋_GB2312"/>
                <w:b w:val="0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78" w:type="dxa"/>
            <w:vAlign w:val="center"/>
          </w:tcPr>
          <w:p w14:paraId="6256E5D7">
            <w:pPr>
              <w:spacing w:line="480" w:lineRule="exact"/>
              <w:jc w:val="center"/>
              <w:rPr>
                <w:rFonts w:hint="eastAsia" w:ascii="仿宋_GB2312" w:hAnsi="仿宋_GB2312" w:eastAsia="仿宋_GB2312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9月</w:t>
            </w:r>
            <w:r>
              <w:rPr>
                <w:rFonts w:hint="eastAsia" w:ascii="仿宋_GB2312" w:hAnsi="仿宋_GB2312" w:eastAsia="仿宋_GB2312"/>
                <w:b w:val="0"/>
                <w:color w:val="000000"/>
                <w:sz w:val="24"/>
                <w:lang w:val="en-US" w:eastAsia="zh-CN"/>
              </w:rPr>
              <w:t>中旬</w:t>
            </w:r>
          </w:p>
        </w:tc>
        <w:tc>
          <w:tcPr>
            <w:tcW w:w="2078" w:type="dxa"/>
            <w:vMerge w:val="continue"/>
            <w:vAlign w:val="center"/>
          </w:tcPr>
          <w:p w14:paraId="6F79131E">
            <w:pPr>
              <w:spacing w:line="480" w:lineRule="exact"/>
              <w:jc w:val="left"/>
              <w:rPr>
                <w:rFonts w:ascii="仿宋_GB2312" w:hAnsi="仿宋_GB2312" w:eastAsia="仿宋_GB2312"/>
                <w:b w:val="0"/>
                <w:color w:val="000000"/>
                <w:sz w:val="24"/>
              </w:rPr>
            </w:pPr>
          </w:p>
        </w:tc>
      </w:tr>
      <w:tr w14:paraId="0D23E9E4">
        <w:trPr>
          <w:jc w:val="center"/>
        </w:trPr>
        <w:tc>
          <w:tcPr>
            <w:tcW w:w="2078" w:type="dxa"/>
            <w:vMerge w:val="restart"/>
            <w:vAlign w:val="center"/>
          </w:tcPr>
          <w:p w14:paraId="09770940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第二站</w:t>
            </w:r>
          </w:p>
        </w:tc>
        <w:tc>
          <w:tcPr>
            <w:tcW w:w="2078" w:type="dxa"/>
            <w:vAlign w:val="center"/>
          </w:tcPr>
          <w:p w14:paraId="0FE657E9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78" w:type="dxa"/>
            <w:vAlign w:val="center"/>
          </w:tcPr>
          <w:p w14:paraId="337ADEA1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2026年10月</w:t>
            </w:r>
          </w:p>
        </w:tc>
        <w:tc>
          <w:tcPr>
            <w:tcW w:w="2078" w:type="dxa"/>
            <w:vAlign w:val="center"/>
          </w:tcPr>
          <w:p w14:paraId="2D98BBCB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351B542D">
        <w:trPr>
          <w:jc w:val="center"/>
        </w:trPr>
        <w:tc>
          <w:tcPr>
            <w:tcW w:w="2078" w:type="dxa"/>
            <w:vMerge w:val="continue"/>
            <w:vAlign w:val="center"/>
          </w:tcPr>
          <w:p w14:paraId="32C4CF6B"/>
        </w:tc>
        <w:tc>
          <w:tcPr>
            <w:tcW w:w="2078" w:type="dxa"/>
            <w:vAlign w:val="center"/>
          </w:tcPr>
          <w:p w14:paraId="662D5E77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78" w:type="dxa"/>
            <w:vAlign w:val="center"/>
          </w:tcPr>
          <w:p w14:paraId="1D22B64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2026年11月</w:t>
            </w:r>
          </w:p>
        </w:tc>
        <w:tc>
          <w:tcPr>
            <w:tcW w:w="2078" w:type="dxa"/>
            <w:vAlign w:val="center"/>
          </w:tcPr>
          <w:p w14:paraId="72C3B6C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  <w:tr w14:paraId="1954CF75">
        <w:trPr>
          <w:jc w:val="center"/>
        </w:trPr>
        <w:tc>
          <w:tcPr>
            <w:tcW w:w="2078" w:type="dxa"/>
            <w:vMerge w:val="restart"/>
            <w:vAlign w:val="center"/>
          </w:tcPr>
          <w:p w14:paraId="2857A958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第三站</w:t>
            </w:r>
          </w:p>
        </w:tc>
        <w:tc>
          <w:tcPr>
            <w:tcW w:w="2078" w:type="dxa"/>
            <w:vAlign w:val="center"/>
          </w:tcPr>
          <w:p w14:paraId="1B968815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78" w:type="dxa"/>
            <w:vAlign w:val="center"/>
          </w:tcPr>
          <w:p w14:paraId="0575485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2026年11月</w:t>
            </w:r>
          </w:p>
        </w:tc>
        <w:tc>
          <w:tcPr>
            <w:tcW w:w="2078" w:type="dxa"/>
            <w:vAlign w:val="center"/>
          </w:tcPr>
          <w:p w14:paraId="2B355EFA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4973D5E8">
        <w:trPr>
          <w:jc w:val="center"/>
        </w:trPr>
        <w:tc>
          <w:tcPr>
            <w:tcW w:w="2078" w:type="dxa"/>
            <w:vMerge w:val="continue"/>
            <w:vAlign w:val="center"/>
          </w:tcPr>
          <w:p w14:paraId="41B0B6BE"/>
        </w:tc>
        <w:tc>
          <w:tcPr>
            <w:tcW w:w="2078" w:type="dxa"/>
            <w:vAlign w:val="center"/>
          </w:tcPr>
          <w:p w14:paraId="3A855EAA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78" w:type="dxa"/>
            <w:vAlign w:val="center"/>
          </w:tcPr>
          <w:p w14:paraId="34C75DDF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2026年12月</w:t>
            </w:r>
          </w:p>
        </w:tc>
        <w:tc>
          <w:tcPr>
            <w:tcW w:w="2078" w:type="dxa"/>
            <w:vAlign w:val="center"/>
          </w:tcPr>
          <w:p w14:paraId="3324A752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  <w:tr w14:paraId="6F3CF241">
        <w:trPr>
          <w:jc w:val="center"/>
        </w:trPr>
        <w:tc>
          <w:tcPr>
            <w:tcW w:w="2078" w:type="dxa"/>
            <w:vMerge w:val="restart"/>
            <w:vAlign w:val="center"/>
          </w:tcPr>
          <w:p w14:paraId="7AC14EBC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第四站</w:t>
            </w:r>
          </w:p>
        </w:tc>
        <w:tc>
          <w:tcPr>
            <w:tcW w:w="2078" w:type="dxa"/>
            <w:vAlign w:val="center"/>
          </w:tcPr>
          <w:p w14:paraId="7BF83F92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报名注册及线上资格排位赛</w:t>
            </w:r>
          </w:p>
        </w:tc>
        <w:tc>
          <w:tcPr>
            <w:tcW w:w="2078" w:type="dxa"/>
            <w:vAlign w:val="center"/>
          </w:tcPr>
          <w:p w14:paraId="7B24089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2026年12月</w:t>
            </w:r>
          </w:p>
        </w:tc>
        <w:tc>
          <w:tcPr>
            <w:tcW w:w="2078" w:type="dxa"/>
            <w:vAlign w:val="center"/>
          </w:tcPr>
          <w:p w14:paraId="730BBFA2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线上（蔚蓝无尽）</w:t>
            </w:r>
          </w:p>
        </w:tc>
      </w:tr>
      <w:tr w14:paraId="37F641FD">
        <w:trPr>
          <w:jc w:val="center"/>
        </w:trPr>
        <w:tc>
          <w:tcPr>
            <w:tcW w:w="2078" w:type="dxa"/>
            <w:vMerge w:val="continue"/>
            <w:vAlign w:val="center"/>
          </w:tcPr>
          <w:p w14:paraId="1EC7BCA7"/>
        </w:tc>
        <w:tc>
          <w:tcPr>
            <w:tcW w:w="2078" w:type="dxa"/>
            <w:vAlign w:val="center"/>
          </w:tcPr>
          <w:p w14:paraId="3B38F7DA">
            <w:pPr>
              <w:spacing w:line="480" w:lineRule="exact"/>
              <w:jc w:val="left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线下赛</w:t>
            </w:r>
          </w:p>
        </w:tc>
        <w:tc>
          <w:tcPr>
            <w:tcW w:w="2078" w:type="dxa"/>
            <w:vAlign w:val="center"/>
          </w:tcPr>
          <w:p w14:paraId="169B5B1D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2027年1月</w:t>
            </w:r>
          </w:p>
        </w:tc>
        <w:tc>
          <w:tcPr>
            <w:tcW w:w="2078" w:type="dxa"/>
            <w:vAlign w:val="center"/>
          </w:tcPr>
          <w:p w14:paraId="63F7C394">
            <w:pPr>
              <w:spacing w:line="480" w:lineRule="exact"/>
              <w:jc w:val="center"/>
            </w:pPr>
            <w:r>
              <w:rPr>
                <w:rFonts w:ascii="仿宋_GB2312" w:hAnsi="仿宋_GB2312" w:eastAsia="仿宋_GB2312"/>
                <w:b w:val="0"/>
                <w:color w:val="000000"/>
                <w:sz w:val="24"/>
              </w:rPr>
              <w:t>待定</w:t>
            </w:r>
          </w:p>
        </w:tc>
      </w:tr>
    </w:tbl>
    <w:p w14:paraId="4A3EEFEA">
      <w:pPr>
        <w:spacing w:before="0" w:after="0" w:line="560" w:lineRule="exact"/>
        <w:jc w:val="center"/>
      </w:pPr>
    </w:p>
    <w:p w14:paraId="0DD2F5BB">
      <w:pPr>
        <w:spacing w:before="0" w:after="0" w:line="560" w:lineRule="exact"/>
        <w:jc w:val="left"/>
      </w:pPr>
      <w:r>
        <w:rPr>
          <w:rFonts w:ascii="仿宋_GB2312" w:hAnsi="仿宋_GB2312" w:eastAsia="仿宋_GB2312"/>
          <w:b w:val="0"/>
          <w:color w:val="000000"/>
          <w:sz w:val="32"/>
        </w:rPr>
        <w:t>备注：</w:t>
      </w:r>
    </w:p>
    <w:p w14:paraId="0897B21E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1.本表为系列赛总体安排；第一站（深圳站）具体安排以本表为准，其他各站报名、比赛日期及线下赛地点以各站正式通知为准。</w:t>
      </w:r>
    </w:p>
    <w:p w14:paraId="1ECAF1A2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2.线上赛在“蔚蓝无尽”模拟器平台进行，线下赛由各站晋级选手参加。</w:t>
      </w:r>
    </w:p>
    <w:p w14:paraId="3EF38A4A">
      <w:pPr>
        <w:spacing w:before="0" w:after="0" w:line="560" w:lineRule="exact"/>
        <w:ind w:firstLine="641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3.各站线上赛与线下赛时间衔接较紧，晋级选手请提前安排行程；未尽事宜另行通知。</w:t>
      </w:r>
    </w:p>
    <w:sectPr>
      <w:footerReference r:id="rId5" w:type="default"/>
      <w:pgSz w:w="11906" w:h="16838"/>
      <w:pgMar w:top="1440" w:right="1797" w:bottom="1440" w:left="1797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94BED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9D117D">
                          <w:pPr>
                            <w:pStyle w:val="24"/>
                            <w:ind w:firstLine="240" w:firstLineChars="10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9D117D">
                    <w:pPr>
                      <w:pStyle w:val="24"/>
                      <w:ind w:firstLine="240" w:firstLineChars="10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I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BF82BA5"/>
    <w:rsid w:val="BBBF61D3"/>
    <w:rsid w:val="F7ACFABC"/>
    <w:rsid w:val="F9FF9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潮汐骑单车</cp:lastModifiedBy>
  <dcterms:modified xsi:type="dcterms:W3CDTF">2026-08-10T09:35:00Z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04740B7A6C91CEF9CF79786A4C120B54_42</vt:lpwstr>
  </property>
</Properties>
</file>