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sz w:val="28"/>
          <w:szCs w:val="28"/>
        </w:rPr>
        <w:t>附件3</w:t>
      </w:r>
    </w:p>
    <w:p>
      <w:pPr>
        <w:pStyle w:val="2"/>
        <w:spacing w:line="360" w:lineRule="auto"/>
        <w:ind w:left="0" w:right="417" w:firstLine="0"/>
        <w:jc w:val="both"/>
        <w:rPr>
          <w:rFonts w:hint="eastAsia" w:ascii="宋体" w:hAnsi="宋体" w:eastAsia="宋体" w:cs="宋体"/>
          <w:lang w:eastAsia="zh-CN"/>
        </w:rPr>
      </w:pPr>
    </w:p>
    <w:p>
      <w:pPr>
        <w:spacing w:line="360" w:lineRule="auto"/>
        <w:jc w:val="center"/>
        <w:rPr>
          <w:rFonts w:hint="eastAsia" w:ascii="宋体" w:hAnsi="宋体" w:cs="宋体"/>
          <w:sz w:val="36"/>
          <w:szCs w:val="36"/>
        </w:rPr>
      </w:pPr>
      <w:r>
        <w:rPr>
          <w:rFonts w:hint="eastAsia" w:ascii="宋体" w:hAnsi="宋体" w:cs="宋体"/>
          <w:sz w:val="36"/>
          <w:szCs w:val="36"/>
        </w:rPr>
        <w:t>冰雪项目赛事参赛规定</w:t>
      </w:r>
    </w:p>
    <w:p>
      <w:pPr>
        <w:spacing w:line="360" w:lineRule="auto"/>
        <w:jc w:val="center"/>
        <w:rPr>
          <w:rFonts w:hint="eastAsia" w:ascii="宋体" w:hAnsi="宋体" w:cs="宋体"/>
          <w:b/>
          <w:bCs/>
          <w:sz w:val="36"/>
          <w:szCs w:val="36"/>
        </w:rPr>
      </w:pPr>
    </w:p>
    <w:p>
      <w:pPr>
        <w:pStyle w:val="2"/>
        <w:spacing w:line="360" w:lineRule="auto"/>
        <w:ind w:firstLine="592" w:firstLineChars="200"/>
        <w:rPr>
          <w:rFonts w:ascii="黑体" w:hAnsi="黑体" w:eastAsia="黑体" w:cs="黑体"/>
          <w:spacing w:val="-4"/>
          <w:w w:val="95"/>
          <w:lang w:eastAsia="zh-CN"/>
        </w:rPr>
      </w:pPr>
      <w:r>
        <w:rPr>
          <w:rFonts w:hint="eastAsia" w:ascii="黑体" w:hAnsi="黑体" w:eastAsia="黑体" w:cs="黑体"/>
          <w:spacing w:val="-4"/>
          <w:w w:val="95"/>
          <w:lang w:eastAsia="zh-CN"/>
        </w:rPr>
        <w:t>一、开展反兴奋剂背景审查</w:t>
      </w:r>
    </w:p>
    <w:p>
      <w:pPr>
        <w:pStyle w:val="2"/>
        <w:spacing w:line="360" w:lineRule="auto"/>
        <w:ind w:right="417" w:firstLine="640"/>
        <w:jc w:val="both"/>
        <w:rPr>
          <w:rFonts w:hint="eastAsia"/>
          <w:lang w:eastAsia="zh-CN"/>
        </w:rPr>
      </w:pPr>
      <w:r>
        <w:rPr>
          <w:rFonts w:hint="eastAsia"/>
          <w:lang w:eastAsia="zh-CN"/>
        </w:rPr>
        <w:t>（一）参赛队提供运动员、教练员及工作人员（含领队、教练等）姓名、身份证号码、项目名称、是否存在兴奋剂违规历史、在（注册）检查库退役及复出等情况。</w:t>
      </w:r>
    </w:p>
    <w:p>
      <w:pPr>
        <w:pStyle w:val="2"/>
        <w:spacing w:line="360" w:lineRule="auto"/>
        <w:ind w:right="417" w:firstLine="640"/>
        <w:jc w:val="both"/>
        <w:rPr>
          <w:rFonts w:hint="eastAsia"/>
          <w:lang w:eastAsia="zh-CN"/>
        </w:rPr>
      </w:pPr>
      <w:r>
        <w:rPr>
          <w:rFonts w:hint="eastAsia"/>
          <w:lang w:eastAsia="zh-CN"/>
        </w:rPr>
        <w:t>（二）如有发生兴奋剂违规历史的，须提供兴奋剂违规情况说明。</w:t>
      </w:r>
    </w:p>
    <w:p>
      <w:pPr>
        <w:pStyle w:val="2"/>
        <w:spacing w:line="360" w:lineRule="auto"/>
        <w:ind w:right="417" w:firstLine="640"/>
        <w:jc w:val="both"/>
        <w:rPr>
          <w:rFonts w:hint="eastAsia"/>
          <w:lang w:eastAsia="zh-CN"/>
        </w:rPr>
      </w:pPr>
      <w:r>
        <w:rPr>
          <w:rFonts w:hint="eastAsia"/>
          <w:lang w:eastAsia="zh-CN"/>
        </w:rPr>
        <w:t xml:space="preserve">（三）运动员在禁赛期内、已经办理退役、办理退役复出手续但不满足参赛条件的，禁止参加赛事。 </w:t>
      </w:r>
    </w:p>
    <w:p>
      <w:pPr>
        <w:pStyle w:val="2"/>
        <w:spacing w:line="360" w:lineRule="auto"/>
        <w:ind w:firstLine="592" w:firstLineChars="200"/>
        <w:rPr>
          <w:rFonts w:hint="eastAsia" w:ascii="黑体" w:hAnsi="黑体" w:eastAsia="黑体" w:cs="黑体"/>
          <w:spacing w:val="-4"/>
          <w:w w:val="95"/>
          <w:lang w:eastAsia="zh-CN"/>
        </w:rPr>
      </w:pPr>
      <w:r>
        <w:rPr>
          <w:rFonts w:hint="eastAsia" w:ascii="黑体" w:hAnsi="黑体" w:eastAsia="黑体" w:cs="黑体"/>
          <w:spacing w:val="-4"/>
          <w:w w:val="95"/>
          <w:lang w:eastAsia="zh-CN"/>
        </w:rPr>
        <w:t>二、明确赛事期间运动员反兴奋剂责任人</w:t>
      </w:r>
    </w:p>
    <w:p>
      <w:pPr>
        <w:pStyle w:val="2"/>
        <w:spacing w:line="360" w:lineRule="auto"/>
        <w:ind w:right="417" w:firstLine="640"/>
        <w:jc w:val="both"/>
        <w:rPr>
          <w:lang w:eastAsia="zh-CN"/>
        </w:rPr>
      </w:pPr>
      <w:r>
        <w:rPr>
          <w:rFonts w:hint="eastAsia"/>
          <w:lang w:eastAsia="zh-CN"/>
        </w:rPr>
        <w:t>参赛队领队是本队伍参赛期间的反兴奋剂第一责任人，队伍应明确药品、营养品、食品及饮品管理责任人，同时设立运动员反兴奋剂责任人。以上人员须严格按照本通知对运动员进行监管。</w:t>
      </w:r>
    </w:p>
    <w:p>
      <w:pPr>
        <w:pStyle w:val="2"/>
        <w:spacing w:line="360" w:lineRule="auto"/>
        <w:ind w:right="417" w:firstLine="640"/>
        <w:jc w:val="both"/>
        <w:rPr>
          <w:rFonts w:hint="eastAsia" w:ascii="黑体" w:hAnsi="黑体" w:eastAsia="黑体" w:cs="黑体"/>
          <w:spacing w:val="-4"/>
          <w:w w:val="95"/>
          <w:lang w:eastAsia="zh-CN"/>
        </w:rPr>
      </w:pPr>
      <w:r>
        <w:rPr>
          <w:rFonts w:hint="eastAsia" w:ascii="黑体" w:hAnsi="黑体" w:eastAsia="黑体" w:cs="黑体"/>
          <w:spacing w:val="-4"/>
          <w:w w:val="95"/>
          <w:lang w:eastAsia="zh-CN"/>
        </w:rPr>
        <w:t>三、实施赛前反兴奋剂教育准入</w:t>
      </w:r>
    </w:p>
    <w:p>
      <w:pPr>
        <w:pStyle w:val="2"/>
        <w:spacing w:line="360" w:lineRule="auto"/>
        <w:ind w:firstLine="640" w:firstLineChars="200"/>
        <w:rPr>
          <w:rFonts w:hint="eastAsia"/>
          <w:spacing w:val="-1"/>
          <w:lang w:eastAsia="zh-CN"/>
        </w:rPr>
      </w:pPr>
      <w:r>
        <w:rPr>
          <w:rFonts w:hint="eastAsia"/>
          <w:lang w:eastAsia="zh-CN"/>
        </w:rPr>
        <w:t>参赛运动员、教练员及工作人员通过中国反兴奋剂教育平台</w:t>
      </w:r>
      <w:r>
        <w:rPr>
          <w:rFonts w:hint="eastAsia"/>
          <w:spacing w:val="6"/>
          <w:w w:val="99"/>
          <w:lang w:eastAsia="zh-CN"/>
        </w:rPr>
        <w:t>“中国冰雪通用模块-反兴奋剂教育准入入口”完</w:t>
      </w:r>
      <w:r>
        <w:rPr>
          <w:rFonts w:hint="eastAsia"/>
          <w:spacing w:val="-1"/>
          <w:w w:val="95"/>
          <w:lang w:eastAsia="zh-CN"/>
        </w:rPr>
        <w:t>成教育准入学习，考试合格获得证书后具备参赛资格。</w:t>
      </w:r>
    </w:p>
    <w:p>
      <w:pPr>
        <w:pStyle w:val="2"/>
        <w:spacing w:line="360" w:lineRule="auto"/>
        <w:ind w:left="760" w:right="417"/>
        <w:jc w:val="both"/>
        <w:rPr>
          <w:rFonts w:hint="eastAsia" w:ascii="黑体" w:hAnsi="黑体" w:eastAsia="黑体" w:cs="黑体"/>
          <w:spacing w:val="-4"/>
          <w:w w:val="95"/>
          <w:lang w:eastAsia="zh-CN"/>
        </w:rPr>
      </w:pPr>
      <w:r>
        <w:rPr>
          <w:rFonts w:hint="eastAsia" w:ascii="黑体" w:hAnsi="黑体" w:eastAsia="黑体" w:cs="黑体"/>
          <w:spacing w:val="-4"/>
          <w:w w:val="95"/>
          <w:lang w:eastAsia="zh-CN"/>
        </w:rPr>
        <w:t>四、签订反兴奋剂责任书</w:t>
      </w:r>
    </w:p>
    <w:p>
      <w:pPr>
        <w:pStyle w:val="2"/>
        <w:spacing w:line="360" w:lineRule="auto"/>
        <w:ind w:right="417" w:firstLine="636" w:firstLineChars="200"/>
        <w:jc w:val="both"/>
        <w:rPr>
          <w:rFonts w:hint="eastAsia"/>
          <w:spacing w:val="-4"/>
          <w:w w:val="95"/>
          <w:lang w:eastAsia="zh-CN"/>
        </w:rPr>
      </w:pPr>
      <w:r>
        <w:rPr>
          <w:rFonts w:hint="eastAsia"/>
          <w:spacing w:val="-1"/>
          <w:lang w:eastAsia="zh-CN"/>
        </w:rPr>
        <w:t>各参赛队须签订反兴奋剂责任书，并按照反兴奋剂责任书的要求落实相关规定。</w:t>
      </w:r>
    </w:p>
    <w:p>
      <w:pPr>
        <w:pStyle w:val="2"/>
        <w:spacing w:line="360" w:lineRule="auto"/>
        <w:ind w:left="760" w:right="417"/>
        <w:jc w:val="both"/>
        <w:rPr>
          <w:rFonts w:hint="eastAsia" w:ascii="黑体" w:hAnsi="黑体" w:eastAsia="黑体" w:cs="黑体"/>
          <w:spacing w:val="-4"/>
          <w:w w:val="95"/>
          <w:lang w:eastAsia="zh-CN"/>
        </w:rPr>
      </w:pPr>
      <w:r>
        <w:rPr>
          <w:rFonts w:hint="eastAsia" w:ascii="黑体" w:hAnsi="黑体" w:eastAsia="黑体" w:cs="黑体"/>
          <w:spacing w:val="-4"/>
          <w:w w:val="95"/>
          <w:lang w:eastAsia="zh-CN"/>
        </w:rPr>
        <w:t>五、食品安全要求</w:t>
      </w:r>
    </w:p>
    <w:p>
      <w:pPr>
        <w:pStyle w:val="2"/>
        <w:spacing w:line="360" w:lineRule="auto"/>
        <w:ind w:left="0" w:right="417" w:firstLine="636" w:firstLineChars="200"/>
        <w:jc w:val="both"/>
        <w:rPr>
          <w:spacing w:val="-1"/>
          <w:lang w:eastAsia="zh-CN"/>
        </w:rPr>
      </w:pPr>
      <w:r>
        <w:rPr>
          <w:rFonts w:hint="eastAsia"/>
          <w:spacing w:val="-1"/>
          <w:lang w:eastAsia="zh-CN"/>
        </w:rPr>
        <w:t>参赛运动员须在赛事组委会指定地点集中用餐，严禁在赛事期间外出就餐、点外卖、使用非赛事组委会提供的任何食品、饮品。参赛队指定专人，做好运动员食品安全管理。</w:t>
      </w:r>
    </w:p>
    <w:p>
      <w:pPr>
        <w:pStyle w:val="2"/>
        <w:spacing w:line="360" w:lineRule="auto"/>
        <w:ind w:left="760" w:right="417"/>
        <w:jc w:val="both"/>
        <w:rPr>
          <w:rFonts w:hint="eastAsia" w:ascii="黑体" w:hAnsi="黑体" w:eastAsia="黑体" w:cs="黑体"/>
          <w:spacing w:val="-4"/>
          <w:w w:val="95"/>
          <w:lang w:eastAsia="zh-CN"/>
        </w:rPr>
      </w:pPr>
      <w:r>
        <w:rPr>
          <w:rFonts w:hint="eastAsia" w:ascii="黑体" w:hAnsi="黑体" w:eastAsia="黑体" w:cs="黑体"/>
          <w:spacing w:val="-4"/>
          <w:w w:val="95"/>
          <w:lang w:eastAsia="zh-CN"/>
        </w:rPr>
        <w:t>六、药品、营养品备案</w:t>
      </w:r>
    </w:p>
    <w:p>
      <w:pPr>
        <w:pStyle w:val="2"/>
        <w:spacing w:line="360" w:lineRule="auto"/>
        <w:ind w:right="417" w:firstLine="636" w:firstLineChars="200"/>
        <w:jc w:val="both"/>
        <w:rPr>
          <w:rFonts w:hint="eastAsia"/>
          <w:spacing w:val="-1"/>
          <w:lang w:eastAsia="zh-CN"/>
        </w:rPr>
      </w:pPr>
      <w:r>
        <w:rPr>
          <w:rFonts w:hint="eastAsia"/>
          <w:spacing w:val="-1"/>
          <w:lang w:eastAsia="zh-CN"/>
        </w:rPr>
        <w:t>（一）各参赛队运动员、教练员及工作人员须对携带的药品、营养品进行登记备案，并将备案表提交组委会。</w:t>
      </w:r>
    </w:p>
    <w:p>
      <w:pPr>
        <w:pStyle w:val="2"/>
        <w:spacing w:line="360" w:lineRule="auto"/>
        <w:ind w:right="417" w:firstLine="636" w:firstLineChars="200"/>
        <w:jc w:val="both"/>
        <w:rPr>
          <w:rFonts w:hint="eastAsia"/>
          <w:spacing w:val="-1"/>
          <w:lang w:eastAsia="zh-CN"/>
        </w:rPr>
      </w:pPr>
      <w:r>
        <w:rPr>
          <w:rFonts w:hint="eastAsia"/>
          <w:spacing w:val="-1"/>
          <w:lang w:eastAsia="zh-CN"/>
        </w:rPr>
        <w:t>（二）各参赛队自行准备运动员药品，全部药品须经过中国反兴奋剂中心网站“药品审核系统”进行查询，严禁携带任何含有禁用物质的（包括仅赛内禁用）药品。</w:t>
      </w:r>
    </w:p>
    <w:p>
      <w:pPr>
        <w:pStyle w:val="2"/>
        <w:spacing w:line="360" w:lineRule="auto"/>
        <w:ind w:left="760" w:right="417"/>
        <w:jc w:val="both"/>
        <w:rPr>
          <w:rFonts w:ascii="黑体" w:hAnsi="黑体" w:eastAsia="黑体" w:cs="黑体"/>
          <w:spacing w:val="-4"/>
          <w:w w:val="95"/>
          <w:lang w:eastAsia="zh-CN"/>
        </w:rPr>
      </w:pPr>
      <w:r>
        <w:rPr>
          <w:rFonts w:hint="eastAsia" w:ascii="黑体" w:hAnsi="黑体" w:eastAsia="黑体" w:cs="黑体"/>
          <w:spacing w:val="-4"/>
          <w:w w:val="95"/>
          <w:lang w:eastAsia="zh-CN"/>
        </w:rPr>
        <w:t>七、急救医疗及治疗用药豁免</w:t>
      </w:r>
    </w:p>
    <w:p>
      <w:pPr>
        <w:pStyle w:val="2"/>
        <w:spacing w:line="360" w:lineRule="auto"/>
        <w:ind w:right="417" w:firstLine="636" w:firstLineChars="200"/>
        <w:jc w:val="both"/>
        <w:rPr>
          <w:spacing w:val="-1"/>
          <w:lang w:eastAsia="zh-CN"/>
        </w:rPr>
      </w:pPr>
      <w:r>
        <w:rPr>
          <w:rFonts w:hint="eastAsia"/>
          <w:spacing w:val="-1"/>
          <w:lang w:eastAsia="zh-CN"/>
        </w:rPr>
        <w:t>（一）赛事组织方在比赛场馆设立急救医疗点，运动员在接受急救医疗时，其参赛队自行负责审核急救医疗点及相关就诊医院使用的药品及治疗方法，并对药品及治疗方法的使用承担法律责任。</w:t>
      </w:r>
    </w:p>
    <w:p>
      <w:pPr>
        <w:pStyle w:val="2"/>
        <w:spacing w:line="360" w:lineRule="auto"/>
        <w:ind w:right="417" w:firstLine="636" w:firstLineChars="200"/>
        <w:jc w:val="both"/>
        <w:rPr>
          <w:rFonts w:hint="eastAsia"/>
          <w:spacing w:val="-4"/>
          <w:w w:val="95"/>
          <w:lang w:eastAsia="zh-CN"/>
        </w:rPr>
      </w:pPr>
      <w:r>
        <w:rPr>
          <w:rFonts w:hint="eastAsia"/>
          <w:spacing w:val="-1"/>
          <w:lang w:eastAsia="zh-CN"/>
        </w:rPr>
        <w:t>（二）</w:t>
      </w:r>
      <w:r>
        <w:rPr>
          <w:rFonts w:hint="eastAsia" w:cs="仿宋_GB2312"/>
          <w:lang w:eastAsia="zh-CN"/>
        </w:rPr>
        <w:t>运动员为治疗急性或慢性疾病，必须使用《禁用清单》中的药物或方法，须提前30天向体育总局反兴奋剂中心申请治疗用药豁免（TUE）（在国际单项体育联合会注册检查库或检查库的运动员，须向国际单项体育联合会申请TUE），并获得使用该药物和/或方法的批准。在接受兴奋剂检查时，需向检查官出示批准文书。</w:t>
      </w:r>
    </w:p>
    <w:p>
      <w:pPr>
        <w:pStyle w:val="2"/>
        <w:spacing w:line="360" w:lineRule="auto"/>
        <w:ind w:left="760" w:right="417"/>
        <w:jc w:val="both"/>
        <w:rPr>
          <w:rFonts w:ascii="黑体" w:hAnsi="黑体" w:eastAsia="黑体" w:cs="黑体"/>
          <w:spacing w:val="-4"/>
          <w:w w:val="95"/>
          <w:lang w:eastAsia="zh-CN"/>
        </w:rPr>
      </w:pPr>
      <w:r>
        <w:rPr>
          <w:rFonts w:hint="eastAsia" w:ascii="黑体" w:hAnsi="黑体" w:eastAsia="黑体" w:cs="黑体"/>
          <w:spacing w:val="-4"/>
          <w:w w:val="95"/>
          <w:lang w:eastAsia="zh-CN"/>
        </w:rPr>
        <w:t>八、赛事兴奋剂检查</w:t>
      </w:r>
    </w:p>
    <w:p>
      <w:pPr>
        <w:pStyle w:val="2"/>
        <w:spacing w:line="360" w:lineRule="auto"/>
        <w:ind w:right="417" w:firstLine="636" w:firstLineChars="200"/>
        <w:jc w:val="both"/>
        <w:rPr>
          <w:rFonts w:hint="eastAsia"/>
          <w:spacing w:val="-1"/>
          <w:lang w:eastAsia="zh-CN"/>
        </w:rPr>
      </w:pPr>
      <w:r>
        <w:rPr>
          <w:rFonts w:hint="eastAsia"/>
          <w:spacing w:val="-1"/>
          <w:lang w:eastAsia="zh-CN"/>
        </w:rPr>
        <w:t>（一）赛事主办方委托体育总局反兴奋剂中心对参赛运动员实施赛外和/或赛内兴奋剂检查，被纳入国际或国内（注册）检查库中的运动员须准确及时填报行踪信息。同时，各参赛队须向赛事主办方提供运动员住宿房间号码。</w:t>
      </w:r>
    </w:p>
    <w:p>
      <w:pPr>
        <w:pStyle w:val="2"/>
        <w:spacing w:line="360" w:lineRule="auto"/>
        <w:ind w:right="417" w:firstLine="636" w:firstLineChars="200"/>
        <w:jc w:val="both"/>
        <w:rPr>
          <w:rFonts w:hint="eastAsia"/>
          <w:spacing w:val="-1"/>
          <w:lang w:eastAsia="zh-CN"/>
        </w:rPr>
      </w:pPr>
      <w:r>
        <w:rPr>
          <w:rFonts w:hint="eastAsia"/>
          <w:spacing w:val="-1"/>
          <w:lang w:eastAsia="zh-CN"/>
        </w:rPr>
        <w:t>（二）运动员在接到兴奋剂检查通知后，须积极配合兴奋剂检查，不得发生逃检、拒检等情况。如在赛事中，运动员破世界、国家或省市记录，可主动向赛事组委会申请兴奋剂检查，相关费用自理。</w:t>
      </w:r>
    </w:p>
    <w:p>
      <w:pPr>
        <w:pStyle w:val="2"/>
        <w:spacing w:line="360" w:lineRule="auto"/>
        <w:ind w:left="760" w:right="417"/>
        <w:jc w:val="both"/>
        <w:rPr>
          <w:rFonts w:ascii="黑体" w:hAnsi="黑体" w:eastAsia="黑体" w:cs="黑体"/>
          <w:spacing w:val="-4"/>
          <w:w w:val="95"/>
        </w:rPr>
      </w:pPr>
      <w:r>
        <w:rPr>
          <w:rFonts w:hint="eastAsia" w:ascii="黑体" w:hAnsi="黑体" w:eastAsia="黑体" w:cs="黑体"/>
          <w:spacing w:val="-4"/>
          <w:w w:val="95"/>
        </w:rPr>
        <w:t>九、其他</w:t>
      </w:r>
    </w:p>
    <w:p>
      <w:pPr>
        <w:pStyle w:val="2"/>
        <w:spacing w:line="360" w:lineRule="auto"/>
        <w:ind w:right="417" w:firstLine="636" w:firstLineChars="200"/>
        <w:jc w:val="both"/>
        <w:rPr>
          <w:rFonts w:hint="eastAsia"/>
          <w:spacing w:val="-1"/>
        </w:rPr>
      </w:pPr>
      <w:r>
        <w:rPr>
          <w:rFonts w:hint="eastAsia"/>
          <w:spacing w:val="-1"/>
        </w:rPr>
        <w:t>请在参赛前4天（根据开赛日期填写），将参赛队反兴奋剂责任分工、兴奋剂违规背景审查表、反兴奋剂责任书（签字版扫描件，每页均需签字）、参赛人员药品营养品登记表、反兴奋剂教育准入考试合格证书等，以“赛事名称+代表单位”的格式统一发送至antidopingrace@163.com。</w:t>
      </w:r>
    </w:p>
    <w:p>
      <w:pPr>
        <w:pStyle w:val="2"/>
        <w:spacing w:line="360" w:lineRule="auto"/>
        <w:ind w:right="417" w:firstLine="636" w:firstLineChars="200"/>
        <w:jc w:val="both"/>
        <w:rPr>
          <w:rFonts w:hint="eastAsia"/>
          <w:spacing w:val="-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ZmY4ZTNjNDI0NjE2ZWFiZGY0ZDNlZmZlMTBiM2MifQ=="/>
  </w:docVars>
  <w:rsids>
    <w:rsidRoot w:val="682D179A"/>
    <w:rsid w:val="682D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8"/>
      <w:ind w:left="101" w:firstLine="554"/>
      <w:jc w:val="left"/>
    </w:pPr>
    <w:rPr>
      <w:rFonts w:ascii="仿宋" w:hAnsi="仿宋" w:eastAsia="仿宋" w:cs="Times New Roman"/>
      <w:kern w:val="0"/>
      <w:sz w:val="32"/>
      <w:szCs w:val="32"/>
      <w:lang w:eastAsia="en-US"/>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2023-02-20T02:55:00Z</dcterms:created>
  <dc:creator>PC</dc:creator>
  <cp:lastModifiedBy>PC</cp:lastModifiedBy>
  <dcterms:modified xsi:type="dcterms:W3CDTF">2023-02-20T02:56:14Z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1C9BBA2DD7E74D7B9D5D891B5676A375</vt:lpwstr>
  </property>
</Properties>
</file>