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sz w:val="28"/>
          <w:szCs w:val="28"/>
          <w:lang w:val="en-US" w:eastAsia="zh-CN"/>
        </w:rPr>
      </w:pPr>
      <w:r>
        <w:rPr>
          <w:rFonts w:hint="eastAsia"/>
          <w:b/>
          <w:sz w:val="28"/>
          <w:szCs w:val="28"/>
          <w:lang w:val="en-US" w:eastAsia="zh-CN"/>
        </w:rPr>
        <w:t>附件3</w:t>
      </w:r>
    </w:p>
    <w:p>
      <w:pPr>
        <w:pStyle w:val="2"/>
        <w:spacing w:line="360" w:lineRule="auto"/>
        <w:ind w:right="417"/>
        <w:jc w:val="both"/>
        <w:rPr>
          <w:rFonts w:hint="eastAsia" w:ascii="宋体" w:hAnsi="宋体" w:eastAsia="宋体" w:cs="宋体"/>
          <w:lang w:val="en-US" w:eastAsia="zh-CN"/>
        </w:rPr>
      </w:pPr>
      <w:r>
        <w:rPr>
          <w:rFonts w:hint="eastAsia" w:ascii="宋体" w:hAnsi="宋体" w:eastAsia="宋体" w:cs="宋体"/>
          <w:lang w:val="en-US" w:eastAsia="zh-CN"/>
        </w:rPr>
        <w:t>附件：1</w:t>
      </w:r>
    </w:p>
    <w:p>
      <w:pPr>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rPr>
        <w:t>冰雪项目赛事</w:t>
      </w:r>
      <w:r>
        <w:rPr>
          <w:rFonts w:hint="eastAsia" w:ascii="宋体" w:hAnsi="宋体" w:eastAsia="宋体" w:cs="宋体"/>
          <w:sz w:val="36"/>
          <w:szCs w:val="36"/>
          <w:lang w:val="en-US" w:eastAsia="zh-CN"/>
        </w:rPr>
        <w:t>参赛规定</w:t>
      </w:r>
    </w:p>
    <w:p>
      <w:pPr>
        <w:spacing w:line="360" w:lineRule="auto"/>
        <w:jc w:val="center"/>
        <w:rPr>
          <w:rFonts w:hint="eastAsia" w:ascii="宋体" w:hAnsi="宋体" w:eastAsia="宋体" w:cs="宋体"/>
          <w:b/>
          <w:bCs/>
          <w:sz w:val="36"/>
          <w:szCs w:val="36"/>
          <w:lang w:val="en-US"/>
        </w:rPr>
      </w:pPr>
    </w:p>
    <w:p>
      <w:pPr>
        <w:pStyle w:val="2"/>
        <w:spacing w:line="360" w:lineRule="auto"/>
        <w:ind w:firstLine="592" w:firstLineChars="200"/>
        <w:rPr>
          <w:rFonts w:ascii="黑体" w:hAnsi="黑体" w:eastAsia="黑体" w:cs="黑体"/>
          <w:spacing w:val="-4"/>
          <w:w w:val="95"/>
          <w:lang w:val="en-US"/>
        </w:rPr>
      </w:pPr>
      <w:r>
        <w:rPr>
          <w:rFonts w:hint="eastAsia" w:ascii="黑体" w:hAnsi="黑体" w:eastAsia="黑体" w:cs="黑体"/>
          <w:spacing w:val="-4"/>
          <w:w w:val="95"/>
        </w:rPr>
        <w:t>一、</w:t>
      </w:r>
      <w:r>
        <w:rPr>
          <w:rFonts w:hint="eastAsia" w:ascii="黑体" w:hAnsi="黑体" w:eastAsia="黑体" w:cs="黑体"/>
          <w:spacing w:val="-4"/>
          <w:w w:val="95"/>
          <w:lang w:val="en-US"/>
        </w:rPr>
        <w:t>开展反兴奋剂背景审查</w:t>
      </w:r>
    </w:p>
    <w:p>
      <w:pPr>
        <w:pStyle w:val="2"/>
        <w:spacing w:line="360" w:lineRule="auto"/>
        <w:ind w:right="417" w:firstLine="640"/>
        <w:jc w:val="both"/>
        <w:rPr>
          <w:rFonts w:hint="eastAsia"/>
          <w:lang w:val="en-US"/>
        </w:rPr>
      </w:pPr>
      <w:r>
        <w:rPr>
          <w:rFonts w:hint="eastAsia"/>
          <w:lang w:val="en-US"/>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rFonts w:hint="eastAsia"/>
          <w:lang w:val="en-US"/>
        </w:rPr>
      </w:pPr>
      <w:r>
        <w:rPr>
          <w:rFonts w:hint="eastAsia"/>
          <w:lang w:val="en-US"/>
        </w:rPr>
        <w:t>（二）如有发生兴奋剂违规历史的，须提供兴奋剂违规情况说明。</w:t>
      </w:r>
    </w:p>
    <w:p>
      <w:pPr>
        <w:pStyle w:val="2"/>
        <w:spacing w:line="360" w:lineRule="auto"/>
        <w:ind w:right="417" w:firstLine="640"/>
        <w:jc w:val="both"/>
        <w:rPr>
          <w:rFonts w:hint="eastAsia"/>
          <w:lang w:val="en-US"/>
        </w:rPr>
      </w:pPr>
      <w:r>
        <w:rPr>
          <w:rFonts w:hint="eastAsia"/>
          <w:lang w:val="en-US"/>
        </w:rPr>
        <w:t xml:space="preserve">（三）运动员在禁赛期内、已经办理退役、办理退役复出手续但不满足参赛条件的，禁止参加赛事。 </w:t>
      </w:r>
    </w:p>
    <w:p>
      <w:pPr>
        <w:pStyle w:val="2"/>
        <w:spacing w:line="360" w:lineRule="auto"/>
        <w:ind w:firstLine="592" w:firstLineChars="200"/>
        <w:rPr>
          <w:rFonts w:hint="eastAsia" w:ascii="黑体" w:hAnsi="黑体" w:eastAsia="黑体" w:cs="黑体"/>
          <w:spacing w:val="-4"/>
          <w:w w:val="95"/>
          <w:lang w:val="en-US"/>
        </w:rPr>
      </w:pPr>
      <w:r>
        <w:rPr>
          <w:rFonts w:hint="eastAsia" w:ascii="黑体" w:hAnsi="黑体" w:eastAsia="黑体" w:cs="黑体"/>
          <w:spacing w:val="-4"/>
          <w:w w:val="95"/>
          <w:lang w:val="en-US"/>
        </w:rPr>
        <w:t>二、明确赛事期间运动员反兴奋剂责任人</w:t>
      </w:r>
    </w:p>
    <w:p>
      <w:pPr>
        <w:pStyle w:val="2"/>
        <w:spacing w:line="360" w:lineRule="auto"/>
        <w:ind w:right="417" w:firstLine="640"/>
        <w:jc w:val="both"/>
        <w:rPr>
          <w:lang w:val="en-US"/>
        </w:rPr>
      </w:pPr>
      <w:r>
        <w:rPr>
          <w:rFonts w:hint="eastAsia"/>
          <w:lang w:val="en-US"/>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hint="eastAsia" w:ascii="黑体" w:hAnsi="黑体" w:eastAsia="黑体" w:cs="黑体"/>
          <w:spacing w:val="-4"/>
          <w:w w:val="95"/>
        </w:rPr>
      </w:pPr>
      <w:r>
        <w:rPr>
          <w:rFonts w:hint="eastAsia" w:ascii="黑体" w:hAnsi="黑体" w:eastAsia="黑体" w:cs="黑体"/>
          <w:spacing w:val="-4"/>
          <w:w w:val="95"/>
          <w:lang w:val="en-US"/>
        </w:rPr>
        <w:t>三</w:t>
      </w:r>
      <w:r>
        <w:rPr>
          <w:rFonts w:hint="eastAsia" w:ascii="黑体" w:hAnsi="黑体" w:eastAsia="黑体" w:cs="黑体"/>
          <w:spacing w:val="-4"/>
          <w:w w:val="95"/>
        </w:rPr>
        <w:t>、实施赛前反兴奋剂教育准入</w:t>
      </w:r>
    </w:p>
    <w:p>
      <w:pPr>
        <w:pStyle w:val="2"/>
        <w:spacing w:line="360" w:lineRule="auto"/>
        <w:ind w:firstLine="640" w:firstLineChars="200"/>
        <w:rPr>
          <w:rFonts w:hint="eastAsia"/>
          <w:spacing w:val="-1"/>
        </w:rPr>
      </w:pPr>
      <w:r>
        <w:rPr>
          <w:rFonts w:hint="eastAsia"/>
        </w:rPr>
        <w:t>参赛运动员</w:t>
      </w:r>
      <w:r>
        <w:rPr>
          <w:rFonts w:hint="eastAsia"/>
          <w:lang w:val="en-US"/>
        </w:rPr>
        <w:t>、教练员及工作</w:t>
      </w:r>
      <w:r>
        <w:rPr>
          <w:rFonts w:hint="eastAsia"/>
        </w:rPr>
        <w:t>人员通过中国反兴奋剂教育平台</w:t>
      </w:r>
      <w:r>
        <w:rPr>
          <w:rFonts w:hint="eastAsia"/>
          <w:spacing w:val="6"/>
          <w:w w:val="99"/>
        </w:rPr>
        <w:t>“</w:t>
      </w:r>
      <w:r>
        <w:rPr>
          <w:rFonts w:hint="eastAsia"/>
          <w:spacing w:val="6"/>
          <w:w w:val="99"/>
          <w:lang w:val="en-US"/>
        </w:rPr>
        <w:t>中国冰雪通用模块-反兴奋剂教育准入入口</w:t>
      </w:r>
      <w:r>
        <w:rPr>
          <w:rFonts w:hint="eastAsia"/>
          <w:spacing w:val="6"/>
          <w:w w:val="99"/>
        </w:rPr>
        <w:t>”完</w:t>
      </w:r>
      <w:r>
        <w:rPr>
          <w:rFonts w:hint="eastAsia"/>
          <w:spacing w:val="-1"/>
          <w:w w:val="95"/>
        </w:rPr>
        <w:t>成教育准入学习，</w:t>
      </w:r>
      <w:r>
        <w:rPr>
          <w:rFonts w:hint="eastAsia"/>
          <w:spacing w:val="-1"/>
          <w:w w:val="95"/>
          <w:lang w:val="en-US"/>
        </w:rPr>
        <w:t>考试合格获得证书后具备参赛资格。</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四、签订反兴奋剂责任书</w:t>
      </w:r>
    </w:p>
    <w:p>
      <w:pPr>
        <w:pStyle w:val="2"/>
        <w:spacing w:line="360" w:lineRule="auto"/>
        <w:ind w:right="417" w:firstLine="636" w:firstLineChars="200"/>
        <w:jc w:val="both"/>
        <w:rPr>
          <w:rFonts w:hint="eastAsia"/>
          <w:spacing w:val="-4"/>
          <w:w w:val="95"/>
          <w:lang w:val="en-US"/>
        </w:rPr>
      </w:pPr>
      <w:r>
        <w:rPr>
          <w:rFonts w:hint="eastAsia"/>
          <w:spacing w:val="-1"/>
          <w:lang w:val="en-US"/>
        </w:rPr>
        <w:t>各参赛队须签订反兴奋剂责任书，并按照反兴奋剂责任书的要求落实相关规定。</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五、食品安全要求</w:t>
      </w:r>
    </w:p>
    <w:p>
      <w:pPr>
        <w:pStyle w:val="2"/>
        <w:spacing w:line="360" w:lineRule="auto"/>
        <w:ind w:left="0" w:right="417" w:firstLine="636" w:firstLineChars="200"/>
        <w:jc w:val="both"/>
        <w:rPr>
          <w:spacing w:val="-1"/>
          <w:lang w:val="en-US"/>
        </w:rPr>
      </w:pPr>
      <w:r>
        <w:rPr>
          <w:rFonts w:hint="eastAsia"/>
          <w:spacing w:val="-1"/>
          <w:lang w:val="en-US"/>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六、药品、营养品备案</w:t>
      </w:r>
    </w:p>
    <w:p>
      <w:pPr>
        <w:pStyle w:val="2"/>
        <w:spacing w:line="360" w:lineRule="auto"/>
        <w:ind w:right="417" w:firstLine="636" w:firstLineChars="200"/>
        <w:jc w:val="both"/>
        <w:rPr>
          <w:rFonts w:hint="eastAsia"/>
          <w:spacing w:val="-1"/>
          <w:lang w:val="en-US"/>
        </w:rPr>
      </w:pPr>
      <w:r>
        <w:rPr>
          <w:rFonts w:hint="eastAsia"/>
          <w:spacing w:val="-1"/>
          <w:lang w:val="en-US"/>
        </w:rPr>
        <w:t>（一）各参赛队运动员、教练员及工作人员须对携带的药品、营养品进行登记备案，并将备案表提交组委会。</w:t>
      </w:r>
    </w:p>
    <w:p>
      <w:pPr>
        <w:pStyle w:val="2"/>
        <w:spacing w:line="360" w:lineRule="auto"/>
        <w:ind w:right="417" w:firstLine="636" w:firstLineChars="200"/>
        <w:jc w:val="both"/>
        <w:rPr>
          <w:rFonts w:hint="eastAsia"/>
          <w:spacing w:val="-1"/>
          <w:lang w:val="en-US"/>
        </w:rPr>
      </w:pPr>
      <w:r>
        <w:rPr>
          <w:rFonts w:hint="eastAsia"/>
          <w:spacing w:val="-1"/>
          <w:lang w:val="en-US"/>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七、急救医疗及治疗用药豁免</w:t>
      </w:r>
    </w:p>
    <w:p>
      <w:pPr>
        <w:pStyle w:val="2"/>
        <w:spacing w:line="360" w:lineRule="auto"/>
        <w:ind w:right="417" w:firstLine="636" w:firstLineChars="200"/>
        <w:jc w:val="both"/>
        <w:rPr>
          <w:spacing w:val="-1"/>
          <w:lang w:val="en-US"/>
        </w:rPr>
      </w:pPr>
      <w:r>
        <w:rPr>
          <w:rFonts w:hint="eastAsia"/>
          <w:spacing w:val="-1"/>
          <w:lang w:val="en-US"/>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rFonts w:hint="eastAsia"/>
          <w:spacing w:val="-4"/>
          <w:w w:val="95"/>
          <w:lang w:val="en-US"/>
        </w:rPr>
      </w:pPr>
      <w:r>
        <w:rPr>
          <w:rFonts w:hint="eastAsia"/>
          <w:spacing w:val="-1"/>
          <w:lang w:val="en-US"/>
        </w:rPr>
        <w:t>（二）</w:t>
      </w:r>
      <w:r>
        <w:rPr>
          <w:rFonts w:hint="eastAsia" w:ascii="仿宋_GB2312" w:hAnsi="仿宋_GB2312" w:eastAsia="仿宋_GB2312" w:cs="仿宋_GB2312"/>
        </w:rPr>
        <w:t>运动员为治疗急性或慢性疾病，必须使用《禁用清单》中的药物或方法，须</w:t>
      </w:r>
      <w:r>
        <w:rPr>
          <w:rFonts w:hint="eastAsia" w:ascii="仿宋_GB2312" w:hAnsi="仿宋_GB2312" w:eastAsia="仿宋_GB2312" w:cs="仿宋_GB2312"/>
          <w:lang w:val="en-US"/>
        </w:rPr>
        <w:t>提前30天向体育总局反兴奋剂中心</w:t>
      </w:r>
      <w:r>
        <w:rPr>
          <w:rFonts w:hint="eastAsia" w:ascii="仿宋_GB2312" w:hAnsi="仿宋_GB2312" w:eastAsia="仿宋_GB2312" w:cs="仿宋_GB2312"/>
        </w:rPr>
        <w:t>申请</w:t>
      </w:r>
      <w:r>
        <w:rPr>
          <w:rFonts w:hint="eastAsia" w:ascii="仿宋_GB2312" w:hAnsi="仿宋_GB2312" w:eastAsia="仿宋_GB2312" w:cs="仿宋_GB2312"/>
          <w:lang w:val="en-US"/>
        </w:rPr>
        <w:t>治疗用药豁免（TUE）（在国际单项体育联合会注册检查库或检查库的运动员，须向国际单项体育联合会申请TUE）</w:t>
      </w:r>
      <w:r>
        <w:rPr>
          <w:rFonts w:hint="eastAsia" w:ascii="仿宋_GB2312" w:hAnsi="仿宋_GB2312" w:eastAsia="仿宋_GB2312" w:cs="仿宋_GB2312"/>
        </w:rPr>
        <w:t>，并获得使用</w:t>
      </w:r>
      <w:r>
        <w:rPr>
          <w:rFonts w:hint="eastAsia" w:ascii="仿宋_GB2312" w:hAnsi="仿宋_GB2312" w:cs="仿宋_GB2312"/>
        </w:rPr>
        <w:t>该</w:t>
      </w:r>
      <w:r>
        <w:rPr>
          <w:rFonts w:hint="eastAsia" w:ascii="仿宋_GB2312" w:hAnsi="仿宋_GB2312" w:eastAsia="仿宋_GB2312" w:cs="仿宋_GB2312"/>
        </w:rPr>
        <w:t>药物和/或方法的批准。</w:t>
      </w:r>
      <w:r>
        <w:rPr>
          <w:rFonts w:hint="eastAsia" w:ascii="仿宋_GB2312" w:hAnsi="仿宋_GB2312" w:eastAsia="仿宋_GB2312" w:cs="仿宋_GB2312"/>
          <w:lang w:val="en-US"/>
        </w:rPr>
        <w:t>在接受兴奋剂检查时，需向检查官出示批准文书。</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八、赛事兴奋剂检查</w:t>
      </w:r>
    </w:p>
    <w:p>
      <w:pPr>
        <w:pStyle w:val="2"/>
        <w:spacing w:line="360" w:lineRule="auto"/>
        <w:ind w:right="417" w:firstLine="636" w:firstLineChars="200"/>
        <w:jc w:val="both"/>
        <w:rPr>
          <w:rFonts w:hint="eastAsia"/>
          <w:spacing w:val="-1"/>
          <w:lang w:val="en-US"/>
        </w:rPr>
      </w:pPr>
      <w:r>
        <w:rPr>
          <w:rFonts w:hint="eastAsia"/>
          <w:spacing w:val="-1"/>
          <w:lang w:val="en-US"/>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rFonts w:hint="eastAsia"/>
          <w:spacing w:val="-1"/>
          <w:lang w:val="en-US"/>
        </w:rPr>
      </w:pPr>
      <w:r>
        <w:rPr>
          <w:rFonts w:hint="eastAsia"/>
          <w:spacing w:val="-1"/>
          <w:lang w:val="en-US"/>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九、其他</w:t>
      </w:r>
    </w:p>
    <w:p>
      <w:pPr>
        <w:pStyle w:val="2"/>
        <w:spacing w:line="360" w:lineRule="auto"/>
        <w:ind w:right="417" w:firstLine="636" w:firstLineChars="200"/>
        <w:jc w:val="both"/>
        <w:rPr>
          <w:rFonts w:hint="eastAsia"/>
          <w:spacing w:val="-1"/>
          <w:lang w:val="en-US"/>
        </w:rPr>
      </w:pPr>
      <w:r>
        <w:rPr>
          <w:rFonts w:hint="eastAsia"/>
          <w:spacing w:val="-1"/>
        </w:rPr>
        <w:t>请在参赛前</w:t>
      </w:r>
      <w:r>
        <w:rPr>
          <w:rFonts w:hint="eastAsia"/>
          <w:spacing w:val="-1"/>
          <w:lang w:val="en-US"/>
        </w:rPr>
        <w:t>4天（根据开赛日期填写），</w:t>
      </w:r>
      <w:r>
        <w:rPr>
          <w:rFonts w:hint="eastAsia"/>
          <w:spacing w:val="-1"/>
        </w:rPr>
        <w:t>将参赛队反兴奋剂责任分工、兴奋剂违规背景审查表、反兴奋剂责任书</w:t>
      </w:r>
      <w:r>
        <w:rPr>
          <w:rFonts w:hint="eastAsia"/>
          <w:spacing w:val="-1"/>
          <w:lang w:val="en-US"/>
        </w:rPr>
        <w:t>（</w:t>
      </w:r>
      <w:r>
        <w:rPr>
          <w:rFonts w:hint="eastAsia"/>
          <w:spacing w:val="-1"/>
        </w:rPr>
        <w:t>签字版扫描件</w:t>
      </w:r>
      <w:r>
        <w:rPr>
          <w:rFonts w:hint="eastAsia"/>
          <w:spacing w:val="-1"/>
          <w:lang w:val="en-US"/>
        </w:rPr>
        <w:t>，</w:t>
      </w:r>
      <w:r>
        <w:rPr>
          <w:rFonts w:hint="eastAsia"/>
          <w:spacing w:val="-1"/>
        </w:rPr>
        <w:t>每页均需签字</w:t>
      </w:r>
      <w:r>
        <w:rPr>
          <w:rFonts w:hint="eastAsia"/>
          <w:spacing w:val="-1"/>
          <w:lang w:val="en-US"/>
        </w:rPr>
        <w:t>）</w:t>
      </w:r>
      <w:r>
        <w:rPr>
          <w:rFonts w:hint="eastAsia"/>
          <w:spacing w:val="-1"/>
        </w:rPr>
        <w:t>、参赛人员药品营养品登记表、反兴奋剂教育准入考试合格证书等</w:t>
      </w:r>
      <w:r>
        <w:rPr>
          <w:rFonts w:hint="eastAsia"/>
          <w:spacing w:val="-1"/>
          <w:lang w:val="en-US"/>
        </w:rPr>
        <w:t>，</w:t>
      </w:r>
      <w:r>
        <w:rPr>
          <w:rFonts w:hint="eastAsia"/>
          <w:spacing w:val="-1"/>
        </w:rPr>
        <w:t>以</w:t>
      </w:r>
      <w:r>
        <w:rPr>
          <w:rFonts w:hint="eastAsia"/>
          <w:spacing w:val="-1"/>
          <w:lang w:val="en-US"/>
        </w:rPr>
        <w:t>“</w:t>
      </w:r>
      <w:r>
        <w:rPr>
          <w:rFonts w:hint="eastAsia"/>
          <w:spacing w:val="-1"/>
        </w:rPr>
        <w:t>赛事名称</w:t>
      </w:r>
      <w:r>
        <w:rPr>
          <w:rFonts w:hint="eastAsia"/>
          <w:spacing w:val="-1"/>
          <w:lang w:val="en-US"/>
        </w:rPr>
        <w:t>+</w:t>
      </w:r>
      <w:r>
        <w:rPr>
          <w:rFonts w:hint="eastAsia"/>
          <w:spacing w:val="-1"/>
        </w:rPr>
        <w:t>代表单位</w:t>
      </w:r>
      <w:r>
        <w:rPr>
          <w:rFonts w:hint="eastAsia"/>
          <w:spacing w:val="-1"/>
          <w:lang w:val="en-US"/>
        </w:rPr>
        <w:t>”</w:t>
      </w:r>
      <w:r>
        <w:rPr>
          <w:rFonts w:hint="eastAsia"/>
          <w:spacing w:val="-1"/>
        </w:rPr>
        <w:t>的格式统一发送至</w:t>
      </w:r>
      <w:r>
        <w:rPr>
          <w:rFonts w:hint="eastAsia"/>
          <w:spacing w:val="-1"/>
          <w:lang w:val="en-US"/>
        </w:rPr>
        <w:t>antidopingrace@163.com</w:t>
      </w:r>
      <w:r>
        <w:rPr>
          <w:rFonts w:hint="eastAsia"/>
          <w:spacing w:val="-1"/>
        </w:rPr>
        <w:t>。</w:t>
      </w:r>
    </w:p>
    <w:p>
      <w:pPr>
        <w:pStyle w:val="2"/>
        <w:spacing w:line="360" w:lineRule="auto"/>
        <w:ind w:right="417" w:firstLine="636" w:firstLineChars="200"/>
        <w:jc w:val="both"/>
        <w:rPr>
          <w:rFonts w:hint="eastAsia"/>
          <w:spacing w:val="-1"/>
          <w:lang w:val="en-US"/>
        </w:rPr>
      </w:pPr>
    </w:p>
    <w:p>
      <w:pPr>
        <w:pStyle w:val="2"/>
        <w:spacing w:line="360" w:lineRule="auto"/>
        <w:ind w:right="417" w:firstLine="636" w:firstLineChars="200"/>
        <w:jc w:val="both"/>
        <w:rPr>
          <w:rFonts w:hint="eastAsia"/>
          <w:spacing w:val="-1"/>
          <w:lang w:val="en-US"/>
        </w:rPr>
      </w:pPr>
      <w:r>
        <w:rPr>
          <w:rFonts w:hint="eastAsia"/>
          <w:spacing w:val="-1"/>
          <w:lang w:val="en-US"/>
        </w:rPr>
        <w:t>附件：1.参赛队反兴奋剂责任分工</w:t>
      </w:r>
    </w:p>
    <w:p>
      <w:pPr>
        <w:pStyle w:val="2"/>
        <w:spacing w:line="360" w:lineRule="auto"/>
        <w:ind w:right="417" w:firstLine="636" w:firstLineChars="200"/>
        <w:jc w:val="both"/>
        <w:rPr>
          <w:spacing w:val="-1"/>
          <w:lang w:val="en-US"/>
        </w:rPr>
      </w:pPr>
      <w:r>
        <w:rPr>
          <w:rFonts w:hint="eastAsia"/>
          <w:spacing w:val="-1"/>
          <w:lang w:val="en-US"/>
        </w:rPr>
        <w:t xml:space="preserve">      2.反兴奋剂背景审查表</w:t>
      </w:r>
    </w:p>
    <w:p>
      <w:pPr>
        <w:pStyle w:val="2"/>
        <w:spacing w:line="360" w:lineRule="auto"/>
        <w:ind w:right="417" w:firstLine="1590" w:firstLineChars="500"/>
        <w:jc w:val="both"/>
        <w:rPr>
          <w:spacing w:val="-1"/>
          <w:lang w:val="en-US"/>
        </w:rPr>
      </w:pPr>
      <w:r>
        <w:rPr>
          <w:rFonts w:hint="eastAsia"/>
          <w:spacing w:val="-1"/>
          <w:lang w:val="en-US"/>
        </w:rPr>
        <w:t>3.反兴奋剂责任书</w:t>
      </w:r>
    </w:p>
    <w:p>
      <w:pPr>
        <w:pStyle w:val="2"/>
        <w:spacing w:line="360" w:lineRule="auto"/>
        <w:ind w:left="1977" w:leftChars="790" w:right="417" w:hanging="318" w:hangingChars="100"/>
        <w:jc w:val="both"/>
        <w:rPr>
          <w:rFonts w:hint="eastAsia"/>
          <w:spacing w:val="-1"/>
          <w:lang w:val="en-US"/>
        </w:rPr>
      </w:pPr>
      <w:r>
        <w:rPr>
          <w:rFonts w:hint="eastAsia"/>
          <w:spacing w:val="-1"/>
          <w:lang w:val="en-US"/>
        </w:rPr>
        <w:t>4.参赛人员药品、营养品登记表（运动员备用及工作人员自用）</w:t>
      </w:r>
    </w:p>
    <w:p>
      <w:pPr>
        <w:pStyle w:val="2"/>
        <w:spacing w:line="360" w:lineRule="auto"/>
        <w:ind w:left="1977" w:leftChars="790" w:right="417" w:hanging="318" w:hangingChars="100"/>
        <w:jc w:val="both"/>
        <w:rPr>
          <w:rFonts w:hint="eastAsia"/>
          <w:spacing w:val="-1"/>
          <w:lang w:val="en-US"/>
        </w:rPr>
      </w:pPr>
      <w:r>
        <w:rPr>
          <w:rFonts w:hint="eastAsia"/>
          <w:spacing w:val="-1"/>
          <w:lang w:val="en-US"/>
        </w:rPr>
        <w:t>5.反兴奋剂准入教育操作指南</w:t>
      </w:r>
    </w:p>
    <w:p>
      <w:pPr>
        <w:pStyle w:val="2"/>
        <w:spacing w:line="360" w:lineRule="auto"/>
        <w:ind w:left="1977" w:leftChars="790" w:right="417" w:hanging="318" w:hangingChars="100"/>
        <w:jc w:val="both"/>
        <w:rPr>
          <w:rFonts w:hint="eastAsia"/>
          <w:spacing w:val="-1"/>
          <w:lang w:val="en-US"/>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1</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2"/>
        <w:gridCol w:w="1183"/>
        <w:gridCol w:w="2383"/>
        <w:gridCol w:w="1636"/>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sz w:val="28"/>
                <w:szCs w:val="28"/>
                <w:lang w:val="en-US"/>
              </w:rPr>
              <w:t>序号</w:t>
            </w:r>
          </w:p>
        </w:tc>
        <w:tc>
          <w:tcPr>
            <w:tcW w:w="859" w:type="dxa"/>
            <w:noWrap w:val="0"/>
            <w:vAlign w:val="top"/>
          </w:tcPr>
          <w:p>
            <w:pPr>
              <w:jc w:val="center"/>
              <w:rPr>
                <w:rFonts w:hint="eastAsia"/>
                <w:sz w:val="28"/>
                <w:szCs w:val="28"/>
                <w:lang w:val="en-US"/>
              </w:rPr>
            </w:pPr>
            <w:r>
              <w:rPr>
                <w:rFonts w:hint="eastAsia"/>
                <w:sz w:val="28"/>
                <w:szCs w:val="28"/>
                <w:lang w:val="en-US"/>
              </w:rPr>
              <w:t>姓名</w:t>
            </w:r>
          </w:p>
        </w:tc>
        <w:tc>
          <w:tcPr>
            <w:tcW w:w="1285" w:type="dxa"/>
            <w:noWrap w:val="0"/>
            <w:vAlign w:val="top"/>
          </w:tcPr>
          <w:p>
            <w:pPr>
              <w:jc w:val="center"/>
              <w:rPr>
                <w:rFonts w:hint="eastAsia"/>
                <w:sz w:val="28"/>
                <w:szCs w:val="28"/>
                <w:lang w:val="en-US"/>
              </w:rPr>
            </w:pPr>
            <w:r>
              <w:rPr>
                <w:rFonts w:hint="eastAsia"/>
                <w:sz w:val="28"/>
                <w:szCs w:val="28"/>
                <w:lang w:val="en-US"/>
              </w:rPr>
              <w:t>参赛队</w:t>
            </w:r>
          </w:p>
          <w:p>
            <w:pPr>
              <w:jc w:val="center"/>
              <w:rPr>
                <w:rFonts w:hint="eastAsia"/>
                <w:sz w:val="28"/>
                <w:szCs w:val="28"/>
                <w:lang w:val="en-US"/>
              </w:rPr>
            </w:pPr>
            <w:r>
              <w:rPr>
                <w:rFonts w:hint="eastAsia"/>
                <w:sz w:val="28"/>
                <w:szCs w:val="28"/>
                <w:lang w:val="en-US"/>
              </w:rPr>
              <w:t>职务</w:t>
            </w:r>
          </w:p>
        </w:tc>
        <w:tc>
          <w:tcPr>
            <w:tcW w:w="2664" w:type="dxa"/>
            <w:noWrap w:val="0"/>
            <w:vAlign w:val="top"/>
          </w:tcPr>
          <w:p>
            <w:pPr>
              <w:jc w:val="center"/>
              <w:rPr>
                <w:sz w:val="28"/>
                <w:szCs w:val="28"/>
                <w:lang w:val="en-US"/>
              </w:rPr>
            </w:pPr>
            <w:r>
              <w:rPr>
                <w:rFonts w:hint="eastAsia"/>
                <w:sz w:val="28"/>
                <w:szCs w:val="28"/>
                <w:lang w:val="en-US"/>
              </w:rPr>
              <w:t>单位名称及职务</w:t>
            </w:r>
          </w:p>
        </w:tc>
        <w:tc>
          <w:tcPr>
            <w:tcW w:w="1806" w:type="dxa"/>
            <w:noWrap w:val="0"/>
            <w:vAlign w:val="top"/>
          </w:tcPr>
          <w:p>
            <w:pPr>
              <w:jc w:val="center"/>
              <w:rPr>
                <w:sz w:val="28"/>
                <w:szCs w:val="28"/>
                <w:lang w:val="en-US"/>
              </w:rPr>
            </w:pPr>
            <w:r>
              <w:rPr>
                <w:rFonts w:hint="eastAsia"/>
                <w:sz w:val="28"/>
                <w:szCs w:val="28"/>
                <w:lang w:val="en-US"/>
              </w:rPr>
              <w:t>反兴奋剂岗位</w:t>
            </w:r>
          </w:p>
        </w:tc>
        <w:tc>
          <w:tcPr>
            <w:tcW w:w="1806" w:type="dxa"/>
            <w:noWrap w:val="0"/>
            <w:vAlign w:val="top"/>
          </w:tcPr>
          <w:p>
            <w:pPr>
              <w:jc w:val="center"/>
              <w:rPr>
                <w:rFonts w:hint="eastAsia"/>
                <w:sz w:val="28"/>
                <w:szCs w:val="28"/>
                <w:lang w:val="en-US"/>
              </w:rPr>
            </w:pPr>
            <w:r>
              <w:rPr>
                <w:rFonts w:hint="eastAsia"/>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第一责任人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 xml:space="preserve"> 药品管理责任人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营养品管理责任人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食品管理责任人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运动员反兴奋剂责任人1</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运动员反兴奋剂责任人2</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运动员反兴奋剂责任人3</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color w:val="FF0000"/>
                <w:sz w:val="18"/>
                <w:szCs w:val="18"/>
                <w:lang w:val="en-US"/>
              </w:rPr>
              <w:t>例</w:t>
            </w:r>
          </w:p>
        </w:tc>
        <w:tc>
          <w:tcPr>
            <w:tcW w:w="859" w:type="dxa"/>
            <w:noWrap w:val="0"/>
            <w:vAlign w:val="top"/>
          </w:tcPr>
          <w:p>
            <w:pPr>
              <w:jc w:val="center"/>
              <w:rPr>
                <w:rFonts w:hint="eastAsia"/>
                <w:sz w:val="28"/>
                <w:szCs w:val="28"/>
                <w:lang w:val="en-US"/>
              </w:rPr>
            </w:pPr>
            <w:r>
              <w:rPr>
                <w:rFonts w:hint="eastAsia"/>
                <w:color w:val="FF0000"/>
                <w:sz w:val="18"/>
                <w:szCs w:val="18"/>
                <w:lang w:val="en-US"/>
              </w:rPr>
              <w:t>张三</w:t>
            </w:r>
          </w:p>
        </w:tc>
        <w:tc>
          <w:tcPr>
            <w:tcW w:w="1285" w:type="dxa"/>
            <w:noWrap w:val="0"/>
            <w:vAlign w:val="top"/>
          </w:tcPr>
          <w:p>
            <w:pPr>
              <w:jc w:val="center"/>
              <w:rPr>
                <w:rFonts w:hint="eastAsia"/>
                <w:sz w:val="28"/>
                <w:szCs w:val="28"/>
                <w:lang w:val="en-US"/>
              </w:rPr>
            </w:pPr>
            <w:r>
              <w:rPr>
                <w:rFonts w:hint="eastAsia"/>
                <w:color w:val="FF0000"/>
                <w:sz w:val="18"/>
                <w:szCs w:val="18"/>
                <w:lang w:val="en-US"/>
              </w:rPr>
              <w:t>领队</w:t>
            </w:r>
          </w:p>
        </w:tc>
        <w:tc>
          <w:tcPr>
            <w:tcW w:w="2664"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1806"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1806"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jc w:val="both"/>
        <w:rPr>
          <w:rFonts w:ascii="宋体" w:hAnsi="宋体" w:cs="仿宋_GB2312"/>
          <w:sz w:val="36"/>
          <w:szCs w:val="36"/>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3</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w:t>
      </w:r>
      <w:r>
        <w:rPr>
          <w:rFonts w:hint="eastAsia" w:ascii="宋体" w:hAnsi="宋体"/>
          <w:b/>
          <w:sz w:val="36"/>
          <w:szCs w:val="36"/>
          <w:lang w:val="en-US" w:eastAsia="zh-CN"/>
        </w:rPr>
        <w:t>2022-2023全国</w:t>
      </w:r>
      <w:r>
        <w:rPr>
          <w:rFonts w:hint="eastAsia" w:ascii="宋体" w:hAnsi="宋体"/>
          <w:b/>
          <w:sz w:val="36"/>
          <w:szCs w:val="36"/>
          <w:lang w:eastAsia="zh-CN"/>
        </w:rPr>
        <w:t>自由式滑雪障碍追逐</w:t>
      </w:r>
      <w:r>
        <w:rPr>
          <w:rFonts w:hint="eastAsia" w:ascii="宋体" w:hAnsi="宋体"/>
          <w:b/>
          <w:sz w:val="36"/>
          <w:szCs w:val="36"/>
          <w:lang w:val="en-US" w:eastAsia="zh-CN"/>
        </w:rPr>
        <w:t>锦标赛</w:t>
      </w:r>
      <w:r>
        <w:rPr>
          <w:rFonts w:hint="eastAsia" w:ascii="宋体" w:hAnsi="宋体"/>
          <w:b/>
          <w:sz w:val="36"/>
          <w:szCs w:val="36"/>
          <w:lang w:val="en-US"/>
        </w:rPr>
        <w:t>]</w:t>
      </w:r>
    </w:p>
    <w:p>
      <w:pPr>
        <w:spacing w:line="520" w:lineRule="exact"/>
        <w:jc w:val="center"/>
        <w:rPr>
          <w:rFonts w:hint="eastAsia" w:ascii="宋体" w:hAnsi="宋体"/>
          <w:b/>
          <w:sz w:val="36"/>
          <w:szCs w:val="36"/>
        </w:rPr>
      </w:pP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2022-2023赛季</w:t>
      </w:r>
      <w:r>
        <w:rPr>
          <w:rFonts w:hint="eastAsia" w:ascii="仿宋_GB2312" w:hAnsi="仿宋_GB2312" w:eastAsia="仿宋_GB2312" w:cs="仿宋_GB2312"/>
          <w:b w:val="0"/>
          <w:bCs/>
          <w:sz w:val="32"/>
          <w:szCs w:val="32"/>
          <w:lang w:eastAsia="zh-CN"/>
        </w:rPr>
        <w:t>全国自由式滑雪障碍追逐</w:t>
      </w:r>
      <w:r>
        <w:rPr>
          <w:rFonts w:hint="eastAsia" w:ascii="仿宋_GB2312" w:eastAsia="仿宋_GB2312"/>
          <w:sz w:val="32"/>
          <w:szCs w:val="32"/>
          <w:lang w:val="en-US" w:eastAsia="zh-CN"/>
        </w:rPr>
        <w:t>锦标赛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6"/>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rPr>
        <w:t>2</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5</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5"/>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1430" b="5080"/>
            <wp:docPr id="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b8b591cce86d524c3c021bd25282f76c_"/>
                    <pic:cNvPicPr>
                      <a:picLocks noChangeAspect="1"/>
                    </pic:cNvPicPr>
                  </pic:nvPicPr>
                  <pic:blipFill>
                    <a:blip r:embed="rId8"/>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17780" b="4445"/>
            <wp:docPr id="11"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42c58ef70c777e4c4fff433e427cabfd_"/>
                    <pic:cNvPicPr>
                      <a:picLocks noChangeAspect="1"/>
                    </pic:cNvPicPr>
                  </pic:nvPicPr>
                  <pic:blipFill>
                    <a:blip r:embed="rId9"/>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13970" b="12700"/>
            <wp:docPr id="10"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dcad71617f89432d6a4a7ec01139ceb"/>
                    <pic:cNvPicPr>
                      <a:picLocks noChangeAspect="1"/>
                    </pic:cNvPicPr>
                  </pic:nvPicPr>
                  <pic:blipFill>
                    <a:blip r:embed="rId10"/>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13"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908a1e93c1c86641167d1d8dc3d0a65"/>
                    <pic:cNvPicPr>
                      <a:picLocks noChangeAspect="1"/>
                    </pic:cNvPicPr>
                  </pic:nvPicPr>
                  <pic:blipFill>
                    <a:blip r:embed="rId11"/>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12065"/>
            <wp:docPr id="1"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caa3a0948df35d0d6b0173e6838538b"/>
                    <pic:cNvPicPr>
                      <a:picLocks noChangeAspect="1"/>
                    </pic:cNvPicPr>
                  </pic:nvPicPr>
                  <pic:blipFill>
                    <a:blip r:embed="rId12"/>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9525"/>
            <wp:docPr id="6"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b4199712be3732562c55dc5f98a0ae"/>
                    <pic:cNvPicPr>
                      <a:picLocks noChangeAspect="1"/>
                    </pic:cNvPicPr>
                  </pic:nvPicPr>
                  <pic:blipFill>
                    <a:blip r:embed="rId13"/>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13335" b="1079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5"/>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9"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d9a48ac0320392614f63f2a9fff0f20"/>
                    <pic:cNvPicPr>
                      <a:picLocks noChangeAspect="1"/>
                    </pic:cNvPicPr>
                  </pic:nvPicPr>
                  <pic:blipFill>
                    <a:blip r:embed="rId16"/>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rPr>
        <w:drawing>
          <wp:anchor distT="0" distB="0" distL="114300" distR="114300" simplePos="0" relativeHeight="251659264" behindDoc="0" locked="0" layoutInCell="1" allowOverlap="1">
            <wp:simplePos x="0" y="0"/>
            <wp:positionH relativeFrom="column">
              <wp:posOffset>838200</wp:posOffset>
            </wp:positionH>
            <wp:positionV relativeFrom="paragraph">
              <wp:posOffset>487680</wp:posOffset>
            </wp:positionV>
            <wp:extent cx="3659505" cy="2622550"/>
            <wp:effectExtent l="0" t="0" r="17145" b="6350"/>
            <wp:wrapTopAndBottom/>
            <wp:docPr id="14" name="图片 2"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d80a643e301967088a70bb7462da0b1"/>
                    <pic:cNvPicPr>
                      <a:picLocks noChangeAspect="1"/>
                    </pic:cNvPicPr>
                  </pic:nvPicPr>
                  <pic:blipFill>
                    <a:blip r:embed="rId17"/>
                    <a:stretch>
                      <a:fillRect/>
                    </a:stretch>
                  </pic:blipFill>
                  <pic:spPr>
                    <a:xfrm>
                      <a:off x="0" y="0"/>
                      <a:ext cx="3659505" cy="2622550"/>
                    </a:xfrm>
                    <a:prstGeom prst="rect">
                      <a:avLst/>
                    </a:prstGeom>
                    <a:noFill/>
                    <a:ln>
                      <a:noFill/>
                    </a:ln>
                  </pic:spPr>
                </pic:pic>
              </a:graphicData>
            </a:graphic>
          </wp:anchor>
        </w:drawing>
      </w:r>
      <w:r>
        <w:rPr>
          <w:rFonts w:hint="eastAsia"/>
          <w:sz w:val="32"/>
          <w:szCs w:val="32"/>
          <w:lang w:val="en-US"/>
        </w:rPr>
        <w:t>（三）找到“中国冰雪准入合格证书”，点击下载保存</w:t>
      </w:r>
    </w:p>
    <w:p>
      <w:pPr>
        <w:bidi w:val="0"/>
        <w:rPr>
          <w:rFonts w:hint="eastAsia"/>
          <w:kern w:val="2"/>
          <w:sz w:val="21"/>
          <w:szCs w:val="24"/>
          <w:lang w:val="en-US" w:eastAsia="zh-CN" w:bidi="ar-SA"/>
        </w:rPr>
      </w:pPr>
    </w:p>
    <w:p>
      <w:pPr>
        <w:tabs>
          <w:tab w:val="left" w:pos="7375"/>
        </w:tabs>
        <w:bidi w:val="0"/>
        <w:jc w:val="left"/>
        <w:rPr>
          <w:rFonts w:hint="eastAsia"/>
          <w:lang w:val="en-US" w:eastAsia="zh-CN"/>
        </w:rPr>
      </w:pPr>
      <w:r>
        <w:rPr>
          <w:rFonts w:hint="eastAsia"/>
          <w:lang w:val="en-US" w:eastAsia="zh-CN"/>
        </w:rPr>
        <w:tab/>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7162407B"/>
    <w:rsid w:val="71624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character" w:styleId="5">
    <w:name w:val="Hyperlink"/>
    <w:qFormat/>
    <w:uiPriority w:val="0"/>
    <w:rPr>
      <w:color w:val="0563C1"/>
      <w:u w:val="single"/>
    </w:rPr>
  </w:style>
  <w:style w:type="character" w:customStyle="1" w:styleId="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2022-12-16T02:15:00Z</dcterms:created>
  <dc:creator>飒飒</dc:creator>
  <cp:lastModifiedBy>飒飒</cp:lastModifiedBy>
  <dcterms:modified xsi:type="dcterms:W3CDTF">2022-12-16T02:15:32Z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26903F89729649AAA61B0C4929859EB9</vt:lpwstr>
  </property>
</Properties>
</file>