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2022-2023 赛季全国单板滑雪</w:t>
      </w:r>
    </w:p>
    <w:p>
      <w:pPr>
        <w:keepNext w:val="0"/>
        <w:keepLines w:val="0"/>
        <w:widowControl/>
        <w:suppressLineNumbers w:val="0"/>
        <w:jc w:val="center"/>
      </w:pPr>
      <w:r>
        <w:rPr>
          <w:rFonts w:hint="eastAsia" w:ascii="宋体" w:hAnsi="宋体" w:eastAsia="宋体" w:cs="宋体"/>
          <w:color w:val="000000"/>
          <w:kern w:val="0"/>
          <w:sz w:val="36"/>
          <w:szCs w:val="36"/>
          <w:lang w:val="en-US" w:eastAsia="zh-CN" w:bidi="ar"/>
        </w:rPr>
        <w:t>大跳台和坡面障碍技巧锦标赛竞赛规程</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一、日期和地点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时间：2022年12月22日-12月25日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地点：吉林省长白山和平滑雪场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二、竞赛项目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单板滑雪男子、女子大跳台（成年组）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单板滑雪男子、女子大跳台（青年组）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单板滑雪男子、女子坡面障碍技巧（成年组）</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单板滑雪男子、女子坡面障碍技巧（青年组）</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三、参赛资格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（一）符合《全国冰雪赛事参赛资格办法》的运动员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均可报名参加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（二）参赛年龄要求 </w:t>
      </w:r>
    </w:p>
    <w:p>
      <w:pPr>
        <w:keepNext w:val="0"/>
        <w:keepLines w:val="0"/>
        <w:widowControl/>
        <w:suppressLineNumbers w:val="0"/>
        <w:ind w:firstLine="620" w:firstLineChars="200"/>
        <w:jc w:val="left"/>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成年组参赛运动员应年满18周岁（2004年12 月 31 日之前出生）</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青年组参赛运动员年龄为13至17周岁之间（2005年1月1日至2009年12 月 31 日）。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（三）运动员年龄资格以二代身份证为准。 </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 xml:space="preserve">（四）参赛防疫要求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1、参赛运动员须符合办赛所在地疫情防控要求相关规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 xml:space="preserve">定，30天内无境外或非低风险地区的旅行、居留史。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2、参赛运动员须持赛前48小时内核酸检测阴性证明前往赛区参赛，抵达赛区后参加组委会在赛区组织的核酸检测，核酸检测阴性方可参赛。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3、自报到至离会期间实行闭环管理，运动员在大会统一食宿、交通，不得外出，不得接触非大会人员。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四、竞赛办法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（一）执行国际雪联《单板滑雪国际竞赛规则》关于单板滑雪大跳台和坡面障碍技巧的最新规则。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（二）成年组和青年组的比赛均分为预赛和决赛。 </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大跳台：预赛三轮，取最好成绩进行排名，男子前12</w:t>
      </w:r>
      <w:r>
        <w:rPr>
          <w:rFonts w:hint="eastAsia" w:ascii="仿宋" w:hAnsi="仿宋" w:eastAsia="仿宋" w:cs="仿宋"/>
          <w:color w:val="000000"/>
          <w:kern w:val="0"/>
          <w:sz w:val="31"/>
          <w:szCs w:val="31"/>
          <w:lang w:val="en-US" w:eastAsia="zh-CN" w:bidi="ar"/>
        </w:rPr>
        <w:t xml:space="preserve">名，女子前 8 名进入决赛，决赛三轮，取两轮不同种类动作最好成绩相加进行排名。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坡面障碍技巧：预赛两轮，取最好成绩进行排名，男子前 12 名，女子前 8 名进入决赛，决赛三轮，取最好成绩进行排名。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五、奖励办法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成年组和青年组各单项录取前８名，前３名颁发奖牌和证书，４至８名颁发证书。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六、报名和报到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（一）报名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填写《2022-2023全国单板滑雪大跳台和坡面障碍技巧锦标赛报名表》并加盖公章，于2022年12月15日前将报名表已邮件形式同时发送至国家体育总局冬季运动管理中心和长白山和平滑雪场。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1．国家体育总局冬季运动管理中心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邮 箱：jingsaibu123@163.com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联系人：周瑾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电 话：010-8831004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2. 长白山和平滑雪场</w:t>
      </w:r>
    </w:p>
    <w:p>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邮 箱：</w:t>
      </w:r>
      <w:r>
        <w:rPr>
          <w:rFonts w:hint="eastAsia" w:ascii="仿宋" w:hAnsi="仿宋" w:eastAsia="仿宋" w:cs="仿宋"/>
          <w:color w:val="0000FF"/>
          <w:kern w:val="0"/>
          <w:sz w:val="31"/>
          <w:szCs w:val="31"/>
          <w:lang w:val="en-US" w:eastAsia="zh-CN" w:bidi="ar"/>
        </w:rPr>
        <w:t xml:space="preserve">dtm9010@foxmail.com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联系人：毛德昌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电 话：18666423565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（二）报到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参赛单位和裁判员于比赛日前3天到赛区报到。参赛队的食宿、交通费和索道票自理。各参赛队员请于12月19日12：00前报到。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报到时交验：1、身份证；2、48 小时内核酸检测阴性报告；3、意外伤害保险（保额不少于30万人民币）证明；4、本人签字的防疫遵守承诺书；5、完成上述报到手续后，进行二次核酸检测，检测阴性后统一入住赛事指定酒店，实行闭环管理。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七、技术官员</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比赛裁判员由国家体育总局冬季运动管理中心选派。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八、仲裁和申诉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仲裁委员会的人员组成和职能范围按国际雪联有关规定执行。如果参赛单位对运动员的成绩和判罚等方面有异议，须在此比赛非正式成绩公布后 30 分钟之内，以书面形式申请仲裁，并提供相关证据。 </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九、竞赛日程 </w:t>
      </w:r>
    </w:p>
    <w:p>
      <w:pPr>
        <w:keepNext w:val="0"/>
        <w:keepLines w:val="0"/>
        <w:widowControl/>
        <w:suppressLineNumbers w:val="0"/>
        <w:jc w:val="left"/>
        <w:rPr>
          <w:vertAlign w:val="baseline"/>
        </w:rPr>
      </w:pPr>
      <w:r>
        <w:rPr>
          <w:rFonts w:hint="eastAsia" w:ascii="仿宋" w:hAnsi="仿宋" w:eastAsia="仿宋" w:cs="仿宋"/>
          <w:color w:val="000000"/>
          <w:kern w:val="0"/>
          <w:sz w:val="31"/>
          <w:szCs w:val="31"/>
          <w:lang w:val="en-US" w:eastAsia="zh-CN" w:bidi="ar"/>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300"/>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日期</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时间</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2022年12月19日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报到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2022年12月20日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2022年12月21日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公开训练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restart"/>
            <w:vAlign w:val="center"/>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2022年12月22日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上午</w:t>
            </w:r>
          </w:p>
        </w:tc>
        <w:tc>
          <w:tcPr>
            <w:tcW w:w="4380"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男、女坡面障碍技巧（成年组）预赛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tc>
        <w:tc>
          <w:tcPr>
            <w:tcW w:w="1300" w:type="dxa"/>
            <w:vAlign w:val="center"/>
          </w:tcPr>
          <w:p>
            <w:pPr>
              <w:keepNext w:val="0"/>
              <w:keepLines w:val="0"/>
              <w:widowControl/>
              <w:suppressLineNumbers w:val="0"/>
              <w:ind w:left="0" w:leftChars="0" w:firstLine="0" w:firstLineChars="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下午</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男、女坡面障碍技巧（青年组）预赛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restart"/>
            <w:vAlign w:val="center"/>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2022年12月23日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上午</w:t>
            </w:r>
          </w:p>
        </w:tc>
        <w:tc>
          <w:tcPr>
            <w:tcW w:w="4380"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男、女大跳台（成年组）预赛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下午</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男、女大跳台（青年组）预赛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restart"/>
            <w:vAlign w:val="center"/>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2022年12月24日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上午</w:t>
            </w:r>
          </w:p>
        </w:tc>
        <w:tc>
          <w:tcPr>
            <w:tcW w:w="4380" w:type="dxa"/>
          </w:tcPr>
          <w:p>
            <w:pPr>
              <w:keepNext w:val="0"/>
              <w:keepLines w:val="0"/>
              <w:widowControl/>
              <w:suppressLineNumbers w:val="0"/>
              <w:jc w:val="center"/>
              <w:rPr>
                <w:rFonts w:hint="default"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男、女坡面障碍技巧（成年组）决赛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下午</w:t>
            </w:r>
          </w:p>
        </w:tc>
        <w:tc>
          <w:tcPr>
            <w:tcW w:w="4380"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男、女坡面障碍技巧（青年组）决赛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restart"/>
            <w:vAlign w:val="center"/>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2022年12月25日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上午</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男、女大跳台（成年组）决赛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下午</w:t>
            </w:r>
          </w:p>
        </w:tc>
        <w:tc>
          <w:tcPr>
            <w:tcW w:w="4380" w:type="dxa"/>
            <w:vAlign w:val="top"/>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男、女大跳台（青年组）决赛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2022年12月26日</w:t>
            </w:r>
          </w:p>
        </w:tc>
        <w:tc>
          <w:tcPr>
            <w:tcW w:w="1300" w:type="dxa"/>
            <w:vAlign w:val="center"/>
          </w:tcPr>
          <w:p>
            <w:pPr>
              <w:keepNext w:val="0"/>
              <w:keepLines w:val="0"/>
              <w:widowControl/>
              <w:suppressLineNumbers w:val="0"/>
              <w:ind w:left="0" w:leftChars="0" w:firstLine="0" w:firstLineChars="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全天</w:t>
            </w:r>
          </w:p>
        </w:tc>
        <w:tc>
          <w:tcPr>
            <w:tcW w:w="4380" w:type="dxa"/>
          </w:tcPr>
          <w:p>
            <w:pPr>
              <w:keepNext w:val="0"/>
              <w:keepLines w:val="0"/>
              <w:widowControl/>
              <w:suppressLineNumbers w:val="0"/>
              <w:jc w:val="center"/>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离会</w:t>
            </w:r>
          </w:p>
        </w:tc>
      </w:tr>
    </w:tbl>
    <w:p>
      <w:pPr>
        <w:keepNext w:val="0"/>
        <w:keepLines w:val="0"/>
        <w:widowControl/>
        <w:suppressLineNumbers w:val="0"/>
        <w:jc w:val="left"/>
      </w:pP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十、经费</w:t>
      </w:r>
      <w:r>
        <w:rPr>
          <w:rFonts w:hint="eastAsia" w:ascii="仿宋" w:hAnsi="仿宋" w:eastAsia="仿宋" w:cs="仿宋"/>
          <w:b/>
          <w:bCs/>
          <w:color w:val="000000"/>
          <w:kern w:val="0"/>
          <w:sz w:val="24"/>
          <w:szCs w:val="24"/>
          <w:lang w:val="en-US" w:eastAsia="zh-CN" w:bidi="ar"/>
        </w:rPr>
        <w:t xml:space="preserve"> </w:t>
      </w:r>
    </w:p>
    <w:p>
      <w:pPr>
        <w:keepNext w:val="0"/>
        <w:keepLines w:val="0"/>
        <w:widowControl/>
        <w:suppressLineNumbers w:val="0"/>
        <w:ind w:firstLine="620" w:firstLineChars="200"/>
        <w:jc w:val="left"/>
        <w:rPr>
          <w:rFonts w:hint="eastAsia" w:ascii="仿宋" w:hAnsi="仿宋" w:eastAsia="仿宋" w:cs="仿宋"/>
          <w:color w:val="000000"/>
          <w:kern w:val="0"/>
          <w:sz w:val="31"/>
          <w:szCs w:val="31"/>
          <w:lang w:val="en-US" w:eastAsia="zh-CN" w:bidi="ar"/>
        </w:rPr>
      </w:pPr>
      <w:r>
        <w:rPr>
          <w:rFonts w:hint="eastAsia" w:ascii="仿宋" w:hAnsi="仿宋" w:eastAsia="仿宋" w:cs="仿宋"/>
          <w:color w:val="000000"/>
          <w:kern w:val="0"/>
          <w:sz w:val="31"/>
          <w:szCs w:val="31"/>
          <w:lang w:val="en-US" w:eastAsia="zh-CN" w:bidi="ar"/>
        </w:rPr>
        <w:t>各参赛单位须自行承担食宿、交通、核酸检测、防疫等相关费用。</w:t>
      </w:r>
    </w:p>
    <w:p>
      <w:pPr>
        <w:keepNext w:val="0"/>
        <w:keepLines w:val="0"/>
        <w:widowControl/>
        <w:suppressLineNumbers w:val="0"/>
        <w:ind w:firstLine="622" w:firstLineChars="200"/>
        <w:jc w:val="left"/>
      </w:pPr>
      <w:r>
        <w:rPr>
          <w:rFonts w:ascii="仿宋" w:hAnsi="仿宋" w:eastAsia="仿宋" w:cs="仿宋"/>
          <w:b/>
          <w:bCs/>
          <w:color w:val="000000"/>
          <w:kern w:val="0"/>
          <w:sz w:val="31"/>
          <w:szCs w:val="31"/>
          <w:lang w:val="en-US" w:eastAsia="zh-CN" w:bidi="ar"/>
        </w:rPr>
        <w:t xml:space="preserve">十一、保险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各参赛队参赛选手须自行购买意外伤害保险方可参赛。裁判员的人身意外伤害保险由赛事组委会负责购买。报到时无法交验相关材料的不予参赛。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十二、疫情防控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赛事组委会需严格遵守国家最新的疫情防控政策，按照国家体育总局对全国性赛事防疫工作的有关要求，切实做好赛事的疫情防控工作。 </w:t>
      </w:r>
    </w:p>
    <w:p>
      <w:pPr>
        <w:keepNext w:val="0"/>
        <w:keepLines w:val="0"/>
        <w:widowControl/>
        <w:suppressLineNumbers w:val="0"/>
        <w:ind w:firstLine="622" w:firstLineChars="200"/>
        <w:jc w:val="left"/>
      </w:pPr>
      <w:r>
        <w:rPr>
          <w:rFonts w:hint="eastAsia" w:ascii="仿宋" w:hAnsi="仿宋" w:eastAsia="仿宋" w:cs="仿宋"/>
          <w:b/>
          <w:bCs/>
          <w:color w:val="000000"/>
          <w:kern w:val="0"/>
          <w:sz w:val="31"/>
          <w:szCs w:val="31"/>
          <w:lang w:val="en-US" w:eastAsia="zh-CN" w:bidi="ar"/>
        </w:rPr>
        <w:t xml:space="preserve">十三、其他 </w:t>
      </w:r>
    </w:p>
    <w:p>
      <w:pPr>
        <w:keepNext w:val="0"/>
        <w:keepLines w:val="0"/>
        <w:widowControl/>
        <w:suppressLineNumbers w:val="0"/>
        <w:ind w:firstLine="620" w:firstLineChars="200"/>
        <w:jc w:val="left"/>
      </w:pPr>
      <w:r>
        <w:rPr>
          <w:rFonts w:hint="eastAsia" w:ascii="仿宋" w:hAnsi="仿宋" w:eastAsia="仿宋" w:cs="仿宋"/>
          <w:color w:val="000000"/>
          <w:kern w:val="0"/>
          <w:sz w:val="31"/>
          <w:szCs w:val="31"/>
          <w:lang w:val="en-US" w:eastAsia="zh-CN" w:bidi="ar"/>
        </w:rPr>
        <w:t xml:space="preserve">本规程解释权归国家体育总局冬季运动管理中心，未尽事 </w:t>
      </w:r>
    </w:p>
    <w:p>
      <w:pPr>
        <w:keepNext w:val="0"/>
        <w:keepLines w:val="0"/>
        <w:widowControl/>
        <w:suppressLineNumbers w:val="0"/>
        <w:jc w:val="left"/>
      </w:pPr>
      <w:r>
        <w:rPr>
          <w:rFonts w:hint="eastAsia" w:ascii="仿宋" w:hAnsi="仿宋" w:eastAsia="仿宋" w:cs="仿宋"/>
          <w:color w:val="000000"/>
          <w:kern w:val="0"/>
          <w:sz w:val="31"/>
          <w:szCs w:val="31"/>
          <w:lang w:val="en-US" w:eastAsia="zh-CN" w:bidi="ar"/>
        </w:rPr>
        <w:t>宜，另行通知。</w:t>
      </w:r>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Pr>
        <w:keepNext w:val="0"/>
        <w:keepLines w:val="0"/>
        <w:widowControl/>
        <w:suppressLineNumbers w:val="0"/>
        <w:jc w:val="left"/>
        <w:rPr>
          <w:rFonts w:hint="eastAsia" w:ascii="仿宋" w:hAnsi="仿宋" w:eastAsia="仿宋" w:cs="仿宋"/>
          <w:color w:val="000000"/>
          <w:kern w:val="0"/>
          <w:sz w:val="31"/>
          <w:szCs w:val="31"/>
          <w:lang w:val="en-US" w:eastAsia="zh-CN" w:bidi="ar"/>
        </w:rPr>
      </w:pPr>
    </w:p>
    <w:p/>
    <w:p/>
    <w:p/>
    <w:p/>
    <w:p/>
    <w:p/>
    <w:p>
      <w:pPr>
        <w:sectPr>
          <w:footerReference r:id="rId3" w:type="default"/>
          <w:pgSz w:w="11906" w:h="16838"/>
          <w:pgMar w:top="1440" w:right="1800" w:bottom="1440" w:left="1800" w:header="851" w:footer="992" w:gutter="0"/>
          <w:pgNumType w:fmt="decimal"/>
          <w:cols w:space="425" w:num="1"/>
          <w:docGrid w:type="lines" w:linePitch="312" w:charSpace="0"/>
        </w:sectPr>
      </w:pPr>
    </w:p>
    <w:p/>
    <w:p>
      <w:pPr>
        <w:widowControl/>
        <w:shd w:val="clear" w:color="auto" w:fill="FFFFFF"/>
        <w:spacing w:line="600" w:lineRule="exact"/>
        <w:jc w:val="both"/>
        <w:rPr>
          <w:rFonts w:hint="default" w:ascii="宋体" w:hAnsi="宋体" w:eastAsia="宋体" w:cs="宋体"/>
          <w:kern w:val="0"/>
          <w:sz w:val="36"/>
          <w:szCs w:val="36"/>
          <w:lang w:val="en-US" w:eastAsia="zh-CN"/>
        </w:rPr>
      </w:pPr>
      <w:bookmarkStart w:id="8" w:name="_GoBack"/>
      <w:bookmarkEnd w:id="8"/>
      <w:r>
        <w:rPr>
          <w:rFonts w:hint="eastAsia" w:ascii="宋体" w:hAnsi="宋体" w:eastAsia="宋体" w:cs="宋体"/>
          <w:kern w:val="0"/>
          <w:sz w:val="36"/>
          <w:szCs w:val="36"/>
          <w:lang w:val="en-US" w:eastAsia="zh-CN"/>
        </w:rPr>
        <w:t>附件1：</w:t>
      </w:r>
    </w:p>
    <w:p>
      <w:pPr>
        <w:widowControl/>
        <w:shd w:val="clear" w:color="auto" w:fill="FFFFFF"/>
        <w:spacing w:line="600" w:lineRule="exact"/>
        <w:jc w:val="center"/>
        <w:rPr>
          <w:rFonts w:hint="eastAsia" w:ascii="宋体" w:hAnsi="宋体" w:eastAsia="宋体" w:cs="宋体"/>
          <w:kern w:val="0"/>
          <w:sz w:val="36"/>
          <w:szCs w:val="36"/>
          <w:lang w:eastAsia="zh-CN"/>
        </w:rPr>
      </w:pPr>
      <w:r>
        <w:rPr>
          <w:rFonts w:hint="eastAsia" w:ascii="宋体" w:hAnsi="宋体" w:eastAsia="宋体" w:cs="宋体"/>
          <w:kern w:val="0"/>
          <w:sz w:val="36"/>
          <w:szCs w:val="36"/>
          <w:lang w:val="en-US" w:eastAsia="zh-CN"/>
        </w:rPr>
        <w:t>2022-2023赛季全国单板滑雪大跳台和坡面障碍技巧锦标赛</w:t>
      </w:r>
      <w:r>
        <w:rPr>
          <w:rFonts w:hint="eastAsia" w:ascii="宋体" w:hAnsi="宋体" w:eastAsia="宋体" w:cs="宋体"/>
          <w:kern w:val="0"/>
          <w:sz w:val="36"/>
          <w:szCs w:val="36"/>
        </w:rPr>
        <w:t>报名表</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lang w:val="en-US" w:eastAsia="zh-CN"/>
        </w:rPr>
        <w:t>报名单位（加盖公章）</w:t>
      </w:r>
      <w:r>
        <w:rPr>
          <w:rFonts w:hint="eastAsia" w:ascii="华文仿宋" w:hAnsi="华文仿宋" w:eastAsia="华文仿宋"/>
          <w:b/>
          <w:kern w:val="0"/>
          <w:sz w:val="32"/>
          <w:szCs w:val="32"/>
        </w:rPr>
        <w:t>：</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7"/>
        <w:tblW w:w="14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274"/>
        <w:gridCol w:w="1015"/>
        <w:gridCol w:w="1571"/>
        <w:gridCol w:w="2347"/>
        <w:gridCol w:w="5744"/>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2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01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157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职务</w:t>
            </w:r>
          </w:p>
        </w:tc>
        <w:tc>
          <w:tcPr>
            <w:tcW w:w="5744" w:type="dxa"/>
            <w:vAlign w:val="center"/>
          </w:tcPr>
          <w:p>
            <w:pPr>
              <w:widowControl/>
              <w:spacing w:line="600" w:lineRule="exact"/>
              <w:jc w:val="center"/>
              <w:rPr>
                <w:rFonts w:hint="eastAsia" w:ascii="华文仿宋" w:hAnsi="华文仿宋" w:eastAsia="华文仿宋"/>
                <w:kern w:val="0"/>
                <w:sz w:val="32"/>
                <w:szCs w:val="32"/>
                <w:lang w:eastAsia="zh-CN"/>
              </w:rPr>
            </w:pPr>
            <w:r>
              <w:rPr>
                <w:rFonts w:hint="eastAsia" w:ascii="华文仿宋" w:hAnsi="华文仿宋" w:eastAsia="华文仿宋"/>
                <w:kern w:val="0"/>
                <w:sz w:val="32"/>
                <w:szCs w:val="32"/>
                <w:lang w:val="en-US" w:eastAsia="zh-CN"/>
              </w:rPr>
              <w:t>参赛项目</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036" w:type="dxa"/>
            <w:vAlign w:val="center"/>
          </w:tcPr>
          <w:p>
            <w:pPr>
              <w:widowControl/>
              <w:spacing w:line="600" w:lineRule="exact"/>
              <w:jc w:val="center"/>
              <w:rPr>
                <w:rFonts w:hint="eastAsia"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例</w:t>
            </w:r>
          </w:p>
        </w:tc>
        <w:tc>
          <w:tcPr>
            <w:tcW w:w="1274"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张一</w:t>
            </w:r>
          </w:p>
        </w:tc>
        <w:tc>
          <w:tcPr>
            <w:tcW w:w="1015"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男</w:t>
            </w:r>
          </w:p>
        </w:tc>
        <w:tc>
          <w:tcPr>
            <w:tcW w:w="1571" w:type="dxa"/>
            <w:vAlign w:val="center"/>
          </w:tcPr>
          <w:p>
            <w:pPr>
              <w:widowControl/>
              <w:spacing w:line="600" w:lineRule="exact"/>
              <w:jc w:val="center"/>
              <w:rPr>
                <w:rFonts w:hint="eastAsia" w:ascii="华文仿宋" w:hAnsi="华文仿宋" w:eastAsia="华文仿宋" w:cstheme="minorBidi"/>
                <w:kern w:val="0"/>
                <w:sz w:val="18"/>
                <w:szCs w:val="18"/>
                <w:lang w:val="en-US" w:eastAsia="zh-CN" w:bidi="ar-SA"/>
              </w:rPr>
            </w:pPr>
            <w:r>
              <w:rPr>
                <w:rFonts w:hint="eastAsia" w:ascii="华文仿宋" w:hAnsi="华文仿宋" w:eastAsia="华文仿宋"/>
                <w:kern w:val="0"/>
                <w:sz w:val="28"/>
                <w:szCs w:val="28"/>
                <w:lang w:val="en-US" w:eastAsia="zh-CN"/>
              </w:rPr>
              <w:t>1992.10.1</w:t>
            </w:r>
          </w:p>
        </w:tc>
        <w:tc>
          <w:tcPr>
            <w:tcW w:w="2347" w:type="dxa"/>
            <w:vAlign w:val="center"/>
          </w:tcPr>
          <w:p>
            <w:pPr>
              <w:widowControl/>
              <w:spacing w:line="600" w:lineRule="exact"/>
              <w:jc w:val="center"/>
              <w:rPr>
                <w:rFonts w:hint="eastAsia" w:ascii="华文仿宋" w:hAnsi="华文仿宋" w:eastAsia="华文仿宋" w:cstheme="minorBidi"/>
                <w:kern w:val="0"/>
                <w:sz w:val="32"/>
                <w:szCs w:val="32"/>
                <w:lang w:val="en-US" w:eastAsia="zh-CN" w:bidi="ar-SA"/>
              </w:rPr>
            </w:pPr>
            <w:r>
              <w:rPr>
                <w:rFonts w:hint="eastAsia" w:ascii="华文仿宋" w:hAnsi="华文仿宋" w:eastAsia="华文仿宋"/>
                <w:kern w:val="0"/>
                <w:sz w:val="32"/>
                <w:szCs w:val="32"/>
                <w:lang w:val="en-US" w:eastAsia="zh-CN"/>
              </w:rPr>
              <w:t>教练/运动员</w:t>
            </w: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r>
              <w:rPr>
                <w:rFonts w:hint="eastAsia" w:ascii="华文仿宋" w:hAnsi="华文仿宋" w:eastAsia="华文仿宋"/>
                <w:kern w:val="0"/>
                <w:sz w:val="32"/>
                <w:szCs w:val="32"/>
                <w:lang w:val="en-US" w:eastAsia="zh-CN"/>
              </w:rPr>
              <w:t>大跳台/坡面障碍技巧</w:t>
            </w:r>
          </w:p>
        </w:tc>
        <w:tc>
          <w:tcPr>
            <w:tcW w:w="1182" w:type="dxa"/>
            <w:vAlign w:val="center"/>
          </w:tcPr>
          <w:p>
            <w:pPr>
              <w:widowControl/>
              <w:spacing w:line="600" w:lineRule="exact"/>
              <w:jc w:val="center"/>
              <w:rPr>
                <w:rFonts w:hint="eastAsia"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18"/>
                <w:szCs w:val="18"/>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hint="default" w:ascii="华文仿宋" w:hAnsi="华文仿宋" w:eastAsia="华文仿宋"/>
                <w:kern w:val="0"/>
                <w:sz w:val="32"/>
                <w:szCs w:val="3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27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015" w:type="dxa"/>
            <w:vAlign w:val="center"/>
          </w:tcPr>
          <w:p>
            <w:pPr>
              <w:widowControl/>
              <w:spacing w:line="600" w:lineRule="exact"/>
              <w:jc w:val="center"/>
              <w:rPr>
                <w:rFonts w:hint="eastAsia" w:ascii="华文仿宋" w:hAnsi="华文仿宋" w:eastAsia="华文仿宋"/>
                <w:kern w:val="0"/>
                <w:sz w:val="32"/>
                <w:szCs w:val="32"/>
                <w:lang w:val="en-US" w:eastAsia="zh-CN"/>
              </w:rPr>
            </w:pPr>
          </w:p>
        </w:tc>
        <w:tc>
          <w:tcPr>
            <w:tcW w:w="1571"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2347"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5744" w:type="dxa"/>
            <w:vAlign w:val="center"/>
          </w:tcPr>
          <w:p>
            <w:pPr>
              <w:widowControl/>
              <w:spacing w:line="600" w:lineRule="exact"/>
              <w:jc w:val="center"/>
              <w:rPr>
                <w:rFonts w:hint="default" w:ascii="华文仿宋" w:hAnsi="华文仿宋" w:eastAsia="华文仿宋"/>
                <w:kern w:val="0"/>
                <w:sz w:val="32"/>
                <w:szCs w:val="32"/>
                <w:lang w:val="en-US" w:eastAsia="zh-CN"/>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36"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274" w:type="dxa"/>
            <w:vAlign w:val="center"/>
          </w:tcPr>
          <w:p>
            <w:pPr>
              <w:widowControl/>
              <w:spacing w:line="600" w:lineRule="exact"/>
              <w:jc w:val="center"/>
              <w:rPr>
                <w:rFonts w:ascii="华文仿宋" w:hAnsi="华文仿宋" w:eastAsia="华文仿宋"/>
                <w:kern w:val="0"/>
                <w:sz w:val="32"/>
                <w:szCs w:val="32"/>
              </w:rPr>
            </w:pPr>
          </w:p>
        </w:tc>
        <w:tc>
          <w:tcPr>
            <w:tcW w:w="1015" w:type="dxa"/>
            <w:vAlign w:val="center"/>
          </w:tcPr>
          <w:p>
            <w:pPr>
              <w:widowControl/>
              <w:spacing w:line="600" w:lineRule="exact"/>
              <w:jc w:val="center"/>
              <w:rPr>
                <w:rFonts w:ascii="华文仿宋" w:hAnsi="华文仿宋" w:eastAsia="华文仿宋"/>
                <w:kern w:val="0"/>
                <w:sz w:val="32"/>
                <w:szCs w:val="32"/>
              </w:rPr>
            </w:pPr>
          </w:p>
        </w:tc>
        <w:tc>
          <w:tcPr>
            <w:tcW w:w="1571" w:type="dxa"/>
            <w:vAlign w:val="center"/>
          </w:tcPr>
          <w:p>
            <w:pPr>
              <w:widowControl/>
              <w:spacing w:line="600" w:lineRule="exact"/>
              <w:jc w:val="center"/>
              <w:rPr>
                <w:rFonts w:ascii="华文仿宋" w:hAnsi="华文仿宋" w:eastAsia="华文仿宋"/>
                <w:kern w:val="0"/>
                <w:sz w:val="32"/>
                <w:szCs w:val="32"/>
              </w:rPr>
            </w:pPr>
          </w:p>
        </w:tc>
        <w:tc>
          <w:tcPr>
            <w:tcW w:w="2347" w:type="dxa"/>
            <w:vAlign w:val="center"/>
          </w:tcPr>
          <w:p>
            <w:pPr>
              <w:widowControl/>
              <w:spacing w:line="600" w:lineRule="exact"/>
              <w:jc w:val="center"/>
              <w:rPr>
                <w:rFonts w:ascii="华文仿宋" w:hAnsi="华文仿宋" w:eastAsia="华文仿宋"/>
                <w:kern w:val="0"/>
                <w:sz w:val="32"/>
                <w:szCs w:val="32"/>
              </w:rPr>
            </w:pPr>
          </w:p>
        </w:tc>
        <w:tc>
          <w:tcPr>
            <w:tcW w:w="5744" w:type="dxa"/>
            <w:vAlign w:val="center"/>
          </w:tcPr>
          <w:p>
            <w:pPr>
              <w:widowControl/>
              <w:spacing w:line="600" w:lineRule="exact"/>
              <w:jc w:val="center"/>
              <w:rPr>
                <w:rFonts w:ascii="华文仿宋" w:hAnsi="华文仿宋" w:eastAsia="华文仿宋"/>
                <w:kern w:val="0"/>
                <w:sz w:val="32"/>
                <w:szCs w:val="32"/>
              </w:rPr>
            </w:pPr>
          </w:p>
        </w:tc>
        <w:tc>
          <w:tcPr>
            <w:tcW w:w="1182"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561" w:firstLineChars="200"/>
        <w:rPr>
          <w:rFonts w:ascii="华文仿宋" w:hAnsi="华文仿宋" w:eastAsia="华文仿宋"/>
          <w:kern w:val="0"/>
          <w:sz w:val="28"/>
          <w:szCs w:val="28"/>
        </w:rPr>
      </w:pPr>
      <w:r>
        <w:rPr>
          <w:rFonts w:hint="eastAsia" w:ascii="华文仿宋" w:hAnsi="华文仿宋" w:eastAsia="华文仿宋"/>
          <w:b/>
          <w:kern w:val="0"/>
          <w:sz w:val="28"/>
          <w:szCs w:val="28"/>
        </w:rPr>
        <w:t xml:space="preserve">联系人： </w:t>
      </w:r>
      <w:r>
        <w:rPr>
          <w:rFonts w:ascii="华文仿宋" w:hAnsi="华文仿宋" w:eastAsia="华文仿宋"/>
          <w:b/>
          <w:kern w:val="0"/>
          <w:sz w:val="28"/>
          <w:szCs w:val="28"/>
        </w:rPr>
        <w:t xml:space="preserve">          </w:t>
      </w:r>
      <w:r>
        <w:rPr>
          <w:rFonts w:hint="eastAsia" w:ascii="华文仿宋" w:hAnsi="华文仿宋" w:eastAsia="华文仿宋"/>
          <w:b/>
          <w:kern w:val="0"/>
          <w:sz w:val="28"/>
          <w:szCs w:val="28"/>
        </w:rPr>
        <w:t>联系方式：</w:t>
      </w:r>
    </w:p>
    <w:p>
      <w:pPr>
        <w:pStyle w:val="13"/>
        <w:widowControl/>
        <w:shd w:val="clear" w:color="auto" w:fill="FFFFFF"/>
        <w:spacing w:line="500" w:lineRule="exact"/>
        <w:ind w:firstLine="560" w:firstLineChars="200"/>
        <w:jc w:val="left"/>
        <w:rPr>
          <w:rFonts w:ascii="华文仿宋" w:hAnsi="华文仿宋" w:eastAsia="华文仿宋"/>
          <w:kern w:val="0"/>
          <w:sz w:val="28"/>
          <w:szCs w:val="28"/>
        </w:rPr>
      </w:pPr>
      <w:r>
        <w:rPr>
          <w:rFonts w:hint="eastAsia" w:ascii="华文仿宋" w:hAnsi="华文仿宋" w:eastAsia="华文仿宋"/>
          <w:kern w:val="0"/>
          <w:sz w:val="28"/>
          <w:szCs w:val="28"/>
        </w:rPr>
        <w:t>请在电脑上填写此表格，勿直接手写，以保证内容清楚</w:t>
      </w:r>
    </w:p>
    <w:p>
      <w:pPr>
        <w:pStyle w:val="13"/>
        <w:widowControl/>
        <w:shd w:val="clear" w:color="auto" w:fill="FFFFFF"/>
        <w:spacing w:line="500" w:lineRule="exact"/>
        <w:ind w:firstLine="560" w:firstLineChars="200"/>
        <w:jc w:val="left"/>
        <w:rPr>
          <w:rFonts w:ascii="华文仿宋" w:hAnsi="华文仿宋" w:eastAsia="华文仿宋"/>
          <w:sz w:val="36"/>
          <w:szCs w:val="36"/>
        </w:rPr>
      </w:pPr>
      <w:r>
        <w:rPr>
          <w:rFonts w:hint="eastAsia" w:ascii="华文仿宋" w:hAnsi="华文仿宋" w:eastAsia="华文仿宋"/>
          <w:kern w:val="0"/>
          <w:sz w:val="28"/>
          <w:szCs w:val="28"/>
        </w:rPr>
        <w:t>电子版发送至：</w:t>
      </w:r>
    </w:p>
    <w:p>
      <w:pPr>
        <w:sectPr>
          <w:pgSz w:w="16838" w:h="11906" w:orient="landscape"/>
          <w:pgMar w:top="1800" w:right="1440" w:bottom="1800" w:left="1440" w:header="851" w:footer="992" w:gutter="0"/>
          <w:pgNumType w:fmt="decimal"/>
          <w:cols w:space="425" w:num="1"/>
          <w:docGrid w:type="lines" w:linePitch="312" w:charSpace="0"/>
        </w:sectPr>
      </w:pPr>
    </w:p>
    <w:p>
      <w:pPr>
        <w:ind w:right="-7806" w:rightChars="-3717"/>
        <w:rPr>
          <w:rFonts w:ascii="仿宋" w:hAnsi="仿宋" w:eastAsia="仿宋"/>
          <w:kern w:val="0"/>
          <w:sz w:val="32"/>
          <w:szCs w:val="32"/>
        </w:rPr>
      </w:pPr>
      <w:r>
        <w:rPr>
          <w:rFonts w:hint="eastAsia" w:ascii="仿宋" w:hAnsi="仿宋" w:eastAsia="仿宋"/>
          <w:sz w:val="28"/>
          <w:szCs w:val="28"/>
        </w:rPr>
        <w:t>附件</w:t>
      </w:r>
      <w:r>
        <w:rPr>
          <w:rFonts w:ascii="仿宋" w:hAnsi="仿宋" w:eastAsia="仿宋"/>
          <w:sz w:val="28"/>
          <w:szCs w:val="28"/>
        </w:rPr>
        <w:t>2</w:t>
      </w:r>
      <w:r>
        <w:rPr>
          <w:rFonts w:hint="eastAsia" w:ascii="仿宋" w:hAnsi="仿宋" w:eastAsia="仿宋"/>
          <w:sz w:val="28"/>
          <w:szCs w:val="28"/>
        </w:rPr>
        <w:t>：</w:t>
      </w:r>
    </w:p>
    <w:p>
      <w:pPr>
        <w:adjustRightInd w:val="0"/>
        <w:snapToGrid w:val="0"/>
        <w:spacing w:line="560" w:lineRule="exact"/>
        <w:jc w:val="center"/>
        <w:rPr>
          <w:rFonts w:ascii="仿宋_GB2312" w:hAnsi="仿宋_GB2312" w:eastAsia="仿宋_GB2312" w:cs="仿宋_GB2312"/>
          <w:bCs/>
          <w:sz w:val="32"/>
          <w:szCs w:val="32"/>
        </w:rPr>
      </w:pPr>
      <w:r>
        <w:rPr>
          <w:rFonts w:hint="eastAsia" w:ascii="仿宋_GB2312" w:hAnsi="仿宋_GB2312" w:eastAsia="仿宋_GB2312" w:cs="仿宋_GB2312"/>
          <w:b/>
          <w:sz w:val="32"/>
          <w:szCs w:val="32"/>
        </w:rPr>
        <w:t>202</w:t>
      </w:r>
      <w:r>
        <w:rPr>
          <w:rFonts w:ascii="仿宋_GB2312" w:hAnsi="仿宋_GB2312" w:eastAsia="仿宋_GB2312" w:cs="仿宋_GB2312"/>
          <w:b/>
          <w:sz w:val="32"/>
          <w:szCs w:val="32"/>
        </w:rPr>
        <w:t>2</w:t>
      </w:r>
      <w:r>
        <w:rPr>
          <w:rFonts w:hint="eastAsia" w:ascii="仿宋_GB2312" w:hAnsi="仿宋_GB2312" w:eastAsia="仿宋_GB2312" w:cs="仿宋_GB2312"/>
          <w:b/>
          <w:sz w:val="32"/>
          <w:szCs w:val="32"/>
        </w:rPr>
        <w:t>-202</w:t>
      </w:r>
      <w:r>
        <w:rPr>
          <w:rFonts w:ascii="仿宋_GB2312" w:hAnsi="仿宋_GB2312" w:eastAsia="仿宋_GB2312" w:cs="仿宋_GB2312"/>
          <w:b/>
          <w:sz w:val="32"/>
          <w:szCs w:val="32"/>
        </w:rPr>
        <w:t>3</w:t>
      </w:r>
      <w:r>
        <w:rPr>
          <w:rFonts w:hint="eastAsia" w:ascii="仿宋_GB2312" w:hAnsi="仿宋_GB2312" w:eastAsia="仿宋_GB2312" w:cs="仿宋_GB2312"/>
          <w:b/>
          <w:sz w:val="32"/>
          <w:szCs w:val="32"/>
          <w:lang w:eastAsia="zh-CN"/>
        </w:rPr>
        <w:t>赛季全国单板滑雪</w:t>
      </w:r>
      <w:r>
        <w:rPr>
          <w:rFonts w:hint="eastAsia" w:ascii="仿宋_GB2312" w:hAnsi="仿宋_GB2312" w:eastAsia="仿宋_GB2312" w:cs="仿宋_GB2312"/>
          <w:b/>
          <w:sz w:val="32"/>
          <w:szCs w:val="32"/>
          <w:lang w:val="en-US" w:eastAsia="zh-CN"/>
        </w:rPr>
        <w:t>大跳台和坡面障碍技巧</w:t>
      </w:r>
      <w:r>
        <w:rPr>
          <w:rFonts w:hint="eastAsia" w:ascii="仿宋_GB2312" w:hAnsi="仿宋_GB2312" w:eastAsia="仿宋_GB2312" w:cs="仿宋_GB2312"/>
          <w:b/>
          <w:sz w:val="32"/>
          <w:szCs w:val="32"/>
        </w:rPr>
        <w:t>锦标赛防疫承诺书</w:t>
      </w:r>
    </w:p>
    <w:p>
      <w:pPr>
        <w:adjustRightInd w:val="0"/>
        <w:snapToGrid w:val="0"/>
        <w:spacing w:line="500" w:lineRule="exact"/>
        <w:ind w:firstLine="640" w:firstLineChars="200"/>
        <w:rPr>
          <w:sz w:val="32"/>
          <w:szCs w:val="32"/>
        </w:rPr>
      </w:pPr>
      <w:r>
        <w:rPr>
          <w:rFonts w:hint="eastAsia" w:ascii="仿宋_GB2312" w:hAnsi="仿宋_GB2312" w:eastAsia="仿宋_GB2312" w:cs="仿宋_GB2312"/>
          <w:bCs/>
          <w:sz w:val="32"/>
          <w:szCs w:val="32"/>
        </w:rPr>
        <w:t>本承诺书由全国</w:t>
      </w:r>
      <w:r>
        <w:rPr>
          <w:rFonts w:hint="eastAsia" w:ascii="仿宋_GB2312" w:hAnsi="仿宋_GB2312" w:eastAsia="仿宋_GB2312" w:cs="仿宋_GB2312"/>
          <w:b w:val="0"/>
          <w:bCs/>
          <w:sz w:val="32"/>
          <w:szCs w:val="32"/>
          <w:lang w:val="en-US" w:eastAsia="zh-CN"/>
        </w:rPr>
        <w:t>单板滑雪大跳台和坡面障碍技巧</w:t>
      </w:r>
      <w:r>
        <w:rPr>
          <w:rFonts w:hint="eastAsia" w:ascii="仿宋_GB2312" w:hAnsi="仿宋_GB2312" w:eastAsia="仿宋_GB2312" w:cs="仿宋_GB2312"/>
          <w:bCs/>
          <w:sz w:val="32"/>
          <w:szCs w:val="32"/>
        </w:rPr>
        <w:t>锦标赛运动员/教练员/领队及相关工作人员填写。</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姓名：</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 xml:space="preserve">                 身份证号：</w:t>
      </w:r>
      <w:r>
        <w:rPr>
          <w:rFonts w:hint="eastAsia" w:ascii="仿宋_GB2312" w:hAnsi="仿宋_GB2312" w:eastAsia="仿宋_GB2312" w:cs="仿宋_GB2312"/>
          <w:bCs/>
          <w:sz w:val="32"/>
          <w:szCs w:val="32"/>
        </w:rPr>
        <w:tab/>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电话：</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现郑重承诺：</w:t>
      </w:r>
    </w:p>
    <w:p>
      <w:pPr>
        <w:adjustRightInd w:val="0"/>
        <w:snapToGrid w:val="0"/>
        <w:spacing w:line="500" w:lineRule="exact"/>
        <w:ind w:firstLine="640" w:firstLineChars="200"/>
        <w:rPr>
          <w:rFonts w:ascii="仿宋_GB2312" w:hAnsi="仿宋_GB2312" w:eastAsia="仿宋_GB2312" w:cs="仿宋_GB2312"/>
          <w:bCs/>
          <w:sz w:val="32"/>
          <w:szCs w:val="32"/>
        </w:rPr>
      </w:pPr>
      <w:bookmarkStart w:id="0" w:name="bookmark88"/>
      <w:r>
        <w:rPr>
          <w:rFonts w:hint="eastAsia" w:ascii="仿宋_GB2312" w:hAnsi="仿宋_GB2312" w:eastAsia="仿宋_GB2312" w:cs="仿宋_GB2312"/>
          <w:bCs/>
          <w:sz w:val="32"/>
          <w:szCs w:val="32"/>
        </w:rPr>
        <w:t>一</w:t>
      </w:r>
      <w:bookmarkEnd w:id="0"/>
      <w:r>
        <w:rPr>
          <w:rFonts w:hint="eastAsia" w:ascii="仿宋_GB2312" w:hAnsi="仿宋_GB2312" w:eastAsia="仿宋_GB2312" w:cs="仿宋_GB2312"/>
          <w:bCs/>
          <w:sz w:val="32"/>
          <w:szCs w:val="32"/>
        </w:rPr>
        <w:t>、充分理解并严格遵守疫情防控要求。</w:t>
      </w:r>
    </w:p>
    <w:p>
      <w:pPr>
        <w:adjustRightInd w:val="0"/>
        <w:snapToGrid w:val="0"/>
        <w:spacing w:line="500" w:lineRule="exact"/>
        <w:ind w:firstLine="640" w:firstLineChars="200"/>
        <w:rPr>
          <w:rFonts w:ascii="仿宋_GB2312" w:hAnsi="仿宋_GB2312" w:eastAsia="仿宋_GB2312" w:cs="仿宋_GB2312"/>
          <w:bCs/>
          <w:sz w:val="32"/>
          <w:szCs w:val="32"/>
        </w:rPr>
      </w:pPr>
      <w:bookmarkStart w:id="1" w:name="bookmark89"/>
      <w:r>
        <w:rPr>
          <w:rFonts w:hint="eastAsia" w:ascii="仿宋_GB2312" w:hAnsi="仿宋_GB2312" w:eastAsia="仿宋_GB2312" w:cs="仿宋_GB2312"/>
          <w:bCs/>
          <w:sz w:val="32"/>
          <w:szCs w:val="32"/>
        </w:rPr>
        <w:t>二</w:t>
      </w:r>
      <w:bookmarkEnd w:id="1"/>
      <w:r>
        <w:rPr>
          <w:rFonts w:hint="eastAsia" w:ascii="仿宋_GB2312" w:hAnsi="仿宋_GB2312" w:eastAsia="仿宋_GB2312" w:cs="仿宋_GB2312"/>
          <w:bCs/>
          <w:sz w:val="32"/>
          <w:szCs w:val="32"/>
        </w:rPr>
        <w:t>、承诺如实填写以下内容。</w:t>
      </w:r>
    </w:p>
    <w:p>
      <w:pPr>
        <w:adjustRightInd w:val="0"/>
        <w:snapToGrid w:val="0"/>
        <w:spacing w:line="500" w:lineRule="exact"/>
        <w:ind w:firstLine="640" w:firstLineChars="200"/>
        <w:rPr>
          <w:rFonts w:ascii="仿宋_GB2312" w:hAnsi="仿宋_GB2312" w:eastAsia="仿宋_GB2312" w:cs="仿宋_GB2312"/>
          <w:bCs/>
          <w:sz w:val="32"/>
          <w:szCs w:val="32"/>
        </w:rPr>
      </w:pPr>
      <w:bookmarkStart w:id="2" w:name="bookmark90"/>
      <w:r>
        <w:rPr>
          <w:rFonts w:hint="eastAsia" w:ascii="仿宋_GB2312" w:hAnsi="仿宋_GB2312" w:eastAsia="仿宋_GB2312" w:cs="仿宋_GB2312"/>
          <w:bCs/>
          <w:sz w:val="32"/>
          <w:szCs w:val="32"/>
        </w:rPr>
        <w:t>1</w:t>
      </w:r>
      <w:bookmarkEnd w:id="2"/>
      <w:r>
        <w:rPr>
          <w:rFonts w:hint="eastAsia" w:ascii="仿宋_GB2312" w:hAnsi="仿宋_GB2312" w:eastAsia="仿宋_GB2312" w:cs="仿宋_GB2312"/>
          <w:bCs/>
          <w:sz w:val="32"/>
          <w:szCs w:val="32"/>
        </w:rPr>
        <w:t>.赛前14日内，是否出现发热、干咳、鼻塞、流涕、咽痛、腹泻等症状。</w:t>
      </w:r>
      <w:r>
        <w:rPr>
          <w:rFonts w:hint="eastAsia" w:ascii="仿宋_GB2312" w:hAnsi="仿宋_GB2312" w:eastAsia="仿宋_GB2312" w:cs="仿宋_GB2312"/>
          <w:bCs/>
          <w:sz w:val="32"/>
          <w:szCs w:val="32"/>
          <w:lang w:val="zh-CN"/>
        </w:rPr>
        <w:t>是□否</w:t>
      </w:r>
      <w:bookmarkStart w:id="3" w:name="bookmark91"/>
      <w:r>
        <w:rPr>
          <w:rFonts w:hint="eastAsia" w:ascii="仿宋_GB2312" w:hAnsi="仿宋_GB2312" w:eastAsia="仿宋_GB2312" w:cs="仿宋_GB2312"/>
          <w:bCs/>
          <w:sz w:val="32"/>
          <w:szCs w:val="32"/>
          <w:lang w:val="zh-CN"/>
        </w:rPr>
        <w:t>□</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w:t>
      </w:r>
      <w:bookmarkEnd w:id="3"/>
      <w:r>
        <w:rPr>
          <w:rFonts w:hint="eastAsia" w:ascii="仿宋_GB2312" w:hAnsi="仿宋_GB2312" w:eastAsia="仿宋_GB2312" w:cs="仿宋_GB2312"/>
          <w:bCs/>
          <w:sz w:val="32"/>
          <w:szCs w:val="32"/>
        </w:rPr>
        <w:t>.赛前14日内，是否从境外返回。</w:t>
      </w:r>
      <w:r>
        <w:rPr>
          <w:rFonts w:hint="eastAsia" w:ascii="仿宋_GB2312" w:hAnsi="仿宋_GB2312" w:eastAsia="仿宋_GB2312" w:cs="仿宋_GB2312"/>
          <w:bCs/>
          <w:sz w:val="32"/>
          <w:szCs w:val="32"/>
          <w:lang w:val="zh-CN"/>
        </w:rPr>
        <w:t>是□否□</w:t>
      </w:r>
    </w:p>
    <w:p>
      <w:pPr>
        <w:adjustRightInd w:val="0"/>
        <w:snapToGrid w:val="0"/>
        <w:spacing w:line="500" w:lineRule="exact"/>
        <w:ind w:firstLine="640" w:firstLineChars="200"/>
        <w:rPr>
          <w:rFonts w:ascii="仿宋_GB2312" w:hAnsi="仿宋_GB2312" w:eastAsia="仿宋_GB2312" w:cs="仿宋_GB2312"/>
          <w:bCs/>
          <w:sz w:val="32"/>
          <w:szCs w:val="32"/>
        </w:rPr>
      </w:pPr>
      <w:bookmarkStart w:id="4" w:name="bookmark92"/>
      <w:r>
        <w:rPr>
          <w:rFonts w:hint="eastAsia" w:ascii="仿宋_GB2312" w:hAnsi="仿宋_GB2312" w:eastAsia="仿宋_GB2312" w:cs="仿宋_GB2312"/>
          <w:bCs/>
          <w:sz w:val="32"/>
          <w:szCs w:val="32"/>
        </w:rPr>
        <w:t>3</w:t>
      </w:r>
      <w:bookmarkEnd w:id="4"/>
      <w:r>
        <w:rPr>
          <w:rFonts w:hint="eastAsia" w:ascii="仿宋_GB2312" w:hAnsi="仿宋_GB2312" w:eastAsia="仿宋_GB2312" w:cs="仿宋_GB2312"/>
          <w:bCs/>
          <w:sz w:val="32"/>
          <w:szCs w:val="32"/>
        </w:rPr>
        <w:t>.赛前14日内，是否从国内中高风险地区返回。</w:t>
      </w:r>
      <w:r>
        <w:rPr>
          <w:rFonts w:hint="eastAsia" w:ascii="仿宋_GB2312" w:hAnsi="仿宋_GB2312" w:eastAsia="仿宋_GB2312" w:cs="仿宋_GB2312"/>
          <w:bCs/>
          <w:sz w:val="32"/>
          <w:szCs w:val="32"/>
          <w:lang w:val="zh-CN"/>
        </w:rPr>
        <w:t>是□否口</w:t>
      </w:r>
    </w:p>
    <w:p>
      <w:pPr>
        <w:adjustRightInd w:val="0"/>
        <w:snapToGrid w:val="0"/>
        <w:spacing w:line="500" w:lineRule="exact"/>
        <w:ind w:firstLine="640" w:firstLineChars="200"/>
        <w:rPr>
          <w:rFonts w:ascii="仿宋_GB2312" w:hAnsi="仿宋_GB2312" w:eastAsia="仿宋_GB2312" w:cs="仿宋_GB2312"/>
          <w:bCs/>
          <w:sz w:val="32"/>
          <w:szCs w:val="32"/>
        </w:rPr>
      </w:pPr>
      <w:bookmarkStart w:id="5" w:name="bookmark93"/>
      <w:r>
        <w:rPr>
          <w:rFonts w:hint="eastAsia" w:ascii="仿宋_GB2312" w:hAnsi="仿宋_GB2312" w:eastAsia="仿宋_GB2312" w:cs="仿宋_GB2312"/>
          <w:bCs/>
          <w:sz w:val="32"/>
          <w:szCs w:val="32"/>
        </w:rPr>
        <w:t>4</w:t>
      </w:r>
      <w:bookmarkEnd w:id="5"/>
      <w:r>
        <w:rPr>
          <w:rFonts w:hint="eastAsia" w:ascii="仿宋_GB2312" w:hAnsi="仿宋_GB2312" w:eastAsia="仿宋_GB2312" w:cs="仿宋_GB2312"/>
          <w:bCs/>
          <w:sz w:val="32"/>
          <w:szCs w:val="32"/>
        </w:rPr>
        <w:t>.赛前14日内，是否接触过境外返回人员、国内中高风险地区人员、新冠病例、疑似病例、已知无症状感染者。是</w:t>
      </w:r>
      <w:r>
        <w:rPr>
          <w:rFonts w:hint="eastAsia" w:ascii="仿宋_GB2312" w:hAnsi="仿宋_GB2312" w:eastAsia="仿宋_GB2312" w:cs="仿宋_GB2312"/>
          <w:bCs/>
          <w:sz w:val="32"/>
          <w:szCs w:val="32"/>
          <w:lang w:val="zh-CN"/>
        </w:rPr>
        <w:t xml:space="preserve">□否口 </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5.共同居住人或家庭成员是否有2-4条所述情况。</w:t>
      </w:r>
      <w:r>
        <w:rPr>
          <w:rFonts w:hint="eastAsia" w:ascii="仿宋_GB2312" w:hAnsi="仿宋_GB2312" w:eastAsia="仿宋_GB2312" w:cs="仿宋_GB2312"/>
          <w:bCs/>
          <w:sz w:val="32"/>
          <w:szCs w:val="32"/>
          <w:lang w:val="zh-CN"/>
        </w:rPr>
        <w:t>是□</w:t>
      </w:r>
      <w:r>
        <w:rPr>
          <w:rFonts w:hint="eastAsia" w:ascii="仿宋_GB2312" w:hAnsi="仿宋_GB2312" w:eastAsia="仿宋_GB2312" w:cs="仿宋_GB2312"/>
          <w:bCs/>
          <w:sz w:val="32"/>
          <w:szCs w:val="32"/>
        </w:rPr>
        <w:t>否□</w:t>
      </w:r>
    </w:p>
    <w:p>
      <w:pPr>
        <w:adjustRightInd w:val="0"/>
        <w:snapToGrid w:val="0"/>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6.14天内，</w:t>
      </w:r>
      <w:r>
        <w:rPr>
          <w:rFonts w:hint="eastAsia" w:ascii="仿宋_GB2312" w:hAnsi="仿宋_GB2312" w:eastAsia="仿宋_GB2312" w:cs="仿宋_GB2312"/>
          <w:bCs/>
          <w:sz w:val="32"/>
          <w:szCs w:val="32"/>
          <w:lang w:val="zh-CN"/>
        </w:rPr>
        <w:t>本</w:t>
      </w:r>
      <w:r>
        <w:rPr>
          <w:rFonts w:hint="eastAsia" w:ascii="仿宋_GB2312" w:hAnsi="仿宋_GB2312" w:eastAsia="仿宋_GB2312" w:cs="仿宋_GB2312"/>
          <w:bCs/>
          <w:sz w:val="32"/>
          <w:szCs w:val="32"/>
        </w:rPr>
        <w:t>人或</w:t>
      </w:r>
      <w:r>
        <w:rPr>
          <w:rFonts w:hint="eastAsia" w:ascii="仿宋_GB2312" w:hAnsi="仿宋_GB2312" w:eastAsia="仿宋_GB2312" w:cs="仿宋_GB2312"/>
          <w:bCs/>
          <w:sz w:val="32"/>
          <w:szCs w:val="32"/>
          <w:lang w:val="zh-CN"/>
        </w:rPr>
        <w:t>共</w:t>
      </w:r>
      <w:r>
        <w:rPr>
          <w:rFonts w:hint="eastAsia" w:ascii="仿宋_GB2312" w:hAnsi="仿宋_GB2312" w:eastAsia="仿宋_GB2312" w:cs="仿宋_GB2312"/>
          <w:bCs/>
          <w:sz w:val="32"/>
          <w:szCs w:val="32"/>
        </w:rPr>
        <w:t>同居住人员“健康码”</w:t>
      </w:r>
      <w:r>
        <w:rPr>
          <w:rFonts w:hint="eastAsia" w:ascii="仿宋_GB2312" w:hAnsi="仿宋_GB2312" w:eastAsia="仿宋_GB2312" w:cs="仿宋_GB2312"/>
          <w:bCs/>
          <w:sz w:val="32"/>
          <w:szCs w:val="32"/>
          <w:lang w:val="zh-CN"/>
        </w:rPr>
        <w:t xml:space="preserve"> </w:t>
      </w:r>
      <w:r>
        <w:rPr>
          <w:rFonts w:hint="eastAsia" w:ascii="仿宋_GB2312" w:hAnsi="仿宋_GB2312" w:eastAsia="仿宋_GB2312" w:cs="仿宋_GB2312"/>
          <w:bCs/>
          <w:sz w:val="32"/>
          <w:szCs w:val="32"/>
        </w:rPr>
        <w:t>是否出现过红码或黄码。</w:t>
      </w:r>
      <w:r>
        <w:rPr>
          <w:rFonts w:hint="eastAsia" w:ascii="仿宋_GB2312" w:hAnsi="仿宋_GB2312" w:eastAsia="仿宋_GB2312" w:cs="仿宋_GB2312"/>
          <w:bCs/>
          <w:sz w:val="32"/>
          <w:szCs w:val="32"/>
          <w:lang w:val="zh-CN"/>
        </w:rPr>
        <w:t>是□否□</w:t>
      </w:r>
    </w:p>
    <w:p>
      <w:pPr>
        <w:adjustRightInd w:val="0"/>
        <w:snapToGrid w:val="0"/>
        <w:spacing w:line="500" w:lineRule="exact"/>
        <w:ind w:firstLine="640" w:firstLineChars="200"/>
        <w:rPr>
          <w:rFonts w:ascii="仿宋_GB2312" w:hAnsi="仿宋_GB2312" w:eastAsia="仿宋_GB2312" w:cs="仿宋_GB2312"/>
          <w:bCs/>
          <w:sz w:val="32"/>
          <w:szCs w:val="32"/>
        </w:rPr>
      </w:pPr>
      <w:bookmarkStart w:id="6" w:name="bookmark94"/>
      <w:r>
        <w:rPr>
          <w:rFonts w:hint="eastAsia" w:ascii="仿宋_GB2312" w:hAnsi="仿宋_GB2312" w:eastAsia="仿宋_GB2312" w:cs="仿宋_GB2312"/>
          <w:bCs/>
          <w:sz w:val="32"/>
          <w:szCs w:val="32"/>
        </w:rPr>
        <w:t>三</w:t>
      </w:r>
      <w:bookmarkEnd w:id="6"/>
      <w:r>
        <w:rPr>
          <w:rFonts w:hint="eastAsia" w:ascii="仿宋_GB2312" w:hAnsi="仿宋_GB2312" w:eastAsia="仿宋_GB2312" w:cs="仿宋_GB2312"/>
          <w:bCs/>
          <w:sz w:val="32"/>
          <w:szCs w:val="32"/>
        </w:rPr>
        <w:t>、比赛期间按照属地防疫要求做好个人防护。</w:t>
      </w:r>
    </w:p>
    <w:p>
      <w:pPr>
        <w:adjustRightInd w:val="0"/>
        <w:snapToGrid w:val="0"/>
        <w:spacing w:line="500" w:lineRule="exact"/>
        <w:ind w:firstLine="640" w:firstLineChars="200"/>
        <w:rPr>
          <w:rFonts w:ascii="仿宋_GB2312" w:hAnsi="仿宋_GB2312" w:eastAsia="仿宋_GB2312" w:cs="仿宋_GB2312"/>
          <w:bCs/>
          <w:sz w:val="32"/>
          <w:szCs w:val="32"/>
        </w:rPr>
      </w:pPr>
      <w:bookmarkStart w:id="7" w:name="bookmark95"/>
      <w:r>
        <w:rPr>
          <w:rFonts w:hint="eastAsia" w:ascii="仿宋_GB2312" w:hAnsi="仿宋_GB2312" w:eastAsia="仿宋_GB2312" w:cs="仿宋_GB2312"/>
          <w:bCs/>
          <w:sz w:val="32"/>
          <w:szCs w:val="32"/>
        </w:rPr>
        <w:t>四</w:t>
      </w:r>
      <w:bookmarkEnd w:id="7"/>
      <w:r>
        <w:rPr>
          <w:rFonts w:hint="eastAsia" w:ascii="仿宋_GB2312" w:hAnsi="仿宋_GB2312" w:eastAsia="仿宋_GB2312" w:cs="仿宋_GB2312"/>
          <w:bCs/>
          <w:sz w:val="32"/>
          <w:szCs w:val="32"/>
        </w:rPr>
        <w:t>、本人及领队承诺以上内容真实可信，如有虚假愿承担相关责任。</w:t>
      </w:r>
    </w:p>
    <w:p>
      <w:pPr>
        <w:adjustRightInd w:val="0"/>
        <w:snapToGrid w:val="0"/>
        <w:spacing w:line="500" w:lineRule="exact"/>
        <w:ind w:firstLine="640" w:firstLineChars="200"/>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签名：</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rPr>
        <w:tab/>
      </w:r>
      <w:r>
        <w:rPr>
          <w:rFonts w:hint="eastAsia" w:ascii="仿宋_GB2312" w:hAnsi="仿宋_GB2312" w:eastAsia="仿宋_GB2312" w:cs="仿宋_GB2312"/>
          <w:bCs/>
          <w:sz w:val="32"/>
          <w:szCs w:val="32"/>
        </w:rPr>
        <w:tab/>
      </w:r>
    </w:p>
    <w:p>
      <w:pPr>
        <w:rPr>
          <w:rFonts w:hint="eastAsia" w:ascii="仿宋" w:hAnsi="仿宋" w:eastAsia="仿宋"/>
          <w:kern w:val="0"/>
          <w:sz w:val="32"/>
          <w:szCs w:val="32"/>
        </w:rPr>
      </w:pPr>
      <w:r>
        <w:rPr>
          <w:rFonts w:hint="eastAsia" w:ascii="仿宋_GB2312" w:hAnsi="仿宋_GB2312" w:eastAsia="仿宋_GB2312" w:cs="仿宋_GB2312"/>
          <w:bCs/>
          <w:sz w:val="32"/>
          <w:szCs w:val="32"/>
        </w:rPr>
        <w:t xml:space="preserve">           </w:t>
      </w:r>
      <w:r>
        <w:rPr>
          <w:rFonts w:ascii="仿宋_GB2312" w:hAnsi="仿宋_GB2312" w:eastAsia="仿宋_GB2312" w:cs="仿宋_GB2312"/>
          <w:bCs/>
          <w:sz w:val="32"/>
          <w:szCs w:val="32"/>
        </w:rPr>
        <w:t xml:space="preserve">      </w:t>
      </w: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2022年   月   日</w:t>
      </w:r>
    </w:p>
    <w:p/>
    <w:p>
      <w:pPr>
        <w:rPr>
          <w:rFonts w:hint="eastAsia"/>
          <w:b/>
          <w:sz w:val="28"/>
          <w:szCs w:val="28"/>
          <w:lang w:val="en-US" w:eastAsia="zh-CN"/>
        </w:rPr>
      </w:pPr>
      <w:r>
        <w:rPr>
          <w:rFonts w:hint="eastAsia"/>
          <w:b/>
          <w:sz w:val="28"/>
          <w:szCs w:val="28"/>
          <w:lang w:val="en-US" w:eastAsia="zh-CN"/>
        </w:rPr>
        <w:t>附件3</w:t>
      </w:r>
    </w:p>
    <w:p>
      <w:pPr>
        <w:pStyle w:val="2"/>
        <w:spacing w:line="360" w:lineRule="auto"/>
        <w:ind w:right="417"/>
        <w:jc w:val="both"/>
        <w:rPr>
          <w:rFonts w:hint="eastAsia" w:ascii="宋体" w:hAnsi="宋体" w:eastAsia="宋体" w:cs="宋体"/>
          <w:lang w:val="en-US" w:eastAsia="zh-CN"/>
        </w:rPr>
      </w:pPr>
      <w:r>
        <w:rPr>
          <w:rFonts w:hint="eastAsia" w:ascii="宋体" w:hAnsi="宋体" w:eastAsia="宋体" w:cs="宋体"/>
          <w:lang w:val="en-US" w:eastAsia="zh-CN"/>
        </w:rPr>
        <w:t>附件：1</w:t>
      </w:r>
    </w:p>
    <w:p>
      <w:pPr>
        <w:spacing w:line="360" w:lineRule="auto"/>
        <w:jc w:val="center"/>
        <w:rPr>
          <w:rFonts w:hint="eastAsia" w:ascii="宋体" w:hAnsi="宋体" w:eastAsia="宋体" w:cs="宋体"/>
          <w:sz w:val="36"/>
          <w:szCs w:val="36"/>
          <w:lang w:val="en-US" w:eastAsia="zh-CN"/>
        </w:rPr>
      </w:pPr>
      <w:r>
        <w:rPr>
          <w:rFonts w:hint="eastAsia" w:ascii="宋体" w:hAnsi="宋体" w:eastAsia="宋体" w:cs="宋体"/>
          <w:sz w:val="36"/>
          <w:szCs w:val="36"/>
          <w:lang w:val="en-US"/>
        </w:rPr>
        <w:t>冰雪项目赛事</w:t>
      </w:r>
      <w:r>
        <w:rPr>
          <w:rFonts w:hint="eastAsia" w:ascii="宋体" w:hAnsi="宋体" w:eastAsia="宋体" w:cs="宋体"/>
          <w:sz w:val="36"/>
          <w:szCs w:val="36"/>
          <w:lang w:val="en-US" w:eastAsia="zh-CN"/>
        </w:rPr>
        <w:t>参赛规定</w:t>
      </w:r>
    </w:p>
    <w:p>
      <w:pPr>
        <w:spacing w:line="360" w:lineRule="auto"/>
        <w:jc w:val="center"/>
        <w:rPr>
          <w:rFonts w:hint="eastAsia" w:ascii="宋体" w:hAnsi="宋体" w:eastAsia="宋体" w:cs="宋体"/>
          <w:b/>
          <w:bCs/>
          <w:sz w:val="36"/>
          <w:szCs w:val="36"/>
          <w:lang w:val="en-US"/>
        </w:rPr>
      </w:pPr>
    </w:p>
    <w:p>
      <w:pPr>
        <w:pStyle w:val="2"/>
        <w:spacing w:line="360" w:lineRule="auto"/>
        <w:ind w:firstLine="592" w:firstLineChars="200"/>
        <w:rPr>
          <w:rFonts w:ascii="黑体" w:hAnsi="黑体" w:eastAsia="黑体" w:cs="黑体"/>
          <w:spacing w:val="-4"/>
          <w:w w:val="95"/>
          <w:lang w:val="en-US"/>
        </w:rPr>
      </w:pPr>
      <w:r>
        <w:rPr>
          <w:rFonts w:hint="eastAsia" w:ascii="黑体" w:hAnsi="黑体" w:eastAsia="黑体" w:cs="黑体"/>
          <w:spacing w:val="-4"/>
          <w:w w:val="95"/>
        </w:rPr>
        <w:t>一、</w:t>
      </w:r>
      <w:r>
        <w:rPr>
          <w:rFonts w:hint="eastAsia" w:ascii="黑体" w:hAnsi="黑体" w:eastAsia="黑体" w:cs="黑体"/>
          <w:spacing w:val="-4"/>
          <w:w w:val="95"/>
          <w:lang w:val="en-US"/>
        </w:rPr>
        <w:t>开展反兴奋剂背景审查</w:t>
      </w:r>
    </w:p>
    <w:p>
      <w:pPr>
        <w:pStyle w:val="2"/>
        <w:spacing w:line="360" w:lineRule="auto"/>
        <w:ind w:right="417" w:firstLine="640"/>
        <w:jc w:val="both"/>
        <w:rPr>
          <w:rFonts w:hint="eastAsia"/>
          <w:lang w:val="en-US"/>
        </w:rPr>
      </w:pPr>
      <w:r>
        <w:rPr>
          <w:rFonts w:hint="eastAsia"/>
          <w:lang w:val="en-US"/>
        </w:rPr>
        <w:t>（一）参赛队提供运动员、教练员及工作人员（含领队、教练等）姓名、身份证号码、项目名称、是否存在兴奋剂违规历史、在（注册）检查库退役及复出等情况。</w:t>
      </w:r>
    </w:p>
    <w:p>
      <w:pPr>
        <w:pStyle w:val="2"/>
        <w:spacing w:line="360" w:lineRule="auto"/>
        <w:ind w:right="417" w:firstLine="640"/>
        <w:jc w:val="both"/>
        <w:rPr>
          <w:rFonts w:hint="eastAsia"/>
          <w:lang w:val="en-US"/>
        </w:rPr>
      </w:pPr>
      <w:r>
        <w:rPr>
          <w:rFonts w:hint="eastAsia"/>
          <w:lang w:val="en-US"/>
        </w:rPr>
        <w:t>（二）如有发生兴奋剂违规历史的，须提供兴奋剂违规情况说明。</w:t>
      </w:r>
    </w:p>
    <w:p>
      <w:pPr>
        <w:pStyle w:val="2"/>
        <w:spacing w:line="360" w:lineRule="auto"/>
        <w:ind w:right="417" w:firstLine="640"/>
        <w:jc w:val="both"/>
        <w:rPr>
          <w:rFonts w:hint="eastAsia"/>
          <w:lang w:val="en-US"/>
        </w:rPr>
      </w:pPr>
      <w:r>
        <w:rPr>
          <w:rFonts w:hint="eastAsia"/>
          <w:lang w:val="en-US"/>
        </w:rPr>
        <w:t xml:space="preserve">（三）运动员在禁赛期内、已经办理退役、办理退役复出手续但不满足参赛条件的，禁止参加赛事。 </w:t>
      </w:r>
    </w:p>
    <w:p>
      <w:pPr>
        <w:pStyle w:val="2"/>
        <w:spacing w:line="360" w:lineRule="auto"/>
        <w:ind w:firstLine="592" w:firstLineChars="200"/>
        <w:rPr>
          <w:rFonts w:hint="eastAsia" w:ascii="黑体" w:hAnsi="黑体" w:eastAsia="黑体" w:cs="黑体"/>
          <w:spacing w:val="-4"/>
          <w:w w:val="95"/>
          <w:lang w:val="en-US"/>
        </w:rPr>
      </w:pPr>
      <w:r>
        <w:rPr>
          <w:rFonts w:hint="eastAsia" w:ascii="黑体" w:hAnsi="黑体" w:eastAsia="黑体" w:cs="黑体"/>
          <w:spacing w:val="-4"/>
          <w:w w:val="95"/>
          <w:lang w:val="en-US"/>
        </w:rPr>
        <w:t>二、明确赛事期间运动员反兴奋剂责任人</w:t>
      </w:r>
    </w:p>
    <w:p>
      <w:pPr>
        <w:pStyle w:val="2"/>
        <w:spacing w:line="360" w:lineRule="auto"/>
        <w:ind w:right="417" w:firstLine="640"/>
        <w:jc w:val="both"/>
        <w:rPr>
          <w:lang w:val="en-US"/>
        </w:rPr>
      </w:pPr>
      <w:r>
        <w:rPr>
          <w:rFonts w:hint="eastAsia"/>
          <w:lang w:val="en-US"/>
        </w:rPr>
        <w:t>参赛队领队是本队伍参赛期间的反兴奋剂第一责任人，队伍应明确药品、营养品、食品及饮品管理责任人，同时设立运动员反兴奋剂责任人。以上人员须严格按照本通知对运动员进行监管。</w:t>
      </w:r>
    </w:p>
    <w:p>
      <w:pPr>
        <w:pStyle w:val="2"/>
        <w:spacing w:line="360" w:lineRule="auto"/>
        <w:ind w:right="417" w:firstLine="640"/>
        <w:jc w:val="both"/>
        <w:rPr>
          <w:rFonts w:hint="eastAsia" w:ascii="黑体" w:hAnsi="黑体" w:eastAsia="黑体" w:cs="黑体"/>
          <w:spacing w:val="-4"/>
          <w:w w:val="95"/>
        </w:rPr>
      </w:pPr>
      <w:r>
        <w:rPr>
          <w:rFonts w:hint="eastAsia" w:ascii="黑体" w:hAnsi="黑体" w:eastAsia="黑体" w:cs="黑体"/>
          <w:spacing w:val="-4"/>
          <w:w w:val="95"/>
          <w:lang w:val="en-US"/>
        </w:rPr>
        <w:t>三</w:t>
      </w:r>
      <w:r>
        <w:rPr>
          <w:rFonts w:hint="eastAsia" w:ascii="黑体" w:hAnsi="黑体" w:eastAsia="黑体" w:cs="黑体"/>
          <w:spacing w:val="-4"/>
          <w:w w:val="95"/>
        </w:rPr>
        <w:t>、实施赛前反兴奋剂教育准入</w:t>
      </w:r>
    </w:p>
    <w:p>
      <w:pPr>
        <w:pStyle w:val="2"/>
        <w:spacing w:line="360" w:lineRule="auto"/>
        <w:ind w:firstLine="640" w:firstLineChars="200"/>
        <w:rPr>
          <w:rFonts w:hint="eastAsia"/>
          <w:spacing w:val="-1"/>
        </w:rPr>
      </w:pPr>
      <w:r>
        <w:rPr>
          <w:rFonts w:hint="eastAsia"/>
        </w:rPr>
        <w:t>参赛运动员</w:t>
      </w:r>
      <w:r>
        <w:rPr>
          <w:rFonts w:hint="eastAsia"/>
          <w:lang w:val="en-US"/>
        </w:rPr>
        <w:t>、教练员及工作</w:t>
      </w:r>
      <w:r>
        <w:rPr>
          <w:rFonts w:hint="eastAsia"/>
        </w:rPr>
        <w:t>人员通过中国反兴奋剂教育平台</w:t>
      </w:r>
      <w:r>
        <w:rPr>
          <w:rFonts w:hint="eastAsia"/>
          <w:spacing w:val="6"/>
          <w:w w:val="99"/>
        </w:rPr>
        <w:t>“</w:t>
      </w:r>
      <w:r>
        <w:rPr>
          <w:rFonts w:hint="eastAsia"/>
          <w:spacing w:val="6"/>
          <w:w w:val="99"/>
          <w:lang w:val="en-US"/>
        </w:rPr>
        <w:t>中国冰雪通用模块-反兴奋剂教育准入入口</w:t>
      </w:r>
      <w:r>
        <w:rPr>
          <w:rFonts w:hint="eastAsia"/>
          <w:spacing w:val="6"/>
          <w:w w:val="99"/>
        </w:rPr>
        <w:t>”完</w:t>
      </w:r>
      <w:r>
        <w:rPr>
          <w:rFonts w:hint="eastAsia"/>
          <w:spacing w:val="-1"/>
          <w:w w:val="95"/>
        </w:rPr>
        <w:t>成教育准入学习，</w:t>
      </w:r>
      <w:r>
        <w:rPr>
          <w:rFonts w:hint="eastAsia"/>
          <w:spacing w:val="-1"/>
          <w:w w:val="95"/>
          <w:lang w:val="en-US"/>
        </w:rPr>
        <w:t>考试合格获得证书后具备参赛资格。</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四、签订反兴奋剂责任书</w:t>
      </w:r>
    </w:p>
    <w:p>
      <w:pPr>
        <w:pStyle w:val="2"/>
        <w:spacing w:line="360" w:lineRule="auto"/>
        <w:ind w:right="417" w:firstLine="636" w:firstLineChars="200"/>
        <w:jc w:val="both"/>
        <w:rPr>
          <w:rFonts w:hint="eastAsia"/>
          <w:spacing w:val="-4"/>
          <w:w w:val="95"/>
          <w:lang w:val="en-US"/>
        </w:rPr>
      </w:pPr>
      <w:r>
        <w:rPr>
          <w:rFonts w:hint="eastAsia"/>
          <w:spacing w:val="-1"/>
          <w:lang w:val="en-US"/>
        </w:rPr>
        <w:t>各参赛队须签订反兴奋剂责任书，并按照反兴奋剂责任书的要求落实相关规定。</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五、食品安全要求</w:t>
      </w:r>
    </w:p>
    <w:p>
      <w:pPr>
        <w:pStyle w:val="2"/>
        <w:spacing w:line="360" w:lineRule="auto"/>
        <w:ind w:left="0" w:right="417" w:firstLine="636" w:firstLineChars="200"/>
        <w:jc w:val="both"/>
        <w:rPr>
          <w:spacing w:val="-1"/>
          <w:lang w:val="en-US"/>
        </w:rPr>
      </w:pPr>
      <w:r>
        <w:rPr>
          <w:rFonts w:hint="eastAsia"/>
          <w:spacing w:val="-1"/>
          <w:lang w:val="en-US"/>
        </w:rPr>
        <w:t>参赛运动员须在赛事组委会指定地点集中用餐，严禁在赛事期间外出就餐、点外卖、使用非赛事组委会提供的任何食品、饮品。参赛队指定专人，做好运动员食品安全管理。</w:t>
      </w:r>
    </w:p>
    <w:p>
      <w:pPr>
        <w:pStyle w:val="2"/>
        <w:spacing w:line="360" w:lineRule="auto"/>
        <w:ind w:left="760" w:right="417"/>
        <w:jc w:val="both"/>
        <w:rPr>
          <w:rFonts w:hint="eastAsia" w:ascii="黑体" w:hAnsi="黑体" w:eastAsia="黑体" w:cs="黑体"/>
          <w:spacing w:val="-4"/>
          <w:w w:val="95"/>
          <w:lang w:val="en-US"/>
        </w:rPr>
      </w:pPr>
      <w:r>
        <w:rPr>
          <w:rFonts w:hint="eastAsia" w:ascii="黑体" w:hAnsi="黑体" w:eastAsia="黑体" w:cs="黑体"/>
          <w:spacing w:val="-4"/>
          <w:w w:val="95"/>
          <w:lang w:val="en-US"/>
        </w:rPr>
        <w:t>六、药品、营养品备案</w:t>
      </w:r>
    </w:p>
    <w:p>
      <w:pPr>
        <w:pStyle w:val="2"/>
        <w:spacing w:line="360" w:lineRule="auto"/>
        <w:ind w:right="417" w:firstLine="636" w:firstLineChars="200"/>
        <w:jc w:val="both"/>
        <w:rPr>
          <w:rFonts w:hint="eastAsia"/>
          <w:spacing w:val="-1"/>
          <w:lang w:val="en-US"/>
        </w:rPr>
      </w:pPr>
      <w:r>
        <w:rPr>
          <w:rFonts w:hint="eastAsia"/>
          <w:spacing w:val="-1"/>
          <w:lang w:val="en-US"/>
        </w:rPr>
        <w:t>（一）各参赛队运动员、教练员及工作人员须对携带的药品、营养品进行登记备案，并将备案表提交组委会。</w:t>
      </w:r>
    </w:p>
    <w:p>
      <w:pPr>
        <w:pStyle w:val="2"/>
        <w:spacing w:line="360" w:lineRule="auto"/>
        <w:ind w:right="417" w:firstLine="636" w:firstLineChars="200"/>
        <w:jc w:val="both"/>
        <w:rPr>
          <w:rFonts w:hint="eastAsia"/>
          <w:spacing w:val="-1"/>
          <w:lang w:val="en-US"/>
        </w:rPr>
      </w:pPr>
      <w:r>
        <w:rPr>
          <w:rFonts w:hint="eastAsia"/>
          <w:spacing w:val="-1"/>
          <w:lang w:val="en-US"/>
        </w:rPr>
        <w:t>（二）各参赛队自行准备运动员药品，全部药品须经过中国反兴奋剂中心网站“药品审核系统”进行查询，严禁携带任何含有禁用物质的（包括仅赛内禁用）药品。</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七、急救医疗及治疗用药豁免</w:t>
      </w:r>
    </w:p>
    <w:p>
      <w:pPr>
        <w:pStyle w:val="2"/>
        <w:spacing w:line="360" w:lineRule="auto"/>
        <w:ind w:right="417" w:firstLine="636" w:firstLineChars="200"/>
        <w:jc w:val="both"/>
        <w:rPr>
          <w:spacing w:val="-1"/>
          <w:lang w:val="en-US"/>
        </w:rPr>
      </w:pPr>
      <w:r>
        <w:rPr>
          <w:rFonts w:hint="eastAsia"/>
          <w:spacing w:val="-1"/>
          <w:lang w:val="en-US"/>
        </w:rPr>
        <w:t>（一）赛事组织方在比赛场馆设立急救医疗点，运动员在接受急救医疗时，其参赛队自行负责审核急救医疗点及相关就诊医院使用的药品及治疗方法，并对药品及治疗方法的使用承担法律责任。</w:t>
      </w:r>
    </w:p>
    <w:p>
      <w:pPr>
        <w:pStyle w:val="2"/>
        <w:spacing w:line="360" w:lineRule="auto"/>
        <w:ind w:right="417" w:firstLine="636" w:firstLineChars="200"/>
        <w:jc w:val="both"/>
        <w:rPr>
          <w:rFonts w:hint="eastAsia"/>
          <w:spacing w:val="-4"/>
          <w:w w:val="95"/>
          <w:lang w:val="en-US"/>
        </w:rPr>
      </w:pPr>
      <w:r>
        <w:rPr>
          <w:rFonts w:hint="eastAsia"/>
          <w:spacing w:val="-1"/>
          <w:lang w:val="en-US"/>
        </w:rPr>
        <w:t>（二）</w:t>
      </w:r>
      <w:r>
        <w:rPr>
          <w:rFonts w:hint="eastAsia" w:ascii="仿宋_GB2312" w:hAnsi="仿宋_GB2312" w:eastAsia="仿宋_GB2312" w:cs="仿宋_GB2312"/>
        </w:rPr>
        <w:t>运动员为治疗急性或慢性疾病，必须使用《禁用清单》中的药物或方法，须</w:t>
      </w:r>
      <w:r>
        <w:rPr>
          <w:rFonts w:hint="eastAsia" w:ascii="仿宋_GB2312" w:hAnsi="仿宋_GB2312" w:eastAsia="仿宋_GB2312" w:cs="仿宋_GB2312"/>
          <w:lang w:val="en-US"/>
        </w:rPr>
        <w:t>提前30天向体育总局反兴奋剂中心</w:t>
      </w:r>
      <w:r>
        <w:rPr>
          <w:rFonts w:hint="eastAsia" w:ascii="仿宋_GB2312" w:hAnsi="仿宋_GB2312" w:eastAsia="仿宋_GB2312" w:cs="仿宋_GB2312"/>
        </w:rPr>
        <w:t>申请</w:t>
      </w:r>
      <w:r>
        <w:rPr>
          <w:rFonts w:hint="eastAsia" w:ascii="仿宋_GB2312" w:hAnsi="仿宋_GB2312" w:eastAsia="仿宋_GB2312" w:cs="仿宋_GB2312"/>
          <w:lang w:val="en-US"/>
        </w:rPr>
        <w:t>治疗用药豁免（TUE）（在国际单项体育联合会注册检查库或检查库的运动员，须向国际单项体育联合会申请TUE）</w:t>
      </w:r>
      <w:r>
        <w:rPr>
          <w:rFonts w:hint="eastAsia" w:ascii="仿宋_GB2312" w:hAnsi="仿宋_GB2312" w:eastAsia="仿宋_GB2312" w:cs="仿宋_GB2312"/>
        </w:rPr>
        <w:t>，并获得使用</w:t>
      </w:r>
      <w:r>
        <w:rPr>
          <w:rFonts w:hint="eastAsia" w:ascii="仿宋_GB2312" w:hAnsi="仿宋_GB2312" w:cs="仿宋_GB2312"/>
        </w:rPr>
        <w:t>该</w:t>
      </w:r>
      <w:r>
        <w:rPr>
          <w:rFonts w:hint="eastAsia" w:ascii="仿宋_GB2312" w:hAnsi="仿宋_GB2312" w:eastAsia="仿宋_GB2312" w:cs="仿宋_GB2312"/>
        </w:rPr>
        <w:t>药物和/或方法的批准。</w:t>
      </w:r>
      <w:r>
        <w:rPr>
          <w:rFonts w:hint="eastAsia" w:ascii="仿宋_GB2312" w:hAnsi="仿宋_GB2312" w:eastAsia="仿宋_GB2312" w:cs="仿宋_GB2312"/>
          <w:lang w:val="en-US"/>
        </w:rPr>
        <w:t>在接受兴奋剂检查时，需向检查官出示批准文书。</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八、赛事兴奋剂检查</w:t>
      </w:r>
    </w:p>
    <w:p>
      <w:pPr>
        <w:pStyle w:val="2"/>
        <w:spacing w:line="360" w:lineRule="auto"/>
        <w:ind w:right="417" w:firstLine="636" w:firstLineChars="200"/>
        <w:jc w:val="both"/>
        <w:rPr>
          <w:rFonts w:hint="eastAsia"/>
          <w:spacing w:val="-1"/>
          <w:lang w:val="en-US"/>
        </w:rPr>
      </w:pPr>
      <w:r>
        <w:rPr>
          <w:rFonts w:hint="eastAsia"/>
          <w:spacing w:val="-1"/>
          <w:lang w:val="en-US"/>
        </w:rPr>
        <w:t>（一）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pStyle w:val="2"/>
        <w:spacing w:line="360" w:lineRule="auto"/>
        <w:ind w:right="417" w:firstLine="636" w:firstLineChars="200"/>
        <w:jc w:val="both"/>
        <w:rPr>
          <w:rFonts w:hint="eastAsia"/>
          <w:spacing w:val="-1"/>
          <w:lang w:val="en-US"/>
        </w:rPr>
      </w:pPr>
      <w:r>
        <w:rPr>
          <w:rFonts w:hint="eastAsia"/>
          <w:spacing w:val="-1"/>
          <w:lang w:val="en-US"/>
        </w:rPr>
        <w:t>（二）运动员在接到兴奋剂检查通知后，须积极配合兴奋剂检查，不得发生逃检、拒检等情况。如在赛事中，运动员破世界、国家或省市记录，可主动向赛事组委会申请兴奋剂检查，相关费用自理。</w:t>
      </w:r>
    </w:p>
    <w:p>
      <w:pPr>
        <w:pStyle w:val="2"/>
        <w:spacing w:line="360" w:lineRule="auto"/>
        <w:ind w:left="760" w:right="417"/>
        <w:jc w:val="both"/>
        <w:rPr>
          <w:rFonts w:ascii="黑体" w:hAnsi="黑体" w:eastAsia="黑体" w:cs="黑体"/>
          <w:spacing w:val="-4"/>
          <w:w w:val="95"/>
          <w:lang w:val="en-US"/>
        </w:rPr>
      </w:pPr>
      <w:r>
        <w:rPr>
          <w:rFonts w:hint="eastAsia" w:ascii="黑体" w:hAnsi="黑体" w:eastAsia="黑体" w:cs="黑体"/>
          <w:spacing w:val="-4"/>
          <w:w w:val="95"/>
          <w:lang w:val="en-US"/>
        </w:rPr>
        <w:t>九、其他</w:t>
      </w:r>
    </w:p>
    <w:p>
      <w:pPr>
        <w:pStyle w:val="2"/>
        <w:spacing w:line="360" w:lineRule="auto"/>
        <w:ind w:right="417" w:firstLine="636" w:firstLineChars="200"/>
        <w:jc w:val="both"/>
        <w:rPr>
          <w:rFonts w:hint="eastAsia"/>
          <w:spacing w:val="-1"/>
          <w:lang w:val="en-US"/>
        </w:rPr>
      </w:pPr>
      <w:r>
        <w:rPr>
          <w:rFonts w:hint="eastAsia"/>
          <w:spacing w:val="-1"/>
        </w:rPr>
        <w:t>请在参赛前</w:t>
      </w:r>
      <w:r>
        <w:rPr>
          <w:rFonts w:hint="eastAsia"/>
          <w:spacing w:val="-1"/>
          <w:lang w:val="en-US"/>
        </w:rPr>
        <w:t>4天（根据开赛日期填写），</w:t>
      </w:r>
      <w:r>
        <w:rPr>
          <w:rFonts w:hint="eastAsia"/>
          <w:spacing w:val="-1"/>
        </w:rPr>
        <w:t>将参赛队反兴奋剂责任分工、兴奋剂违规背景审查表、反兴奋剂责任书</w:t>
      </w:r>
      <w:r>
        <w:rPr>
          <w:rFonts w:hint="eastAsia"/>
          <w:spacing w:val="-1"/>
          <w:lang w:val="en-US"/>
        </w:rPr>
        <w:t>（</w:t>
      </w:r>
      <w:r>
        <w:rPr>
          <w:rFonts w:hint="eastAsia"/>
          <w:spacing w:val="-1"/>
        </w:rPr>
        <w:t>签字版扫描件</w:t>
      </w:r>
      <w:r>
        <w:rPr>
          <w:rFonts w:hint="eastAsia"/>
          <w:spacing w:val="-1"/>
          <w:lang w:val="en-US"/>
        </w:rPr>
        <w:t>，</w:t>
      </w:r>
      <w:r>
        <w:rPr>
          <w:rFonts w:hint="eastAsia"/>
          <w:spacing w:val="-1"/>
        </w:rPr>
        <w:t>每页均需签字</w:t>
      </w:r>
      <w:r>
        <w:rPr>
          <w:rFonts w:hint="eastAsia"/>
          <w:spacing w:val="-1"/>
          <w:lang w:val="en-US"/>
        </w:rPr>
        <w:t>）</w:t>
      </w:r>
      <w:r>
        <w:rPr>
          <w:rFonts w:hint="eastAsia"/>
          <w:spacing w:val="-1"/>
        </w:rPr>
        <w:t>、参赛人员药品营养品登记表、反兴奋剂教育准入考试合格证书等</w:t>
      </w:r>
      <w:r>
        <w:rPr>
          <w:rFonts w:hint="eastAsia"/>
          <w:spacing w:val="-1"/>
          <w:lang w:val="en-US"/>
        </w:rPr>
        <w:t>，</w:t>
      </w:r>
      <w:r>
        <w:rPr>
          <w:rFonts w:hint="eastAsia"/>
          <w:spacing w:val="-1"/>
        </w:rPr>
        <w:t>以</w:t>
      </w:r>
      <w:r>
        <w:rPr>
          <w:rFonts w:hint="eastAsia"/>
          <w:spacing w:val="-1"/>
          <w:lang w:val="en-US"/>
        </w:rPr>
        <w:t>“</w:t>
      </w:r>
      <w:r>
        <w:rPr>
          <w:rFonts w:hint="eastAsia"/>
          <w:spacing w:val="-1"/>
        </w:rPr>
        <w:t>赛事名称</w:t>
      </w:r>
      <w:r>
        <w:rPr>
          <w:rFonts w:hint="eastAsia"/>
          <w:spacing w:val="-1"/>
          <w:lang w:val="en-US"/>
        </w:rPr>
        <w:t>+</w:t>
      </w:r>
      <w:r>
        <w:rPr>
          <w:rFonts w:hint="eastAsia"/>
          <w:spacing w:val="-1"/>
        </w:rPr>
        <w:t>代表单位</w:t>
      </w:r>
      <w:r>
        <w:rPr>
          <w:rFonts w:hint="eastAsia"/>
          <w:spacing w:val="-1"/>
          <w:lang w:val="en-US"/>
        </w:rPr>
        <w:t>”</w:t>
      </w:r>
      <w:r>
        <w:rPr>
          <w:rFonts w:hint="eastAsia"/>
          <w:spacing w:val="-1"/>
        </w:rPr>
        <w:t>的格式统一发送至</w:t>
      </w:r>
      <w:r>
        <w:rPr>
          <w:rFonts w:hint="eastAsia"/>
          <w:spacing w:val="-1"/>
          <w:lang w:val="en-US"/>
        </w:rPr>
        <w:t>antidopingrace@163.com</w:t>
      </w:r>
      <w:r>
        <w:rPr>
          <w:rFonts w:hint="eastAsia"/>
          <w:spacing w:val="-1"/>
        </w:rPr>
        <w:t>。</w:t>
      </w:r>
    </w:p>
    <w:p>
      <w:pPr>
        <w:pStyle w:val="2"/>
        <w:spacing w:line="360" w:lineRule="auto"/>
        <w:ind w:right="417" w:firstLine="636" w:firstLineChars="200"/>
        <w:jc w:val="both"/>
        <w:rPr>
          <w:rFonts w:hint="eastAsia"/>
          <w:spacing w:val="-1"/>
          <w:lang w:val="en-US"/>
        </w:rPr>
      </w:pPr>
    </w:p>
    <w:p>
      <w:pPr>
        <w:pStyle w:val="2"/>
        <w:spacing w:line="360" w:lineRule="auto"/>
        <w:ind w:right="417" w:firstLine="636" w:firstLineChars="200"/>
        <w:jc w:val="both"/>
        <w:rPr>
          <w:rFonts w:hint="eastAsia"/>
          <w:spacing w:val="-1"/>
          <w:lang w:val="en-US"/>
        </w:rPr>
      </w:pPr>
      <w:r>
        <w:rPr>
          <w:rFonts w:hint="eastAsia"/>
          <w:spacing w:val="-1"/>
          <w:lang w:val="en-US"/>
        </w:rPr>
        <w:t>附件：1.参赛队反兴奋剂责任分工</w:t>
      </w:r>
    </w:p>
    <w:p>
      <w:pPr>
        <w:pStyle w:val="2"/>
        <w:spacing w:line="360" w:lineRule="auto"/>
        <w:ind w:right="417" w:firstLine="636" w:firstLineChars="200"/>
        <w:jc w:val="both"/>
        <w:rPr>
          <w:spacing w:val="-1"/>
          <w:lang w:val="en-US"/>
        </w:rPr>
      </w:pPr>
      <w:r>
        <w:rPr>
          <w:rFonts w:hint="eastAsia"/>
          <w:spacing w:val="-1"/>
          <w:lang w:val="en-US"/>
        </w:rPr>
        <w:t xml:space="preserve">      2.反兴奋剂背景审查表</w:t>
      </w:r>
    </w:p>
    <w:p>
      <w:pPr>
        <w:pStyle w:val="2"/>
        <w:spacing w:line="360" w:lineRule="auto"/>
        <w:ind w:right="417" w:firstLine="1590" w:firstLineChars="500"/>
        <w:jc w:val="both"/>
        <w:rPr>
          <w:spacing w:val="-1"/>
          <w:lang w:val="en-US"/>
        </w:rPr>
      </w:pPr>
      <w:r>
        <w:rPr>
          <w:rFonts w:hint="eastAsia"/>
          <w:spacing w:val="-1"/>
          <w:lang w:val="en-US"/>
        </w:rPr>
        <w:t>3.反兴奋剂责任书</w:t>
      </w:r>
    </w:p>
    <w:p>
      <w:pPr>
        <w:pStyle w:val="2"/>
        <w:spacing w:line="360" w:lineRule="auto"/>
        <w:ind w:left="1977" w:leftChars="790" w:right="417" w:hanging="318" w:hangingChars="100"/>
        <w:jc w:val="both"/>
        <w:rPr>
          <w:rFonts w:hint="eastAsia"/>
          <w:spacing w:val="-1"/>
          <w:lang w:val="en-US"/>
        </w:rPr>
      </w:pPr>
      <w:r>
        <w:rPr>
          <w:rFonts w:hint="eastAsia"/>
          <w:spacing w:val="-1"/>
          <w:lang w:val="en-US"/>
        </w:rPr>
        <w:t>4.参赛人员药品、营养品登记表（运动员备用及工作人员自用）</w:t>
      </w:r>
    </w:p>
    <w:p>
      <w:pPr>
        <w:pStyle w:val="2"/>
        <w:spacing w:line="360" w:lineRule="auto"/>
        <w:ind w:left="1977" w:leftChars="790" w:right="417" w:hanging="318" w:hangingChars="100"/>
        <w:jc w:val="both"/>
        <w:rPr>
          <w:rFonts w:hint="eastAsia"/>
          <w:spacing w:val="-1"/>
          <w:lang w:val="en-US"/>
        </w:rPr>
      </w:pPr>
      <w:r>
        <w:rPr>
          <w:rFonts w:hint="eastAsia"/>
          <w:spacing w:val="-1"/>
          <w:lang w:val="en-US"/>
        </w:rPr>
        <w:t>5.反兴奋剂准入教育操作指南</w:t>
      </w:r>
    </w:p>
    <w:p>
      <w:pPr>
        <w:pStyle w:val="2"/>
        <w:spacing w:line="360" w:lineRule="auto"/>
        <w:ind w:left="1977" w:leftChars="790" w:right="417" w:hanging="318" w:hangingChars="100"/>
        <w:jc w:val="both"/>
        <w:rPr>
          <w:rFonts w:hint="eastAsia"/>
          <w:spacing w:val="-1"/>
          <w:lang w:val="en-US"/>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1</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1"/>
        <w:gridCol w:w="1182"/>
        <w:gridCol w:w="2380"/>
        <w:gridCol w:w="1634"/>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sz w:val="28"/>
                <w:szCs w:val="28"/>
                <w:lang w:val="en-US"/>
              </w:rPr>
              <w:t>序号</w:t>
            </w:r>
          </w:p>
        </w:tc>
        <w:tc>
          <w:tcPr>
            <w:tcW w:w="859" w:type="dxa"/>
            <w:noWrap w:val="0"/>
            <w:vAlign w:val="top"/>
          </w:tcPr>
          <w:p>
            <w:pPr>
              <w:jc w:val="center"/>
              <w:rPr>
                <w:rFonts w:hint="eastAsia"/>
                <w:sz w:val="28"/>
                <w:szCs w:val="28"/>
                <w:lang w:val="en-US"/>
              </w:rPr>
            </w:pPr>
            <w:r>
              <w:rPr>
                <w:rFonts w:hint="eastAsia"/>
                <w:sz w:val="28"/>
                <w:szCs w:val="28"/>
                <w:lang w:val="en-US"/>
              </w:rPr>
              <w:t>姓名</w:t>
            </w:r>
          </w:p>
        </w:tc>
        <w:tc>
          <w:tcPr>
            <w:tcW w:w="1285" w:type="dxa"/>
            <w:noWrap w:val="0"/>
            <w:vAlign w:val="top"/>
          </w:tcPr>
          <w:p>
            <w:pPr>
              <w:jc w:val="center"/>
              <w:rPr>
                <w:rFonts w:hint="eastAsia"/>
                <w:sz w:val="28"/>
                <w:szCs w:val="28"/>
                <w:lang w:val="en-US"/>
              </w:rPr>
            </w:pPr>
            <w:r>
              <w:rPr>
                <w:rFonts w:hint="eastAsia"/>
                <w:sz w:val="28"/>
                <w:szCs w:val="28"/>
                <w:lang w:val="en-US"/>
              </w:rPr>
              <w:t>参赛队</w:t>
            </w:r>
          </w:p>
          <w:p>
            <w:pPr>
              <w:jc w:val="center"/>
              <w:rPr>
                <w:rFonts w:hint="eastAsia"/>
                <w:sz w:val="28"/>
                <w:szCs w:val="28"/>
                <w:lang w:val="en-US"/>
              </w:rPr>
            </w:pPr>
            <w:r>
              <w:rPr>
                <w:rFonts w:hint="eastAsia"/>
                <w:sz w:val="28"/>
                <w:szCs w:val="28"/>
                <w:lang w:val="en-US"/>
              </w:rPr>
              <w:t>职务</w:t>
            </w:r>
          </w:p>
        </w:tc>
        <w:tc>
          <w:tcPr>
            <w:tcW w:w="2664" w:type="dxa"/>
            <w:noWrap w:val="0"/>
            <w:vAlign w:val="top"/>
          </w:tcPr>
          <w:p>
            <w:pPr>
              <w:jc w:val="center"/>
              <w:rPr>
                <w:sz w:val="28"/>
                <w:szCs w:val="28"/>
                <w:lang w:val="en-US"/>
              </w:rPr>
            </w:pPr>
            <w:r>
              <w:rPr>
                <w:rFonts w:hint="eastAsia"/>
                <w:sz w:val="28"/>
                <w:szCs w:val="28"/>
                <w:lang w:val="en-US"/>
              </w:rPr>
              <w:t>单位名称及职务</w:t>
            </w:r>
          </w:p>
        </w:tc>
        <w:tc>
          <w:tcPr>
            <w:tcW w:w="1806" w:type="dxa"/>
            <w:noWrap w:val="0"/>
            <w:vAlign w:val="top"/>
          </w:tcPr>
          <w:p>
            <w:pPr>
              <w:jc w:val="center"/>
              <w:rPr>
                <w:sz w:val="28"/>
                <w:szCs w:val="28"/>
                <w:lang w:val="en-US"/>
              </w:rPr>
            </w:pPr>
            <w:r>
              <w:rPr>
                <w:rFonts w:hint="eastAsia"/>
                <w:sz w:val="28"/>
                <w:szCs w:val="28"/>
                <w:lang w:val="en-US"/>
              </w:rPr>
              <w:t>反兴奋剂岗位</w:t>
            </w:r>
          </w:p>
        </w:tc>
        <w:tc>
          <w:tcPr>
            <w:tcW w:w="1806" w:type="dxa"/>
            <w:noWrap w:val="0"/>
            <w:vAlign w:val="top"/>
          </w:tcPr>
          <w:p>
            <w:pPr>
              <w:jc w:val="center"/>
              <w:rPr>
                <w:rFonts w:hint="eastAsia"/>
                <w:sz w:val="28"/>
                <w:szCs w:val="28"/>
                <w:lang w:val="en-US"/>
              </w:rPr>
            </w:pPr>
            <w:r>
              <w:rPr>
                <w:rFonts w:hint="eastAsia"/>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第一责任人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 xml:space="preserve"> 药品管理责任人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营养品管理责任人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rFonts w:hint="eastAsia"/>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食品管理责任人</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运动员反兴奋剂责任人1</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运动员反兴奋剂责任人2</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p>
        </w:tc>
        <w:tc>
          <w:tcPr>
            <w:tcW w:w="859" w:type="dxa"/>
            <w:noWrap w:val="0"/>
            <w:vAlign w:val="top"/>
          </w:tcPr>
          <w:p>
            <w:pPr>
              <w:jc w:val="center"/>
              <w:rPr>
                <w:rFonts w:hint="eastAsia"/>
                <w:sz w:val="28"/>
                <w:szCs w:val="28"/>
                <w:lang w:val="en-US"/>
              </w:rPr>
            </w:pPr>
          </w:p>
        </w:tc>
        <w:tc>
          <w:tcPr>
            <w:tcW w:w="1285" w:type="dxa"/>
            <w:noWrap w:val="0"/>
            <w:vAlign w:val="top"/>
          </w:tcPr>
          <w:p>
            <w:pPr>
              <w:jc w:val="center"/>
              <w:rPr>
                <w:rFonts w:hint="eastAsia"/>
                <w:sz w:val="28"/>
                <w:szCs w:val="28"/>
                <w:lang w:val="en-US"/>
              </w:rPr>
            </w:pPr>
          </w:p>
        </w:tc>
        <w:tc>
          <w:tcPr>
            <w:tcW w:w="2664" w:type="dxa"/>
            <w:noWrap w:val="0"/>
            <w:vAlign w:val="top"/>
          </w:tcPr>
          <w:p>
            <w:pPr>
              <w:jc w:val="center"/>
              <w:rPr>
                <w:sz w:val="28"/>
                <w:szCs w:val="28"/>
                <w:lang w:val="en-US"/>
              </w:rPr>
            </w:pPr>
          </w:p>
        </w:tc>
        <w:tc>
          <w:tcPr>
            <w:tcW w:w="1806" w:type="dxa"/>
            <w:noWrap w:val="0"/>
            <w:vAlign w:val="top"/>
          </w:tcPr>
          <w:p>
            <w:pPr>
              <w:jc w:val="center"/>
              <w:rPr>
                <w:rFonts w:hint="eastAsia"/>
                <w:sz w:val="28"/>
                <w:szCs w:val="28"/>
                <w:lang w:val="en-US"/>
              </w:rPr>
            </w:pPr>
            <w:r>
              <w:rPr>
                <w:rFonts w:hint="eastAsia"/>
                <w:sz w:val="28"/>
                <w:szCs w:val="28"/>
                <w:lang w:val="en-US"/>
              </w:rPr>
              <w:t>运动员反兴奋剂责任人3</w:t>
            </w:r>
          </w:p>
        </w:tc>
        <w:tc>
          <w:tcPr>
            <w:tcW w:w="1806" w:type="dxa"/>
            <w:noWrap w:val="0"/>
            <w:vAlign w:val="top"/>
          </w:tcPr>
          <w:p>
            <w:pPr>
              <w:jc w:val="center"/>
              <w:rPr>
                <w:rFonts w:hint="eastAsia"/>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noWrap w:val="0"/>
            <w:vAlign w:val="top"/>
          </w:tcPr>
          <w:p>
            <w:pPr>
              <w:jc w:val="center"/>
              <w:rPr>
                <w:rFonts w:hint="eastAsia"/>
                <w:sz w:val="28"/>
                <w:szCs w:val="28"/>
                <w:lang w:val="en-US"/>
              </w:rPr>
            </w:pPr>
            <w:r>
              <w:rPr>
                <w:rFonts w:hint="eastAsia"/>
                <w:color w:val="FF0000"/>
                <w:sz w:val="18"/>
                <w:szCs w:val="18"/>
                <w:lang w:val="en-US"/>
              </w:rPr>
              <w:t>例</w:t>
            </w:r>
          </w:p>
        </w:tc>
        <w:tc>
          <w:tcPr>
            <w:tcW w:w="859" w:type="dxa"/>
            <w:noWrap w:val="0"/>
            <w:vAlign w:val="top"/>
          </w:tcPr>
          <w:p>
            <w:pPr>
              <w:jc w:val="center"/>
              <w:rPr>
                <w:rFonts w:hint="eastAsia"/>
                <w:sz w:val="28"/>
                <w:szCs w:val="28"/>
                <w:lang w:val="en-US"/>
              </w:rPr>
            </w:pPr>
            <w:r>
              <w:rPr>
                <w:rFonts w:hint="eastAsia"/>
                <w:color w:val="FF0000"/>
                <w:sz w:val="18"/>
                <w:szCs w:val="18"/>
                <w:lang w:val="en-US"/>
              </w:rPr>
              <w:t>张三</w:t>
            </w:r>
          </w:p>
        </w:tc>
        <w:tc>
          <w:tcPr>
            <w:tcW w:w="1285" w:type="dxa"/>
            <w:noWrap w:val="0"/>
            <w:vAlign w:val="top"/>
          </w:tcPr>
          <w:p>
            <w:pPr>
              <w:jc w:val="center"/>
              <w:rPr>
                <w:rFonts w:hint="eastAsia"/>
                <w:sz w:val="28"/>
                <w:szCs w:val="28"/>
                <w:lang w:val="en-US"/>
              </w:rPr>
            </w:pPr>
            <w:r>
              <w:rPr>
                <w:rFonts w:hint="eastAsia"/>
                <w:color w:val="FF0000"/>
                <w:sz w:val="18"/>
                <w:szCs w:val="18"/>
                <w:lang w:val="en-US"/>
              </w:rPr>
              <w:t>领队</w:t>
            </w:r>
          </w:p>
        </w:tc>
        <w:tc>
          <w:tcPr>
            <w:tcW w:w="2664"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1806"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1806"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jc w:val="both"/>
        <w:rPr>
          <w:rFonts w:ascii="宋体" w:hAnsi="宋体" w:cs="仿宋_GB2312"/>
          <w:sz w:val="36"/>
          <w:szCs w:val="36"/>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3</w:t>
      </w:r>
      <w:r>
        <w:rPr>
          <w:rFonts w:hint="eastAsia" w:ascii="宋体" w:hAnsi="宋体"/>
          <w:bCs/>
          <w:sz w:val="32"/>
          <w:szCs w:val="32"/>
        </w:rPr>
        <w:t>：</w:t>
      </w:r>
    </w:p>
    <w:p>
      <w:pPr>
        <w:spacing w:line="520" w:lineRule="exact"/>
        <w:jc w:val="center"/>
        <w:rPr>
          <w:rFonts w:hint="eastAsia" w:ascii="宋体" w:hAnsi="宋体"/>
          <w:b/>
          <w:sz w:val="36"/>
          <w:szCs w:val="36"/>
          <w:lang w:val="en-US" w:eastAsia="zh-CN"/>
        </w:rPr>
      </w:pPr>
      <w:r>
        <w:rPr>
          <w:rFonts w:hint="eastAsia" w:ascii="宋体" w:hAnsi="宋体"/>
          <w:b/>
          <w:sz w:val="36"/>
          <w:szCs w:val="36"/>
          <w:lang w:val="en-US"/>
        </w:rPr>
        <w:t>[</w:t>
      </w:r>
      <w:r>
        <w:rPr>
          <w:rFonts w:hint="eastAsia" w:ascii="宋体" w:hAnsi="宋体"/>
          <w:b/>
          <w:sz w:val="36"/>
          <w:szCs w:val="36"/>
          <w:lang w:val="en-US" w:eastAsia="zh-CN"/>
        </w:rPr>
        <w:t>2022-2023全国单板滑雪大跳台和坡面障碍技巧</w:t>
      </w:r>
    </w:p>
    <w:p>
      <w:pPr>
        <w:spacing w:line="520" w:lineRule="exact"/>
        <w:jc w:val="center"/>
        <w:rPr>
          <w:rFonts w:hint="eastAsia" w:ascii="宋体" w:hAnsi="宋体"/>
          <w:b/>
          <w:sz w:val="36"/>
          <w:szCs w:val="36"/>
        </w:rPr>
      </w:pPr>
      <w:r>
        <w:rPr>
          <w:rFonts w:hint="eastAsia" w:ascii="宋体" w:hAnsi="宋体"/>
          <w:b/>
          <w:sz w:val="36"/>
          <w:szCs w:val="36"/>
          <w:lang w:val="en-US" w:eastAsia="zh-CN"/>
        </w:rPr>
        <w:t>锦标赛</w:t>
      </w:r>
      <w:r>
        <w:rPr>
          <w:rFonts w:hint="eastAsia" w:ascii="宋体" w:hAnsi="宋体"/>
          <w:b/>
          <w:sz w:val="36"/>
          <w:szCs w:val="36"/>
          <w:lang w:val="en-US"/>
        </w:rPr>
        <w:t>]</w:t>
      </w:r>
      <w:r>
        <w:rPr>
          <w:rFonts w:hint="eastAsia" w:ascii="宋体" w:hAnsi="宋体"/>
          <w:b/>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2022-2023全国单板滑雪大跳台和坡面障碍技巧锦标赛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4"/>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320" w:firstLineChars="100"/>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参赛队名称：</w:t>
      </w:r>
    </w:p>
    <w:p>
      <w:pPr>
        <w:spacing w:line="360" w:lineRule="auto"/>
        <w:rPr>
          <w:rFonts w:hint="eastAsia"/>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领队签字：</w:t>
      </w:r>
    </w:p>
    <w:p>
      <w:pPr>
        <w:spacing w:line="360" w:lineRule="auto"/>
        <w:rPr>
          <w:sz w:val="32"/>
          <w:szCs w:val="32"/>
        </w:rPr>
      </w:pPr>
      <w:r>
        <w:rPr>
          <w:rFonts w:hint="eastAsia"/>
          <w:sz w:val="32"/>
          <w:szCs w:val="32"/>
        </w:rPr>
        <w:t xml:space="preserve">             </w:t>
      </w:r>
      <w:r>
        <w:rPr>
          <w:rFonts w:hint="eastAsia"/>
          <w:sz w:val="32"/>
          <w:szCs w:val="32"/>
          <w:lang w:val="en-US"/>
        </w:rPr>
        <w:t xml:space="preserve">                </w:t>
      </w:r>
      <w:r>
        <w:rPr>
          <w:rFonts w:hint="eastAsia"/>
          <w:sz w:val="32"/>
          <w:szCs w:val="32"/>
        </w:rPr>
        <w:t xml:space="preserve"> 202</w:t>
      </w:r>
      <w:r>
        <w:rPr>
          <w:rFonts w:hint="eastAsia"/>
          <w:sz w:val="32"/>
          <w:szCs w:val="32"/>
          <w:lang w:val="en-US"/>
        </w:rPr>
        <w:t>2</w:t>
      </w:r>
      <w:r>
        <w:rPr>
          <w:rFonts w:hint="eastAsia"/>
          <w:sz w:val="32"/>
          <w:szCs w:val="32"/>
        </w:rPr>
        <w:t xml:space="preserve">年 </w:t>
      </w:r>
      <w:r>
        <w:rPr>
          <w:rFonts w:hint="eastAsia"/>
          <w:sz w:val="32"/>
          <w:szCs w:val="32"/>
          <w:lang w:val="en-US"/>
        </w:rPr>
        <w:t>XX</w:t>
      </w:r>
      <w:r>
        <w:rPr>
          <w:rFonts w:hint="eastAsia"/>
          <w:sz w:val="32"/>
          <w:szCs w:val="32"/>
        </w:rPr>
        <w:t xml:space="preserve"> 月  日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r>
        <w:rPr>
          <w:rFonts w:hint="eastAsia" w:ascii="宋体" w:hAnsi="宋体"/>
          <w:bCs/>
          <w:sz w:val="32"/>
          <w:szCs w:val="32"/>
        </w:rPr>
        <w:t>附件</w:t>
      </w:r>
      <w:r>
        <w:rPr>
          <w:rFonts w:hint="eastAsia" w:ascii="宋体" w:hAnsi="宋体"/>
          <w:bCs/>
          <w:sz w:val="32"/>
          <w:szCs w:val="32"/>
          <w:lang w:val="en-US"/>
        </w:rPr>
        <w:t>5</w:t>
      </w:r>
      <w:r>
        <w:rPr>
          <w:rFonts w:hint="eastAsia" w:ascii="宋体" w:hAnsi="宋体"/>
          <w:bCs/>
          <w:sz w:val="32"/>
          <w:szCs w:val="32"/>
        </w:rPr>
        <w:t>：</w:t>
      </w:r>
    </w:p>
    <w:p>
      <w:pPr>
        <w:spacing w:line="520" w:lineRule="exact"/>
        <w:jc w:val="center"/>
        <w:rPr>
          <w:rFonts w:hint="eastAsia" w:ascii="宋体" w:hAnsi="宋体"/>
          <w:b/>
          <w:sz w:val="36"/>
          <w:szCs w:val="36"/>
          <w:lang w:val="en-US"/>
        </w:rPr>
      </w:pPr>
      <w:r>
        <w:rPr>
          <w:rFonts w:hint="eastAsia" w:ascii="宋体" w:hAnsi="宋体"/>
          <w:b/>
          <w:sz w:val="36"/>
          <w:szCs w:val="36"/>
          <w:lang w:val="en-US"/>
        </w:rPr>
        <w:t>反兴奋剂准入教育操作指南</w:t>
      </w: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1430"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9"/>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17780"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0"/>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13970" b="12700"/>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1"/>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2"/>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12065"/>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3"/>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9525"/>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4"/>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1333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079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6"/>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7"/>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17145"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8"/>
                    <a:stretch>
                      <a:fillRect/>
                    </a:stretch>
                  </pic:blipFill>
                  <pic:spPr>
                    <a:xfrm>
                      <a:off x="0" y="0"/>
                      <a:ext cx="3659505" cy="2622550"/>
                    </a:xfrm>
                    <a:prstGeom prst="rect">
                      <a:avLst/>
                    </a:prstGeom>
                    <a:noFill/>
                    <a:ln>
                      <a:noFill/>
                    </a:ln>
                  </pic:spPr>
                </pic:pic>
              </a:graphicData>
            </a:graphic>
          </wp:inline>
        </w:drawing>
      </w:r>
    </w:p>
    <w:p>
      <w:pPr>
        <w:spacing w:line="520" w:lineRule="exact"/>
        <w:jc w:val="both"/>
        <w:rPr>
          <w:rFonts w:hint="eastAsia" w:ascii="宋体" w:hAnsi="宋体"/>
          <w:b/>
          <w:sz w:val="36"/>
          <w:szCs w:val="36"/>
          <w:lang w:val="en-US"/>
        </w:rPr>
      </w:pPr>
    </w:p>
    <w:p>
      <w:pPr>
        <w:rPr>
          <w:rFonts w:hint="default"/>
          <w:b/>
          <w:sz w:val="28"/>
          <w:szCs w:val="28"/>
          <w:lang w:val="en-US" w:eastAsia="zh-CN"/>
        </w:rPr>
      </w:pP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VhZjEyMDQ1MWJkZDFjMGEyMDUyZjhkNGJiYWY5ODAifQ=="/>
  </w:docVars>
  <w:rsids>
    <w:rsidRoot w:val="00000000"/>
    <w:rsid w:val="083037DC"/>
    <w:rsid w:val="0BB726C2"/>
    <w:rsid w:val="1171753E"/>
    <w:rsid w:val="11AF5EDB"/>
    <w:rsid w:val="138B549C"/>
    <w:rsid w:val="17E946A0"/>
    <w:rsid w:val="1BA23631"/>
    <w:rsid w:val="219F2C2B"/>
    <w:rsid w:val="2D551D4B"/>
    <w:rsid w:val="48FD6067"/>
    <w:rsid w:val="49516129"/>
    <w:rsid w:val="4F7C3ACF"/>
    <w:rsid w:val="589173C2"/>
    <w:rsid w:val="5D1C5C41"/>
    <w:rsid w:val="5E852BC9"/>
    <w:rsid w:val="66B11FCD"/>
    <w:rsid w:val="68825551"/>
    <w:rsid w:val="7579249E"/>
    <w:rsid w:val="7FDA0F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28"/>
      <w:ind w:left="101" w:firstLine="554"/>
      <w:jc w:val="left"/>
    </w:pPr>
    <w:rPr>
      <w:rFonts w:ascii="仿宋" w:hAnsi="仿宋" w:eastAsia="仿宋" w:cs="Times New Roman"/>
      <w:kern w:val="0"/>
      <w:sz w:val="32"/>
      <w:szCs w:val="32"/>
      <w:lang w:eastAsia="en-US"/>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Hyperlink"/>
    <w:qFormat/>
    <w:uiPriority w:val="0"/>
    <w:rPr>
      <w:color w:val="0000FF"/>
      <w:u w:val="single"/>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paragraph" w:customStyle="1" w:styleId="13">
    <w:name w:val="List Paragraph"/>
    <w:basedOn w:val="1"/>
    <w:qFormat/>
    <w:uiPriority w:val="34"/>
    <w:pPr>
      <w:ind w:firstLine="420" w:firstLineChars="200"/>
    </w:pPr>
  </w:style>
  <w:style w:type="character" w:customStyle="1" w:styleId="1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4282</Words>
  <Characters>4564</Characters>
  <Lines>12</Lines>
  <Paragraphs>3</Paragraphs>
  <TotalTime>1</TotalTime>
  <ScaleCrop>false</ScaleCrop>
  <LinksUpToDate>false</LinksUpToDate>
  <CharactersWithSpaces>4874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2022-08-22T16:05:00Z</dcterms:created>
  <dc:creator>T lucas</dc:creator>
  <cp:lastModifiedBy>周周</cp:lastModifiedBy>
  <dcterms:modified xsi:type="dcterms:W3CDTF">2022-12-02T01:19:11Z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88F619171CD8B19077325F63B4924FA6</vt:lpwstr>
  </property>
  <property fmtid="{D5CDD505-2E9C-101B-9397-08002B2CF9AE}" pid="3" name="KSOProductBuildVer">
    <vt:lpwstr>2052-11.1.0.12763</vt:lpwstr>
  </property>
</Properties>
</file>