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0"/>
          <w:szCs w:val="40"/>
          <w:lang w:eastAsia="zh-CN"/>
        </w:rPr>
      </w:pPr>
    </w:p>
    <w:p>
      <w:pPr>
        <w:spacing w:line="360" w:lineRule="auto"/>
        <w:jc w:val="center"/>
        <w:rPr>
          <w:sz w:val="84"/>
        </w:rPr>
      </w:pPr>
    </w:p>
    <w:p>
      <w:pPr>
        <w:spacing w:line="360" w:lineRule="auto"/>
        <w:jc w:val="center"/>
        <w:rPr>
          <w:b/>
          <w:bCs/>
          <w:sz w:val="44"/>
          <w:szCs w:val="44"/>
        </w:rPr>
      </w:pPr>
    </w:p>
    <w:p>
      <w:pPr>
        <w:spacing w:line="360" w:lineRule="auto"/>
        <w:jc w:val="center"/>
        <w:rPr>
          <w:b/>
          <w:bCs/>
          <w:sz w:val="44"/>
          <w:szCs w:val="44"/>
        </w:rPr>
      </w:pPr>
      <w:r>
        <w:rPr>
          <w:rFonts w:hint="eastAsia"/>
          <w:b/>
          <w:bCs/>
          <w:sz w:val="44"/>
          <w:szCs w:val="44"/>
        </w:rPr>
        <w:t>马厩房食草料库改造项目</w:t>
      </w:r>
    </w:p>
    <w:p>
      <w:pPr>
        <w:spacing w:line="360" w:lineRule="auto"/>
        <w:jc w:val="center"/>
        <w:rPr>
          <w:b/>
          <w:bCs/>
          <w:sz w:val="44"/>
          <w:szCs w:val="44"/>
        </w:rPr>
      </w:pPr>
      <w:r>
        <w:rPr>
          <w:rFonts w:hint="eastAsia"/>
          <w:b/>
          <w:bCs/>
          <w:sz w:val="44"/>
          <w:szCs w:val="44"/>
          <w:lang w:eastAsia="zh-CN"/>
        </w:rPr>
        <w:t>竞争性谈判文</w:t>
      </w:r>
      <w:bookmarkStart w:id="129" w:name="_GoBack"/>
      <w:bookmarkEnd w:id="129"/>
      <w:r>
        <w:rPr>
          <w:rFonts w:hint="eastAsia"/>
          <w:b/>
          <w:bCs/>
          <w:sz w:val="44"/>
          <w:szCs w:val="44"/>
          <w:lang w:eastAsia="zh-CN"/>
        </w:rPr>
        <w:t>件</w:t>
      </w:r>
    </w:p>
    <w:p>
      <w:pPr>
        <w:spacing w:before="120" w:after="120" w:line="360" w:lineRule="auto"/>
        <w:ind w:firstLine="640"/>
        <w:rPr>
          <w:sz w:val="32"/>
        </w:rPr>
      </w:pPr>
    </w:p>
    <w:p>
      <w:pPr>
        <w:spacing w:before="120" w:after="120" w:line="360" w:lineRule="auto"/>
        <w:ind w:firstLine="640"/>
        <w:rPr>
          <w:sz w:val="32"/>
        </w:rPr>
      </w:pPr>
    </w:p>
    <w:p>
      <w:pPr>
        <w:spacing w:before="120" w:after="120" w:line="360" w:lineRule="auto"/>
        <w:ind w:firstLine="640"/>
        <w:rPr>
          <w:sz w:val="32"/>
        </w:rPr>
      </w:pPr>
    </w:p>
    <w:p>
      <w:pPr>
        <w:spacing w:before="120" w:after="120" w:line="360" w:lineRule="auto"/>
        <w:ind w:firstLine="640"/>
        <w:rPr>
          <w:sz w:val="32"/>
        </w:rPr>
      </w:pPr>
    </w:p>
    <w:p>
      <w:pPr>
        <w:spacing w:before="120" w:after="120" w:line="360" w:lineRule="auto"/>
        <w:ind w:firstLine="640"/>
        <w:rPr>
          <w:sz w:val="32"/>
        </w:rPr>
      </w:pPr>
    </w:p>
    <w:p>
      <w:pPr>
        <w:spacing w:before="120" w:after="120" w:line="360" w:lineRule="auto"/>
        <w:ind w:firstLine="640"/>
        <w:rPr>
          <w:sz w:val="32"/>
        </w:rPr>
      </w:pPr>
    </w:p>
    <w:p>
      <w:pPr>
        <w:spacing w:before="120" w:after="120" w:line="360" w:lineRule="auto"/>
        <w:ind w:firstLine="640"/>
        <w:rPr>
          <w:sz w:val="32"/>
        </w:rPr>
      </w:pPr>
    </w:p>
    <w:p>
      <w:pPr>
        <w:widowControl/>
        <w:spacing w:line="480" w:lineRule="auto"/>
        <w:ind w:left="440" w:leftChars="200" w:right="440" w:rightChars="200"/>
        <w:rPr>
          <w:sz w:val="24"/>
        </w:rPr>
      </w:pPr>
      <w:r>
        <w:rPr>
          <w:rFonts w:hint="eastAsia"/>
          <w:sz w:val="24"/>
        </w:rPr>
        <w:t>项目名称：马厩房食草料库改造项目</w:t>
      </w:r>
    </w:p>
    <w:p>
      <w:pPr>
        <w:widowControl/>
        <w:spacing w:line="480" w:lineRule="auto"/>
        <w:ind w:left="440" w:leftChars="200" w:right="440" w:rightChars="200"/>
        <w:rPr>
          <w:sz w:val="24"/>
          <w:lang w:eastAsia="zh-CN"/>
        </w:rPr>
      </w:pPr>
      <w:r>
        <w:rPr>
          <w:rFonts w:hint="eastAsia"/>
          <w:sz w:val="24"/>
        </w:rPr>
        <w:t>招</w:t>
      </w:r>
      <w:r>
        <w:rPr>
          <w:sz w:val="24"/>
        </w:rPr>
        <w:t xml:space="preserve"> </w:t>
      </w:r>
      <w:r>
        <w:rPr>
          <w:rFonts w:hint="eastAsia"/>
          <w:sz w:val="24"/>
        </w:rPr>
        <w:t>标</w:t>
      </w:r>
      <w:r>
        <w:rPr>
          <w:sz w:val="24"/>
        </w:rPr>
        <w:t xml:space="preserve"> </w:t>
      </w:r>
      <w:r>
        <w:rPr>
          <w:rFonts w:hint="eastAsia"/>
          <w:sz w:val="24"/>
        </w:rPr>
        <w:t>人：</w:t>
      </w:r>
      <w:r>
        <w:rPr>
          <w:rFonts w:hint="eastAsia"/>
          <w:sz w:val="24"/>
          <w:lang w:eastAsia="zh-CN"/>
        </w:rPr>
        <w:t>国家体育总局自行车击剑运动管理中心</w:t>
      </w:r>
    </w:p>
    <w:p>
      <w:pPr>
        <w:spacing w:line="480" w:lineRule="auto"/>
        <w:ind w:left="440" w:leftChars="200" w:right="440" w:rightChars="200"/>
        <w:rPr>
          <w:sz w:val="24"/>
        </w:rPr>
      </w:pPr>
      <w:r>
        <w:rPr>
          <w:rFonts w:hint="eastAsia"/>
          <w:sz w:val="24"/>
        </w:rPr>
        <w:t>日</w:t>
      </w:r>
      <w:r>
        <w:rPr>
          <w:sz w:val="24"/>
        </w:rPr>
        <w:t xml:space="preserve">    </w:t>
      </w:r>
      <w:r>
        <w:rPr>
          <w:rFonts w:hint="eastAsia"/>
          <w:sz w:val="24"/>
        </w:rPr>
        <w:t>期：</w:t>
      </w:r>
      <w:r>
        <w:rPr>
          <w:sz w:val="24"/>
          <w:lang w:val="en-US" w:eastAsia="zh-CN"/>
        </w:rPr>
        <w:t>2021</w:t>
      </w:r>
      <w:r>
        <w:rPr>
          <w:rFonts w:hint="eastAsia"/>
          <w:sz w:val="24"/>
        </w:rPr>
        <w:t>年</w:t>
      </w:r>
      <w:r>
        <w:rPr>
          <w:sz w:val="24"/>
          <w:lang w:val="en-US" w:eastAsia="zh-CN"/>
        </w:rPr>
        <w:t xml:space="preserve"> </w:t>
      </w:r>
      <w:r>
        <w:rPr>
          <w:rFonts w:hint="eastAsia"/>
          <w:sz w:val="24"/>
          <w:lang w:val="en-US" w:eastAsia="zh-CN"/>
        </w:rPr>
        <w:t>6</w:t>
      </w:r>
      <w:r>
        <w:rPr>
          <w:rFonts w:hint="eastAsia"/>
          <w:sz w:val="24"/>
        </w:rPr>
        <w:t>月</w:t>
      </w:r>
    </w:p>
    <w:p>
      <w:pPr>
        <w:spacing w:before="120" w:after="120" w:line="360" w:lineRule="auto"/>
        <w:ind w:left="2269" w:leftChars="304" w:hanging="1600" w:hangingChars="500"/>
        <w:rPr>
          <w:sz w:val="32"/>
        </w:rPr>
      </w:pPr>
    </w:p>
    <w:p>
      <w:pPr>
        <w:spacing w:before="120" w:after="120" w:line="360" w:lineRule="auto"/>
        <w:ind w:left="2269" w:leftChars="304" w:hanging="1600" w:hangingChars="500"/>
        <w:rPr>
          <w:sz w:val="32"/>
        </w:rPr>
      </w:pPr>
    </w:p>
    <w:p>
      <w:pPr>
        <w:spacing w:line="360" w:lineRule="auto"/>
        <w:jc w:val="center"/>
        <w:rPr>
          <w:b/>
          <w:sz w:val="32"/>
          <w:szCs w:val="32"/>
        </w:rPr>
      </w:pPr>
    </w:p>
    <w:p>
      <w:pPr>
        <w:spacing w:line="360" w:lineRule="auto"/>
        <w:jc w:val="center"/>
        <w:rPr>
          <w:b/>
          <w:sz w:val="32"/>
          <w:szCs w:val="32"/>
        </w:rPr>
      </w:pPr>
      <w:r>
        <w:rPr>
          <w:rFonts w:hint="eastAsia"/>
          <w:b/>
          <w:sz w:val="32"/>
          <w:szCs w:val="32"/>
        </w:rPr>
        <w:t>目</w:t>
      </w:r>
      <w:r>
        <w:rPr>
          <w:b/>
          <w:sz w:val="32"/>
          <w:szCs w:val="32"/>
        </w:rPr>
        <w:t xml:space="preserve">  </w:t>
      </w:r>
      <w:r>
        <w:rPr>
          <w:rFonts w:hint="eastAsia"/>
          <w:b/>
          <w:sz w:val="32"/>
          <w:szCs w:val="32"/>
        </w:rPr>
        <w:t>录</w:t>
      </w:r>
    </w:p>
    <w:p>
      <w:pPr>
        <w:spacing w:line="360" w:lineRule="auto"/>
        <w:jc w:val="center"/>
        <w:rPr>
          <w:b/>
          <w:sz w:val="24"/>
        </w:rPr>
      </w:pPr>
    </w:p>
    <w:p>
      <w:pPr>
        <w:spacing w:line="360" w:lineRule="auto"/>
        <w:rPr>
          <w:bCs/>
          <w:sz w:val="24"/>
        </w:rPr>
      </w:pPr>
      <w:r>
        <w:rPr>
          <w:rFonts w:hint="eastAsia"/>
          <w:bCs/>
          <w:sz w:val="24"/>
        </w:rPr>
        <w:t>第一部分</w:t>
      </w:r>
      <w:r>
        <w:rPr>
          <w:bCs/>
          <w:sz w:val="24"/>
        </w:rPr>
        <w:t xml:space="preserve">   </w:t>
      </w:r>
      <w:r>
        <w:rPr>
          <w:rFonts w:hint="eastAsia"/>
          <w:bCs/>
          <w:sz w:val="24"/>
        </w:rPr>
        <w:t>谈判邀请</w:t>
      </w:r>
    </w:p>
    <w:p>
      <w:pPr>
        <w:spacing w:line="360" w:lineRule="auto"/>
        <w:rPr>
          <w:bCs/>
          <w:sz w:val="24"/>
        </w:rPr>
      </w:pPr>
      <w:r>
        <w:rPr>
          <w:rFonts w:hint="eastAsia"/>
          <w:bCs/>
          <w:sz w:val="24"/>
        </w:rPr>
        <w:t>第二部分</w:t>
      </w:r>
      <w:r>
        <w:rPr>
          <w:bCs/>
          <w:sz w:val="24"/>
        </w:rPr>
        <w:t xml:space="preserve">   </w:t>
      </w:r>
      <w:r>
        <w:rPr>
          <w:rFonts w:hint="eastAsia"/>
          <w:bCs/>
          <w:sz w:val="24"/>
        </w:rPr>
        <w:t>谈判须知前附表</w:t>
      </w:r>
    </w:p>
    <w:p>
      <w:pPr>
        <w:spacing w:line="360" w:lineRule="auto"/>
        <w:rPr>
          <w:bCs/>
          <w:sz w:val="24"/>
        </w:rPr>
      </w:pPr>
      <w:r>
        <w:rPr>
          <w:rFonts w:hint="eastAsia"/>
          <w:bCs/>
          <w:sz w:val="24"/>
        </w:rPr>
        <w:t>第三部分</w:t>
      </w:r>
      <w:r>
        <w:rPr>
          <w:bCs/>
          <w:sz w:val="24"/>
        </w:rPr>
        <w:t xml:space="preserve">   </w:t>
      </w:r>
      <w:r>
        <w:rPr>
          <w:rFonts w:hint="eastAsia"/>
          <w:bCs/>
          <w:sz w:val="24"/>
        </w:rPr>
        <w:t>谈判须知</w:t>
      </w:r>
    </w:p>
    <w:p>
      <w:pPr>
        <w:spacing w:line="360" w:lineRule="auto"/>
        <w:rPr>
          <w:bCs/>
          <w:sz w:val="24"/>
        </w:rPr>
      </w:pPr>
      <w:r>
        <w:rPr>
          <w:rFonts w:hint="eastAsia"/>
          <w:bCs/>
          <w:sz w:val="24"/>
        </w:rPr>
        <w:t>第四部分</w:t>
      </w:r>
      <w:r>
        <w:rPr>
          <w:bCs/>
          <w:sz w:val="24"/>
        </w:rPr>
        <w:t xml:space="preserve">   </w:t>
      </w:r>
      <w:r>
        <w:rPr>
          <w:rFonts w:hint="eastAsia"/>
          <w:bCs/>
          <w:sz w:val="24"/>
        </w:rPr>
        <w:t>评审办法及细则</w:t>
      </w:r>
    </w:p>
    <w:p>
      <w:pPr>
        <w:spacing w:line="360" w:lineRule="auto"/>
        <w:rPr>
          <w:bCs/>
          <w:sz w:val="24"/>
        </w:rPr>
      </w:pPr>
      <w:r>
        <w:rPr>
          <w:rFonts w:hint="eastAsia"/>
          <w:bCs/>
          <w:sz w:val="24"/>
        </w:rPr>
        <w:t>第</w:t>
      </w:r>
      <w:r>
        <w:rPr>
          <w:rFonts w:hint="eastAsia"/>
          <w:bCs/>
          <w:sz w:val="24"/>
          <w:lang w:val="en-US" w:eastAsia="zh-CN"/>
        </w:rPr>
        <w:t>五</w:t>
      </w:r>
      <w:r>
        <w:rPr>
          <w:rFonts w:hint="eastAsia"/>
          <w:bCs/>
          <w:sz w:val="24"/>
        </w:rPr>
        <w:t>部分</w:t>
      </w:r>
      <w:r>
        <w:rPr>
          <w:bCs/>
          <w:sz w:val="24"/>
        </w:rPr>
        <w:t xml:space="preserve">   </w:t>
      </w:r>
      <w:r>
        <w:rPr>
          <w:rFonts w:hint="eastAsia"/>
          <w:bCs/>
          <w:sz w:val="24"/>
        </w:rPr>
        <w:t>技术标准和要求</w:t>
      </w:r>
    </w:p>
    <w:p>
      <w:pPr>
        <w:spacing w:line="360" w:lineRule="auto"/>
        <w:rPr>
          <w:bCs/>
          <w:sz w:val="24"/>
        </w:rPr>
      </w:pPr>
      <w:r>
        <w:rPr>
          <w:rFonts w:hint="eastAsia"/>
          <w:bCs/>
          <w:sz w:val="24"/>
        </w:rPr>
        <w:t>第</w:t>
      </w:r>
      <w:r>
        <w:rPr>
          <w:rFonts w:hint="eastAsia"/>
          <w:bCs/>
          <w:sz w:val="24"/>
          <w:lang w:val="en-US" w:eastAsia="zh-CN"/>
        </w:rPr>
        <w:t>六</w:t>
      </w:r>
      <w:r>
        <w:rPr>
          <w:rFonts w:hint="eastAsia"/>
          <w:bCs/>
          <w:sz w:val="24"/>
        </w:rPr>
        <w:t>部分</w:t>
      </w:r>
      <w:r>
        <w:rPr>
          <w:bCs/>
          <w:sz w:val="24"/>
        </w:rPr>
        <w:t xml:space="preserve">   </w:t>
      </w:r>
      <w:r>
        <w:rPr>
          <w:rFonts w:hint="eastAsia"/>
          <w:bCs/>
          <w:sz w:val="24"/>
        </w:rPr>
        <w:t>成交合同</w:t>
      </w:r>
    </w:p>
    <w:p>
      <w:pPr>
        <w:spacing w:line="360" w:lineRule="auto"/>
        <w:rPr>
          <w:bCs/>
          <w:sz w:val="24"/>
        </w:rPr>
      </w:pPr>
      <w:r>
        <w:rPr>
          <w:rFonts w:hint="eastAsia"/>
          <w:bCs/>
          <w:sz w:val="24"/>
        </w:rPr>
        <w:t>第</w:t>
      </w:r>
      <w:r>
        <w:rPr>
          <w:rFonts w:hint="eastAsia"/>
          <w:bCs/>
          <w:sz w:val="24"/>
          <w:lang w:val="en-US" w:eastAsia="zh-CN"/>
        </w:rPr>
        <w:t>七</w:t>
      </w:r>
      <w:r>
        <w:rPr>
          <w:rFonts w:hint="eastAsia"/>
          <w:bCs/>
          <w:sz w:val="24"/>
        </w:rPr>
        <w:t>部分</w:t>
      </w:r>
      <w:r>
        <w:rPr>
          <w:bCs/>
          <w:sz w:val="24"/>
        </w:rPr>
        <w:t xml:space="preserve">   </w:t>
      </w:r>
      <w:r>
        <w:rPr>
          <w:rFonts w:hint="eastAsia"/>
          <w:bCs/>
          <w:sz w:val="24"/>
        </w:rPr>
        <w:t>谈判响应文件格式</w:t>
      </w:r>
    </w:p>
    <w:p>
      <w:pPr>
        <w:pStyle w:val="41"/>
        <w:numPr>
          <w:ilvl w:val="0"/>
          <w:numId w:val="0"/>
        </w:numPr>
        <w:spacing w:line="360" w:lineRule="auto"/>
        <w:ind w:left="2100"/>
        <w:jc w:val="both"/>
      </w:pPr>
      <w:r>
        <w:rPr>
          <w:rFonts w:hint="eastAsia"/>
        </w:rPr>
        <w:t>第一部分</w:t>
      </w:r>
      <w:r>
        <w:t xml:space="preserve">      </w:t>
      </w:r>
      <w:r>
        <w:rPr>
          <w:rFonts w:hint="eastAsia"/>
        </w:rPr>
        <w:t>谈判邀请</w:t>
      </w:r>
    </w:p>
    <w:p>
      <w:pPr>
        <w:snapToGrid w:val="0"/>
        <w:spacing w:line="360" w:lineRule="auto"/>
        <w:ind w:firstLine="480" w:firstLineChars="200"/>
        <w:rPr>
          <w:sz w:val="24"/>
          <w:szCs w:val="24"/>
        </w:rPr>
      </w:pPr>
      <w:r>
        <w:rPr>
          <w:rFonts w:hint="eastAsia"/>
          <w:sz w:val="24"/>
          <w:szCs w:val="24"/>
          <w:u w:val="single"/>
          <w:lang w:eastAsia="zh-CN"/>
        </w:rPr>
        <w:t>国家体育总局自行车击剑运动管理中心</w:t>
      </w:r>
      <w:r>
        <w:rPr>
          <w:sz w:val="24"/>
          <w:szCs w:val="24"/>
        </w:rPr>
        <w:t>(</w:t>
      </w:r>
      <w:r>
        <w:rPr>
          <w:rFonts w:hint="eastAsia"/>
          <w:sz w:val="24"/>
          <w:szCs w:val="24"/>
        </w:rPr>
        <w:t>以下简称谈判人</w:t>
      </w:r>
      <w:r>
        <w:rPr>
          <w:sz w:val="24"/>
          <w:szCs w:val="24"/>
        </w:rPr>
        <w:t>)</w:t>
      </w:r>
      <w:r>
        <w:rPr>
          <w:rFonts w:hint="eastAsia"/>
          <w:sz w:val="24"/>
          <w:szCs w:val="24"/>
        </w:rPr>
        <w:t>就</w:t>
      </w:r>
      <w:r>
        <w:rPr>
          <w:rFonts w:hint="eastAsia"/>
          <w:sz w:val="24"/>
        </w:rPr>
        <w:t>马厩房食草料库改造</w:t>
      </w:r>
      <w:r>
        <w:rPr>
          <w:rFonts w:hint="eastAsia"/>
          <w:color w:val="000000"/>
          <w:sz w:val="24"/>
          <w:szCs w:val="24"/>
          <w:u w:val="single"/>
          <w:lang w:eastAsia="zh-CN"/>
        </w:rPr>
        <w:t>项目</w:t>
      </w:r>
      <w:r>
        <w:rPr>
          <w:rFonts w:hint="eastAsia"/>
          <w:sz w:val="24"/>
          <w:szCs w:val="24"/>
        </w:rPr>
        <w:t>进行谈判采购，邀请谈判承包人提交密封报价。</w:t>
      </w:r>
    </w:p>
    <w:p>
      <w:pPr>
        <w:snapToGrid w:val="0"/>
        <w:spacing w:line="360" w:lineRule="auto"/>
        <w:ind w:left="240"/>
        <w:textAlignment w:val="baseline"/>
        <w:rPr>
          <w:sz w:val="24"/>
          <w:szCs w:val="24"/>
          <w:lang w:eastAsia="zh-CN"/>
        </w:rPr>
      </w:pPr>
      <w:r>
        <w:rPr>
          <w:rFonts w:hint="eastAsia"/>
          <w:sz w:val="24"/>
          <w:szCs w:val="24"/>
        </w:rPr>
        <w:t>一、项目编号：</w:t>
      </w:r>
      <w:r>
        <w:rPr>
          <w:sz w:val="24"/>
          <w:szCs w:val="24"/>
          <w:u w:val="single"/>
          <w:lang w:val="en-US" w:eastAsia="zh-CN"/>
        </w:rPr>
        <w:t xml:space="preserve"> </w:t>
      </w:r>
    </w:p>
    <w:p>
      <w:pPr>
        <w:snapToGrid w:val="0"/>
        <w:spacing w:line="360" w:lineRule="auto"/>
        <w:ind w:left="240"/>
        <w:textAlignment w:val="baseline"/>
        <w:rPr>
          <w:sz w:val="24"/>
          <w:szCs w:val="24"/>
          <w:u w:val="single"/>
          <w:lang w:eastAsia="zh-CN"/>
        </w:rPr>
      </w:pPr>
      <w:r>
        <w:rPr>
          <w:rFonts w:hint="eastAsia"/>
          <w:sz w:val="24"/>
          <w:szCs w:val="24"/>
        </w:rPr>
        <w:t>二、项目名称：</w:t>
      </w:r>
      <w:r>
        <w:rPr>
          <w:rFonts w:hint="eastAsia"/>
          <w:sz w:val="24"/>
        </w:rPr>
        <w:t>马厩房食草料库改造</w:t>
      </w:r>
      <w:r>
        <w:rPr>
          <w:rFonts w:hint="eastAsia"/>
          <w:color w:val="000000"/>
          <w:sz w:val="24"/>
          <w:szCs w:val="24"/>
          <w:u w:val="single"/>
          <w:lang w:eastAsia="zh-CN"/>
        </w:rPr>
        <w:t>项目</w:t>
      </w:r>
    </w:p>
    <w:p>
      <w:pPr>
        <w:pStyle w:val="42"/>
        <w:numPr>
          <w:ilvl w:val="0"/>
          <w:numId w:val="0"/>
        </w:numPr>
        <w:snapToGrid w:val="0"/>
        <w:spacing w:before="0" w:line="360" w:lineRule="auto"/>
        <w:ind w:left="-180" w:firstLine="480" w:firstLineChars="200"/>
        <w:textAlignment w:val="baseline"/>
        <w:rPr>
          <w:color w:val="auto"/>
          <w:sz w:val="24"/>
          <w:szCs w:val="24"/>
        </w:rPr>
      </w:pPr>
      <w:r>
        <w:rPr>
          <w:rFonts w:hint="eastAsia"/>
          <w:color w:val="auto"/>
          <w:sz w:val="24"/>
          <w:szCs w:val="24"/>
        </w:rPr>
        <w:t>三、谈判内容</w:t>
      </w:r>
    </w:p>
    <w:p>
      <w:pPr>
        <w:snapToGrid w:val="0"/>
        <w:spacing w:line="360" w:lineRule="auto"/>
        <w:ind w:left="482"/>
        <w:rPr>
          <w:sz w:val="24"/>
          <w:szCs w:val="24"/>
        </w:rPr>
      </w:pPr>
      <w:r>
        <w:rPr>
          <w:sz w:val="24"/>
          <w:szCs w:val="24"/>
        </w:rPr>
        <w:t>1</w:t>
      </w:r>
      <w:r>
        <w:rPr>
          <w:rFonts w:hint="eastAsia"/>
          <w:sz w:val="24"/>
          <w:szCs w:val="24"/>
        </w:rPr>
        <w:t>、本次谈判共</w:t>
      </w:r>
      <w:r>
        <w:rPr>
          <w:sz w:val="24"/>
          <w:szCs w:val="24"/>
        </w:rPr>
        <w:t xml:space="preserve"> </w:t>
      </w:r>
      <w:r>
        <w:rPr>
          <w:b/>
          <w:sz w:val="24"/>
          <w:szCs w:val="24"/>
          <w:u w:val="single"/>
        </w:rPr>
        <w:t xml:space="preserve">1 </w:t>
      </w:r>
      <w:r>
        <w:rPr>
          <w:rFonts w:hint="eastAsia"/>
          <w:sz w:val="24"/>
          <w:szCs w:val="24"/>
        </w:rPr>
        <w:t>包。</w:t>
      </w:r>
      <w:r>
        <w:rPr>
          <w:sz w:val="24"/>
          <w:szCs w:val="24"/>
        </w:rPr>
        <w:t xml:space="preserve"> </w:t>
      </w:r>
    </w:p>
    <w:p>
      <w:pPr>
        <w:tabs>
          <w:tab w:val="left" w:pos="840"/>
        </w:tabs>
        <w:adjustRightInd w:val="0"/>
        <w:snapToGrid w:val="0"/>
        <w:spacing w:line="360" w:lineRule="auto"/>
        <w:ind w:left="839" w:hanging="357"/>
        <w:textAlignment w:val="baseline"/>
        <w:rPr>
          <w:sz w:val="24"/>
          <w:szCs w:val="24"/>
          <w:u w:val="single"/>
          <w:lang w:eastAsia="zh-CN"/>
        </w:rPr>
      </w:pPr>
      <w:r>
        <w:rPr>
          <w:sz w:val="24"/>
          <w:szCs w:val="24"/>
        </w:rPr>
        <w:t>2</w:t>
      </w:r>
      <w:r>
        <w:rPr>
          <w:rFonts w:hint="eastAsia"/>
          <w:sz w:val="24"/>
          <w:szCs w:val="24"/>
        </w:rPr>
        <w:t>、谈判范围包括：</w:t>
      </w:r>
      <w:r>
        <w:rPr>
          <w:rFonts w:hint="eastAsia"/>
          <w:color w:val="000000"/>
          <w:sz w:val="24"/>
          <w:szCs w:val="24"/>
        </w:rPr>
        <w:t>本次改造内容为原食草料库改成</w:t>
      </w:r>
      <w:r>
        <w:rPr>
          <w:color w:val="000000"/>
          <w:sz w:val="24"/>
          <w:szCs w:val="24"/>
        </w:rPr>
        <w:t>15</w:t>
      </w:r>
      <w:r>
        <w:rPr>
          <w:rFonts w:hint="eastAsia"/>
          <w:color w:val="000000"/>
          <w:sz w:val="24"/>
          <w:szCs w:val="24"/>
        </w:rPr>
        <w:t>间马厩房，东西立面窗户更换与新增，原外门拆除移位，墙体封堵，原雨棚凿除、新增钢结构雨棚，室外雨水管拆除并新做，室内相关</w:t>
      </w:r>
      <w:r>
        <w:rPr>
          <w:rFonts w:hint="eastAsia"/>
          <w:sz w:val="24"/>
          <w:szCs w:val="24"/>
        </w:rPr>
        <w:t>照明、动力配电系统、等电位联结，室内给排水系统，通风系统，采暖系统</w:t>
      </w:r>
      <w:r>
        <w:rPr>
          <w:rFonts w:hint="eastAsia"/>
          <w:sz w:val="24"/>
          <w:szCs w:val="24"/>
          <w:lang w:eastAsia="zh-CN"/>
        </w:rPr>
        <w:t>等图纸及工程量清单内的所有内容</w:t>
      </w:r>
      <w:r>
        <w:rPr>
          <w:rFonts w:hint="eastAsia"/>
          <w:color w:val="000000"/>
          <w:sz w:val="24"/>
          <w:szCs w:val="24"/>
        </w:rPr>
        <w:t>。</w:t>
      </w:r>
    </w:p>
    <w:p>
      <w:pPr>
        <w:tabs>
          <w:tab w:val="left" w:pos="840"/>
        </w:tabs>
        <w:adjustRightInd w:val="0"/>
        <w:snapToGrid w:val="0"/>
        <w:spacing w:line="360" w:lineRule="auto"/>
        <w:ind w:left="839" w:hanging="357"/>
        <w:textAlignment w:val="baseline"/>
        <w:rPr>
          <w:sz w:val="24"/>
          <w:szCs w:val="24"/>
          <w:lang w:eastAsia="zh-CN"/>
        </w:rPr>
      </w:pPr>
      <w:r>
        <w:rPr>
          <w:sz w:val="24"/>
          <w:szCs w:val="24"/>
        </w:rPr>
        <w:t>3</w:t>
      </w:r>
      <w:r>
        <w:rPr>
          <w:rFonts w:hint="eastAsia"/>
          <w:sz w:val="24"/>
          <w:szCs w:val="24"/>
        </w:rPr>
        <w:t>、报价范围、工程项目范围及所应达到的具体要求，以本竞争性谈判文件中商务、技术的相应规定为准。谈判承包人的谈判响应文件必须满足本次工程项目的实质目的，完全实现所应有的全部要求。谈判承包人若存在任何理解上无法正确确定之处，均应当按照竞争性谈判文件所规定的报价前的澄清等程序提出，否则，由此导致的任何不利后果均应当由谈判承包人自行承担。</w:t>
      </w:r>
    </w:p>
    <w:p>
      <w:pPr>
        <w:tabs>
          <w:tab w:val="left" w:pos="840"/>
        </w:tabs>
        <w:adjustRightInd w:val="0"/>
        <w:snapToGrid w:val="0"/>
        <w:spacing w:line="360" w:lineRule="auto"/>
        <w:ind w:firstLine="480" w:firstLineChars="200"/>
        <w:textAlignment w:val="baseline"/>
        <w:rPr>
          <w:b/>
          <w:color w:val="000000"/>
          <w:sz w:val="24"/>
          <w:szCs w:val="24"/>
          <w:lang w:eastAsia="zh-CN"/>
        </w:rPr>
      </w:pPr>
      <w:r>
        <w:rPr>
          <w:sz w:val="24"/>
          <w:szCs w:val="24"/>
        </w:rPr>
        <w:t>4</w:t>
      </w:r>
      <w:r>
        <w:rPr>
          <w:rFonts w:hint="eastAsia"/>
          <w:sz w:val="24"/>
          <w:szCs w:val="24"/>
        </w:rPr>
        <w:t>、</w:t>
      </w:r>
      <w:r>
        <w:rPr>
          <w:rFonts w:hint="eastAsia"/>
          <w:b/>
          <w:color w:val="000000"/>
          <w:sz w:val="24"/>
          <w:szCs w:val="24"/>
        </w:rPr>
        <w:t>本工程最高限价为：</w:t>
      </w:r>
      <w:r>
        <w:rPr>
          <w:b/>
          <w:sz w:val="24"/>
          <w:szCs w:val="24"/>
        </w:rPr>
        <w:t>671139.26</w:t>
      </w:r>
      <w:r>
        <w:rPr>
          <w:rFonts w:hint="eastAsia"/>
          <w:b/>
          <w:color w:val="000000"/>
          <w:sz w:val="24"/>
          <w:szCs w:val="24"/>
        </w:rPr>
        <w:t>元，凡超出最高限价的报价按废标</w:t>
      </w:r>
    </w:p>
    <w:p>
      <w:pPr>
        <w:tabs>
          <w:tab w:val="left" w:pos="840"/>
        </w:tabs>
        <w:adjustRightInd w:val="0"/>
        <w:snapToGrid w:val="0"/>
        <w:spacing w:line="360" w:lineRule="auto"/>
        <w:ind w:firstLine="482" w:firstLineChars="200"/>
        <w:textAlignment w:val="baseline"/>
        <w:rPr>
          <w:b/>
          <w:sz w:val="24"/>
          <w:szCs w:val="24"/>
          <w:lang w:eastAsia="zh-CN"/>
        </w:rPr>
      </w:pPr>
      <w:r>
        <w:rPr>
          <w:b/>
          <w:color w:val="000000"/>
          <w:sz w:val="24"/>
          <w:szCs w:val="24"/>
          <w:lang w:eastAsia="zh-CN"/>
        </w:rPr>
        <w:t xml:space="preserve">   </w:t>
      </w:r>
      <w:r>
        <w:rPr>
          <w:rFonts w:hint="eastAsia"/>
          <w:b/>
          <w:color w:val="000000"/>
          <w:sz w:val="24"/>
          <w:szCs w:val="24"/>
        </w:rPr>
        <w:t>处理</w:t>
      </w:r>
      <w:r>
        <w:rPr>
          <w:rFonts w:hint="eastAsia"/>
          <w:b/>
          <w:sz w:val="24"/>
          <w:szCs w:val="24"/>
        </w:rPr>
        <w:t>。</w:t>
      </w:r>
    </w:p>
    <w:p>
      <w:pPr>
        <w:tabs>
          <w:tab w:val="left" w:pos="840"/>
        </w:tabs>
        <w:adjustRightInd w:val="0"/>
        <w:snapToGrid w:val="0"/>
        <w:spacing w:line="360" w:lineRule="auto"/>
        <w:ind w:firstLine="480" w:firstLineChars="200"/>
        <w:textAlignment w:val="baseline"/>
        <w:rPr>
          <w:bCs/>
          <w:sz w:val="24"/>
          <w:szCs w:val="24"/>
          <w:lang w:eastAsia="zh-CN"/>
        </w:rPr>
      </w:pPr>
      <w:r>
        <w:rPr>
          <w:sz w:val="24"/>
          <w:szCs w:val="24"/>
        </w:rPr>
        <w:t>5</w:t>
      </w:r>
      <w:r>
        <w:rPr>
          <w:rFonts w:hint="eastAsia"/>
          <w:sz w:val="24"/>
          <w:szCs w:val="24"/>
        </w:rPr>
        <w:t>、</w:t>
      </w:r>
      <w:r>
        <w:rPr>
          <w:rFonts w:hint="eastAsia"/>
          <w:bCs/>
          <w:sz w:val="24"/>
          <w:szCs w:val="24"/>
        </w:rPr>
        <w:t>具有房屋建筑工程施工总承包叁级（含）以上资质；项目经理应具有</w:t>
      </w:r>
    </w:p>
    <w:p>
      <w:pPr>
        <w:tabs>
          <w:tab w:val="left" w:pos="840"/>
        </w:tabs>
        <w:adjustRightInd w:val="0"/>
        <w:snapToGrid w:val="0"/>
        <w:spacing w:line="360" w:lineRule="auto"/>
        <w:ind w:firstLine="480" w:firstLineChars="200"/>
        <w:textAlignment w:val="baseline"/>
        <w:rPr>
          <w:sz w:val="24"/>
          <w:szCs w:val="24"/>
          <w:lang w:eastAsia="zh-CN"/>
        </w:rPr>
      </w:pPr>
      <w:r>
        <w:rPr>
          <w:bCs/>
          <w:sz w:val="24"/>
          <w:szCs w:val="24"/>
          <w:lang w:eastAsia="zh-CN"/>
        </w:rPr>
        <w:t xml:space="preserve">   </w:t>
      </w:r>
      <w:r>
        <w:rPr>
          <w:rFonts w:hint="eastAsia"/>
          <w:bCs/>
          <w:sz w:val="24"/>
          <w:szCs w:val="24"/>
        </w:rPr>
        <w:t>注册建造师二级（含）以上资格及有效安全</w:t>
      </w:r>
      <w:r>
        <w:rPr>
          <w:bCs/>
          <w:sz w:val="24"/>
          <w:szCs w:val="24"/>
        </w:rPr>
        <w:t>B</w:t>
      </w:r>
      <w:r>
        <w:rPr>
          <w:rFonts w:hint="eastAsia"/>
          <w:bCs/>
          <w:sz w:val="24"/>
          <w:szCs w:val="24"/>
        </w:rPr>
        <w:t>本。</w:t>
      </w:r>
    </w:p>
    <w:p>
      <w:pPr>
        <w:tabs>
          <w:tab w:val="left" w:pos="840"/>
        </w:tabs>
        <w:adjustRightInd w:val="0"/>
        <w:snapToGrid w:val="0"/>
        <w:spacing w:line="360" w:lineRule="auto"/>
        <w:ind w:firstLine="480" w:firstLineChars="200"/>
        <w:textAlignment w:val="baseline"/>
        <w:rPr>
          <w:color w:val="0000FF"/>
          <w:sz w:val="24"/>
          <w:szCs w:val="24"/>
        </w:rPr>
      </w:pPr>
      <w:r>
        <w:rPr>
          <w:sz w:val="24"/>
          <w:szCs w:val="24"/>
          <w:lang w:eastAsia="zh-CN"/>
        </w:rPr>
        <w:t>6</w:t>
      </w:r>
      <w:r>
        <w:rPr>
          <w:rFonts w:hint="eastAsia"/>
          <w:sz w:val="24"/>
          <w:szCs w:val="24"/>
        </w:rPr>
        <w:t>、计划工期：</w:t>
      </w:r>
      <w:r>
        <w:rPr>
          <w:sz w:val="24"/>
          <w:szCs w:val="24"/>
          <w:u w:val="single"/>
          <w:lang w:val="en-US" w:eastAsia="zh-CN"/>
        </w:rPr>
        <w:t>80</w:t>
      </w:r>
      <w:r>
        <w:rPr>
          <w:sz w:val="24"/>
          <w:szCs w:val="24"/>
          <w:u w:val="single"/>
        </w:rPr>
        <w:t xml:space="preserve"> </w:t>
      </w:r>
      <w:r>
        <w:rPr>
          <w:rFonts w:hint="eastAsia"/>
          <w:sz w:val="24"/>
          <w:szCs w:val="24"/>
        </w:rPr>
        <w:t>日历天</w:t>
      </w:r>
    </w:p>
    <w:p>
      <w:pPr>
        <w:widowControl/>
        <w:spacing w:line="360" w:lineRule="auto"/>
        <w:ind w:firstLine="480" w:firstLineChars="200"/>
        <w:rPr>
          <w:color w:val="000000"/>
          <w:sz w:val="24"/>
          <w:szCs w:val="24"/>
        </w:rPr>
      </w:pPr>
      <w:r>
        <w:rPr>
          <w:sz w:val="24"/>
          <w:szCs w:val="24"/>
          <w:lang w:eastAsia="zh-CN"/>
        </w:rPr>
        <w:t>7</w:t>
      </w:r>
      <w:r>
        <w:rPr>
          <w:rFonts w:hint="eastAsia"/>
          <w:sz w:val="24"/>
          <w:szCs w:val="24"/>
        </w:rPr>
        <w:t>、建设地点：北京市</w:t>
      </w:r>
      <w:r>
        <w:rPr>
          <w:rFonts w:hint="eastAsia"/>
          <w:sz w:val="24"/>
          <w:szCs w:val="24"/>
          <w:lang w:val="en-US" w:eastAsia="zh-CN"/>
        </w:rPr>
        <w:t>海淀区上地南路甲</w:t>
      </w:r>
      <w:r>
        <w:rPr>
          <w:sz w:val="24"/>
          <w:szCs w:val="24"/>
          <w:lang w:val="en-US" w:eastAsia="zh-CN"/>
        </w:rPr>
        <w:t>6</w:t>
      </w:r>
      <w:r>
        <w:rPr>
          <w:rFonts w:hint="eastAsia"/>
          <w:sz w:val="24"/>
          <w:szCs w:val="24"/>
          <w:lang w:val="en-US" w:eastAsia="zh-CN"/>
        </w:rPr>
        <w:t>号院</w:t>
      </w:r>
      <w:r>
        <w:rPr>
          <w:color w:val="000000"/>
          <w:sz w:val="24"/>
          <w:szCs w:val="24"/>
        </w:rPr>
        <w:t xml:space="preserve">   </w:t>
      </w:r>
      <w:r>
        <w:rPr>
          <w:sz w:val="24"/>
          <w:szCs w:val="24"/>
          <w:u w:val="single"/>
        </w:rPr>
        <w:t xml:space="preserve"> </w:t>
      </w:r>
      <w:r>
        <w:rPr>
          <w:sz w:val="24"/>
          <w:szCs w:val="24"/>
        </w:rPr>
        <w:t xml:space="preserve">                     </w:t>
      </w:r>
    </w:p>
    <w:p>
      <w:pPr>
        <w:pStyle w:val="42"/>
        <w:numPr>
          <w:ilvl w:val="0"/>
          <w:numId w:val="0"/>
        </w:numPr>
        <w:snapToGrid w:val="0"/>
        <w:spacing w:before="0" w:line="360" w:lineRule="auto"/>
        <w:ind w:left="-180" w:firstLine="480" w:firstLineChars="200"/>
        <w:textAlignment w:val="baseline"/>
        <w:rPr>
          <w:color w:val="auto"/>
          <w:sz w:val="24"/>
          <w:szCs w:val="24"/>
          <w:u w:val="single"/>
        </w:rPr>
      </w:pPr>
      <w:r>
        <w:rPr>
          <w:rFonts w:hint="eastAsia"/>
          <w:color w:val="auto"/>
          <w:sz w:val="24"/>
          <w:szCs w:val="24"/>
        </w:rPr>
        <w:t>四、竞争性谈判文件领取时间：</w:t>
      </w:r>
      <w:r>
        <w:rPr>
          <w:b/>
          <w:color w:val="auto"/>
          <w:sz w:val="24"/>
          <w:szCs w:val="24"/>
          <w:u w:val="single"/>
        </w:rPr>
        <w:t>20</w:t>
      </w:r>
      <w:r>
        <w:rPr>
          <w:b/>
          <w:color w:val="auto"/>
          <w:sz w:val="24"/>
          <w:szCs w:val="24"/>
          <w:u w:val="single"/>
          <w:lang w:val="en-US" w:eastAsia="zh-CN"/>
        </w:rPr>
        <w:t>21</w:t>
      </w:r>
      <w:r>
        <w:rPr>
          <w:rFonts w:hint="eastAsia"/>
          <w:b/>
          <w:color w:val="auto"/>
          <w:sz w:val="24"/>
          <w:szCs w:val="24"/>
          <w:u w:val="single"/>
        </w:rPr>
        <w:t>年</w:t>
      </w:r>
      <w:r>
        <w:rPr>
          <w:rFonts w:hint="eastAsia"/>
          <w:b/>
          <w:color w:val="auto"/>
          <w:sz w:val="24"/>
          <w:szCs w:val="24"/>
          <w:u w:val="single"/>
          <w:lang w:val="en-US" w:eastAsia="zh-CN"/>
        </w:rPr>
        <w:t>6</w:t>
      </w:r>
      <w:r>
        <w:rPr>
          <w:rFonts w:hint="eastAsia"/>
          <w:b/>
          <w:color w:val="auto"/>
          <w:sz w:val="24"/>
          <w:szCs w:val="24"/>
          <w:u w:val="single"/>
        </w:rPr>
        <w:t>月</w:t>
      </w:r>
      <w:r>
        <w:rPr>
          <w:rFonts w:hint="eastAsia"/>
          <w:b/>
          <w:color w:val="auto"/>
          <w:sz w:val="24"/>
          <w:szCs w:val="24"/>
          <w:u w:val="single"/>
          <w:lang w:val="en-US" w:eastAsia="zh-CN"/>
        </w:rPr>
        <w:t>11日</w:t>
      </w:r>
      <w:r>
        <w:rPr>
          <w:rFonts w:hint="eastAsia"/>
          <w:b/>
          <w:color w:val="auto"/>
          <w:sz w:val="24"/>
          <w:szCs w:val="24"/>
          <w:u w:val="single"/>
        </w:rPr>
        <w:t>至</w:t>
      </w:r>
      <w:r>
        <w:rPr>
          <w:rFonts w:hint="eastAsia"/>
          <w:b/>
          <w:color w:val="auto"/>
          <w:sz w:val="24"/>
          <w:szCs w:val="24"/>
          <w:u w:val="single"/>
          <w:lang w:val="en-US" w:eastAsia="zh-CN"/>
        </w:rPr>
        <w:t>16</w:t>
      </w:r>
      <w:r>
        <w:rPr>
          <w:rFonts w:hint="eastAsia"/>
          <w:b/>
          <w:color w:val="auto"/>
          <w:sz w:val="24"/>
          <w:szCs w:val="24"/>
          <w:u w:val="single"/>
        </w:rPr>
        <w:t>日在</w:t>
      </w:r>
      <w:r>
        <w:rPr>
          <w:rFonts w:hint="eastAsia"/>
          <w:b/>
          <w:color w:val="auto"/>
          <w:sz w:val="24"/>
          <w:szCs w:val="24"/>
          <w:u w:val="single"/>
          <w:lang w:eastAsia="zh-CN"/>
        </w:rPr>
        <w:t>中心办公楼</w:t>
      </w:r>
      <w:r>
        <w:rPr>
          <w:rFonts w:hint="eastAsia"/>
          <w:b/>
          <w:color w:val="auto"/>
          <w:sz w:val="24"/>
          <w:szCs w:val="24"/>
          <w:u w:val="single"/>
          <w:lang w:val="en-US" w:eastAsia="zh-CN"/>
        </w:rPr>
        <w:t>111号房间</w:t>
      </w:r>
      <w:r>
        <w:rPr>
          <w:rFonts w:hint="eastAsia"/>
          <w:b/>
          <w:color w:val="auto"/>
          <w:sz w:val="24"/>
          <w:szCs w:val="24"/>
          <w:u w:val="single"/>
        </w:rPr>
        <w:t>领取。</w:t>
      </w:r>
    </w:p>
    <w:p>
      <w:pPr>
        <w:pStyle w:val="42"/>
        <w:numPr>
          <w:ilvl w:val="0"/>
          <w:numId w:val="0"/>
        </w:numPr>
        <w:snapToGrid w:val="0"/>
        <w:spacing w:before="0" w:line="360" w:lineRule="auto"/>
        <w:ind w:left="-180" w:firstLine="480" w:firstLineChars="200"/>
        <w:textAlignment w:val="baseline"/>
        <w:rPr>
          <w:color w:val="auto"/>
          <w:sz w:val="24"/>
          <w:szCs w:val="24"/>
        </w:rPr>
      </w:pPr>
      <w:r>
        <w:rPr>
          <w:rFonts w:hint="eastAsia"/>
          <w:color w:val="auto"/>
          <w:sz w:val="24"/>
          <w:szCs w:val="24"/>
        </w:rPr>
        <w:t>五、接受报价时间、报价截止时间及谈判时间</w:t>
      </w:r>
    </w:p>
    <w:p>
      <w:pPr>
        <w:snapToGrid w:val="0"/>
        <w:spacing w:line="360" w:lineRule="auto"/>
        <w:ind w:firstLine="480" w:firstLineChars="200"/>
        <w:rPr>
          <w:sz w:val="24"/>
          <w:szCs w:val="24"/>
        </w:rPr>
      </w:pPr>
      <w:r>
        <w:rPr>
          <w:sz w:val="24"/>
          <w:szCs w:val="24"/>
        </w:rPr>
        <w:t>1</w:t>
      </w:r>
      <w:r>
        <w:rPr>
          <w:rFonts w:hint="eastAsia"/>
          <w:sz w:val="24"/>
          <w:szCs w:val="24"/>
        </w:rPr>
        <w:t>、接受报价时间：</w:t>
      </w:r>
      <w:r>
        <w:rPr>
          <w:b/>
          <w:sz w:val="24"/>
          <w:szCs w:val="24"/>
          <w:u w:val="single"/>
        </w:rPr>
        <w:t xml:space="preserve"> 20</w:t>
      </w:r>
      <w:r>
        <w:rPr>
          <w:b/>
          <w:sz w:val="24"/>
          <w:szCs w:val="24"/>
          <w:u w:val="single"/>
          <w:lang w:val="en-US" w:eastAsia="zh-CN"/>
        </w:rPr>
        <w:t>21</w:t>
      </w:r>
      <w:r>
        <w:rPr>
          <w:rFonts w:hint="eastAsia"/>
          <w:b/>
          <w:sz w:val="24"/>
          <w:szCs w:val="24"/>
          <w:u w:val="single"/>
        </w:rPr>
        <w:t>年</w:t>
      </w:r>
      <w:r>
        <w:rPr>
          <w:b/>
          <w:sz w:val="24"/>
          <w:szCs w:val="24"/>
          <w:u w:val="single"/>
          <w:lang w:val="en-US" w:eastAsia="zh-CN"/>
        </w:rPr>
        <w:t xml:space="preserve"> </w:t>
      </w:r>
      <w:r>
        <w:rPr>
          <w:rFonts w:hint="eastAsia"/>
          <w:b/>
          <w:sz w:val="24"/>
          <w:szCs w:val="24"/>
          <w:u w:val="single"/>
          <w:lang w:val="en-US" w:eastAsia="zh-CN"/>
        </w:rPr>
        <w:t>6</w:t>
      </w:r>
      <w:r>
        <w:rPr>
          <w:rFonts w:hint="eastAsia"/>
          <w:b/>
          <w:sz w:val="24"/>
          <w:szCs w:val="24"/>
          <w:u w:val="single"/>
        </w:rPr>
        <w:t>月</w:t>
      </w:r>
      <w:r>
        <w:rPr>
          <w:b/>
          <w:sz w:val="24"/>
          <w:szCs w:val="24"/>
          <w:u w:val="single"/>
          <w:lang w:val="en-US" w:eastAsia="zh-CN"/>
        </w:rPr>
        <w:t xml:space="preserve"> </w:t>
      </w:r>
      <w:r>
        <w:rPr>
          <w:rFonts w:hint="eastAsia"/>
          <w:b/>
          <w:sz w:val="24"/>
          <w:szCs w:val="24"/>
          <w:u w:val="single"/>
          <w:lang w:val="en-US" w:eastAsia="zh-CN"/>
        </w:rPr>
        <w:t>18</w:t>
      </w:r>
      <w:r>
        <w:rPr>
          <w:rFonts w:hint="eastAsia"/>
          <w:b/>
          <w:sz w:val="24"/>
          <w:szCs w:val="24"/>
          <w:u w:val="single"/>
        </w:rPr>
        <w:t>日</w:t>
      </w:r>
      <w:r>
        <w:rPr>
          <w:b/>
          <w:sz w:val="24"/>
          <w:szCs w:val="24"/>
          <w:u w:val="single"/>
        </w:rPr>
        <w:t>9</w:t>
      </w:r>
      <w:r>
        <w:rPr>
          <w:rFonts w:hint="eastAsia"/>
          <w:b/>
          <w:sz w:val="24"/>
          <w:szCs w:val="24"/>
          <w:u w:val="single"/>
        </w:rPr>
        <w:t>：</w:t>
      </w:r>
      <w:r>
        <w:rPr>
          <w:b/>
          <w:sz w:val="24"/>
          <w:szCs w:val="24"/>
          <w:u w:val="single"/>
        </w:rPr>
        <w:t>30</w:t>
      </w:r>
      <w:r>
        <w:rPr>
          <w:rFonts w:hint="eastAsia"/>
          <w:b/>
          <w:sz w:val="24"/>
          <w:szCs w:val="24"/>
          <w:u w:val="single"/>
        </w:rPr>
        <w:t>（北京时间）。</w:t>
      </w:r>
    </w:p>
    <w:p>
      <w:pPr>
        <w:snapToGrid w:val="0"/>
        <w:spacing w:line="360" w:lineRule="auto"/>
        <w:ind w:firstLine="420"/>
        <w:rPr>
          <w:b/>
          <w:sz w:val="24"/>
          <w:szCs w:val="24"/>
        </w:rPr>
      </w:pPr>
      <w:r>
        <w:rPr>
          <w:sz w:val="24"/>
          <w:szCs w:val="24"/>
        </w:rPr>
        <w:t>2</w:t>
      </w:r>
      <w:r>
        <w:rPr>
          <w:rFonts w:hint="eastAsia"/>
          <w:sz w:val="24"/>
          <w:szCs w:val="24"/>
        </w:rPr>
        <w:t>、报价截止时间：</w:t>
      </w:r>
      <w:r>
        <w:rPr>
          <w:b/>
          <w:sz w:val="24"/>
          <w:szCs w:val="24"/>
          <w:u w:val="single"/>
        </w:rPr>
        <w:t xml:space="preserve"> 20</w:t>
      </w:r>
      <w:r>
        <w:rPr>
          <w:b/>
          <w:sz w:val="24"/>
          <w:szCs w:val="24"/>
          <w:u w:val="single"/>
          <w:lang w:val="en-US" w:eastAsia="zh-CN"/>
        </w:rPr>
        <w:t>21</w:t>
      </w:r>
      <w:r>
        <w:rPr>
          <w:rFonts w:hint="eastAsia"/>
          <w:b/>
          <w:sz w:val="24"/>
          <w:szCs w:val="24"/>
          <w:u w:val="single"/>
        </w:rPr>
        <w:t>年</w:t>
      </w:r>
      <w:r>
        <w:rPr>
          <w:b/>
          <w:sz w:val="24"/>
          <w:szCs w:val="24"/>
          <w:u w:val="single"/>
          <w:lang w:val="en-US" w:eastAsia="zh-CN"/>
        </w:rPr>
        <w:t xml:space="preserve"> </w:t>
      </w:r>
      <w:r>
        <w:rPr>
          <w:rFonts w:hint="eastAsia"/>
          <w:b/>
          <w:sz w:val="24"/>
          <w:szCs w:val="24"/>
          <w:u w:val="single"/>
          <w:lang w:val="en-US" w:eastAsia="zh-CN"/>
        </w:rPr>
        <w:t>6</w:t>
      </w:r>
      <w:r>
        <w:rPr>
          <w:rFonts w:hint="eastAsia"/>
          <w:b/>
          <w:sz w:val="24"/>
          <w:szCs w:val="24"/>
          <w:u w:val="single"/>
        </w:rPr>
        <w:t>月</w:t>
      </w:r>
      <w:r>
        <w:rPr>
          <w:b/>
          <w:sz w:val="24"/>
          <w:szCs w:val="24"/>
          <w:u w:val="single"/>
          <w:lang w:val="en-US" w:eastAsia="zh-CN"/>
        </w:rPr>
        <w:t xml:space="preserve"> </w:t>
      </w:r>
      <w:r>
        <w:rPr>
          <w:rFonts w:hint="eastAsia"/>
          <w:b/>
          <w:sz w:val="24"/>
          <w:szCs w:val="24"/>
          <w:u w:val="single"/>
          <w:lang w:val="en-US" w:eastAsia="zh-CN"/>
        </w:rPr>
        <w:t>18</w:t>
      </w:r>
      <w:r>
        <w:rPr>
          <w:b/>
          <w:sz w:val="24"/>
          <w:szCs w:val="24"/>
          <w:u w:val="single"/>
          <w:lang w:val="en-US" w:eastAsia="zh-CN"/>
        </w:rPr>
        <w:t xml:space="preserve"> </w:t>
      </w:r>
      <w:r>
        <w:rPr>
          <w:rFonts w:hint="eastAsia"/>
          <w:b/>
          <w:sz w:val="24"/>
          <w:szCs w:val="24"/>
          <w:u w:val="single"/>
        </w:rPr>
        <w:t>日</w:t>
      </w:r>
      <w:r>
        <w:rPr>
          <w:b/>
          <w:sz w:val="24"/>
          <w:szCs w:val="24"/>
          <w:u w:val="single"/>
        </w:rPr>
        <w:t>9</w:t>
      </w:r>
      <w:r>
        <w:rPr>
          <w:rFonts w:hint="eastAsia"/>
          <w:b/>
          <w:sz w:val="24"/>
          <w:szCs w:val="24"/>
          <w:u w:val="single"/>
        </w:rPr>
        <w:t>：</w:t>
      </w:r>
      <w:r>
        <w:rPr>
          <w:b/>
          <w:sz w:val="24"/>
          <w:szCs w:val="24"/>
          <w:u w:val="single"/>
        </w:rPr>
        <w:t>30</w:t>
      </w:r>
      <w:r>
        <w:rPr>
          <w:rFonts w:hint="eastAsia"/>
          <w:b/>
          <w:sz w:val="24"/>
          <w:szCs w:val="24"/>
          <w:u w:val="single"/>
        </w:rPr>
        <w:t>（北京时间）。</w:t>
      </w:r>
    </w:p>
    <w:p>
      <w:pPr>
        <w:snapToGrid w:val="0"/>
        <w:spacing w:line="360" w:lineRule="auto"/>
        <w:ind w:firstLine="420"/>
        <w:rPr>
          <w:sz w:val="24"/>
          <w:szCs w:val="24"/>
          <w:u w:val="single"/>
        </w:rPr>
      </w:pPr>
      <w:r>
        <w:rPr>
          <w:sz w:val="24"/>
          <w:szCs w:val="24"/>
        </w:rPr>
        <w:t>3</w:t>
      </w:r>
      <w:r>
        <w:rPr>
          <w:rFonts w:hint="eastAsia"/>
          <w:sz w:val="24"/>
          <w:szCs w:val="24"/>
        </w:rPr>
        <w:t>、谈判开始时间：</w:t>
      </w:r>
      <w:r>
        <w:rPr>
          <w:sz w:val="24"/>
          <w:szCs w:val="24"/>
          <w:u w:val="single"/>
        </w:rPr>
        <w:t xml:space="preserve"> </w:t>
      </w:r>
      <w:r>
        <w:rPr>
          <w:b/>
          <w:sz w:val="24"/>
          <w:szCs w:val="24"/>
          <w:u w:val="single"/>
        </w:rPr>
        <w:t>20</w:t>
      </w:r>
      <w:r>
        <w:rPr>
          <w:b/>
          <w:sz w:val="24"/>
          <w:szCs w:val="24"/>
          <w:u w:val="single"/>
          <w:lang w:val="en-US" w:eastAsia="zh-CN"/>
        </w:rPr>
        <w:t>21</w:t>
      </w:r>
      <w:r>
        <w:rPr>
          <w:rFonts w:hint="eastAsia"/>
          <w:b/>
          <w:sz w:val="24"/>
          <w:szCs w:val="24"/>
          <w:u w:val="single"/>
          <w:lang w:val="en-US" w:eastAsia="zh-CN"/>
        </w:rPr>
        <w:t>年6</w:t>
      </w:r>
      <w:r>
        <w:rPr>
          <w:rFonts w:hint="eastAsia"/>
          <w:b/>
          <w:sz w:val="24"/>
          <w:szCs w:val="24"/>
          <w:u w:val="single"/>
        </w:rPr>
        <w:t>月</w:t>
      </w:r>
      <w:r>
        <w:rPr>
          <w:b/>
          <w:sz w:val="24"/>
          <w:szCs w:val="24"/>
          <w:u w:val="single"/>
          <w:lang w:val="en-US" w:eastAsia="zh-CN"/>
        </w:rPr>
        <w:t xml:space="preserve"> </w:t>
      </w:r>
      <w:r>
        <w:rPr>
          <w:rFonts w:hint="eastAsia"/>
          <w:b/>
          <w:sz w:val="24"/>
          <w:szCs w:val="24"/>
          <w:u w:val="single"/>
          <w:lang w:val="en-US" w:eastAsia="zh-CN"/>
        </w:rPr>
        <w:t>18</w:t>
      </w:r>
      <w:r>
        <w:rPr>
          <w:rFonts w:hint="eastAsia"/>
          <w:b/>
          <w:sz w:val="24"/>
          <w:szCs w:val="24"/>
          <w:u w:val="single"/>
        </w:rPr>
        <w:t>日</w:t>
      </w:r>
      <w:r>
        <w:rPr>
          <w:b/>
          <w:sz w:val="24"/>
          <w:szCs w:val="24"/>
          <w:u w:val="single"/>
        </w:rPr>
        <w:t>9</w:t>
      </w:r>
      <w:r>
        <w:rPr>
          <w:rFonts w:hint="eastAsia"/>
          <w:b/>
          <w:sz w:val="24"/>
          <w:szCs w:val="24"/>
          <w:u w:val="single"/>
        </w:rPr>
        <w:t>：</w:t>
      </w:r>
      <w:r>
        <w:rPr>
          <w:b/>
          <w:sz w:val="24"/>
          <w:szCs w:val="24"/>
          <w:u w:val="single"/>
        </w:rPr>
        <w:t>30</w:t>
      </w:r>
      <w:r>
        <w:rPr>
          <w:rFonts w:hint="eastAsia"/>
          <w:b/>
          <w:sz w:val="24"/>
          <w:szCs w:val="24"/>
          <w:u w:val="single"/>
        </w:rPr>
        <w:t>（北京时间），具体时间及顺序将现场告知。</w:t>
      </w:r>
    </w:p>
    <w:p>
      <w:pPr>
        <w:snapToGrid w:val="0"/>
        <w:spacing w:line="360" w:lineRule="auto"/>
        <w:ind w:left="385" w:leftChars="175"/>
        <w:rPr>
          <w:sz w:val="24"/>
          <w:szCs w:val="24"/>
        </w:rPr>
      </w:pPr>
      <w:r>
        <w:rPr>
          <w:rFonts w:hint="eastAsia"/>
          <w:sz w:val="24"/>
          <w:szCs w:val="24"/>
        </w:rPr>
        <w:t>截止时间后送达的谈判响应文件将被拒收，在规定时间内所提交的文件不符合相关规定要求的也将被拒收。</w:t>
      </w:r>
    </w:p>
    <w:p>
      <w:pPr>
        <w:snapToGrid w:val="0"/>
        <w:spacing w:line="360" w:lineRule="auto"/>
        <w:ind w:firstLine="240" w:firstLineChars="100"/>
        <w:rPr>
          <w:sz w:val="24"/>
          <w:szCs w:val="24"/>
        </w:rPr>
      </w:pPr>
      <w:r>
        <w:rPr>
          <w:rFonts w:hint="eastAsia"/>
          <w:sz w:val="24"/>
          <w:szCs w:val="24"/>
        </w:rPr>
        <w:t>六、谈判程序及时间：</w:t>
      </w:r>
    </w:p>
    <w:p>
      <w:pPr>
        <w:snapToGrid w:val="0"/>
        <w:spacing w:line="360" w:lineRule="auto"/>
        <w:ind w:firstLine="240" w:firstLineChars="100"/>
        <w:rPr>
          <w:sz w:val="24"/>
          <w:szCs w:val="24"/>
        </w:rPr>
      </w:pPr>
      <w:r>
        <w:rPr>
          <w:sz w:val="24"/>
          <w:szCs w:val="24"/>
        </w:rPr>
        <w:t xml:space="preserve">  1</w:t>
      </w:r>
      <w:r>
        <w:rPr>
          <w:rFonts w:hint="eastAsia"/>
          <w:sz w:val="24"/>
          <w:szCs w:val="24"/>
        </w:rPr>
        <w:t>、每位谈判承包人</w:t>
      </w:r>
      <w:r>
        <w:rPr>
          <w:sz w:val="24"/>
          <w:szCs w:val="24"/>
        </w:rPr>
        <w:t>15</w:t>
      </w:r>
      <w:r>
        <w:rPr>
          <w:rFonts w:hint="eastAsia"/>
          <w:sz w:val="24"/>
          <w:szCs w:val="24"/>
        </w:rPr>
        <w:t>分钟谈判时间，其中，自我陈述</w:t>
      </w:r>
      <w:r>
        <w:rPr>
          <w:sz w:val="24"/>
          <w:szCs w:val="24"/>
        </w:rPr>
        <w:t>5</w:t>
      </w:r>
      <w:r>
        <w:rPr>
          <w:rFonts w:hint="eastAsia"/>
          <w:sz w:val="24"/>
          <w:szCs w:val="24"/>
        </w:rPr>
        <w:t>分钟，评委会提问</w:t>
      </w:r>
      <w:r>
        <w:rPr>
          <w:sz w:val="24"/>
          <w:szCs w:val="24"/>
        </w:rPr>
        <w:t>10</w:t>
      </w:r>
      <w:r>
        <w:rPr>
          <w:rFonts w:hint="eastAsia"/>
          <w:sz w:val="24"/>
          <w:szCs w:val="24"/>
        </w:rPr>
        <w:t>分钟。</w:t>
      </w:r>
    </w:p>
    <w:p>
      <w:pPr>
        <w:snapToGrid w:val="0"/>
        <w:spacing w:line="360" w:lineRule="auto"/>
        <w:ind w:firstLine="240" w:firstLineChars="100"/>
        <w:rPr>
          <w:sz w:val="24"/>
          <w:szCs w:val="24"/>
        </w:rPr>
      </w:pPr>
      <w:r>
        <w:rPr>
          <w:sz w:val="24"/>
          <w:szCs w:val="24"/>
        </w:rPr>
        <w:t xml:space="preserve">  2</w:t>
      </w:r>
      <w:r>
        <w:rPr>
          <w:rFonts w:hint="eastAsia"/>
          <w:sz w:val="24"/>
          <w:szCs w:val="24"/>
        </w:rPr>
        <w:t>、评委会针对每位谈判承包人排序。</w:t>
      </w:r>
    </w:p>
    <w:p>
      <w:pPr>
        <w:snapToGrid w:val="0"/>
        <w:spacing w:line="360" w:lineRule="auto"/>
        <w:ind w:firstLine="240" w:firstLineChars="100"/>
        <w:rPr>
          <w:sz w:val="24"/>
          <w:szCs w:val="24"/>
        </w:rPr>
      </w:pPr>
      <w:r>
        <w:rPr>
          <w:sz w:val="24"/>
          <w:szCs w:val="24"/>
        </w:rPr>
        <w:t xml:space="preserve">  3</w:t>
      </w:r>
      <w:r>
        <w:rPr>
          <w:rFonts w:hint="eastAsia"/>
          <w:sz w:val="24"/>
          <w:szCs w:val="24"/>
        </w:rPr>
        <w:t>、评委会通知符合要求的谈判承包人进行二次报价，二次报价截止时间以现场通知为准。</w:t>
      </w:r>
    </w:p>
    <w:p>
      <w:pPr>
        <w:pStyle w:val="42"/>
        <w:numPr>
          <w:ilvl w:val="0"/>
          <w:numId w:val="0"/>
        </w:numPr>
        <w:snapToGrid w:val="0"/>
        <w:spacing w:before="0" w:line="360" w:lineRule="auto"/>
        <w:ind w:left="-180"/>
        <w:textAlignment w:val="baseline"/>
        <w:rPr>
          <w:sz w:val="24"/>
          <w:szCs w:val="24"/>
        </w:rPr>
      </w:pPr>
      <w:r>
        <w:rPr>
          <w:rFonts w:hint="eastAsia"/>
          <w:sz w:val="24"/>
          <w:szCs w:val="24"/>
        </w:rPr>
        <w:t>七、报价地点及谈判地点：</w:t>
      </w:r>
      <w:r>
        <w:rPr>
          <w:sz w:val="24"/>
          <w:szCs w:val="24"/>
          <w:u w:val="single"/>
          <w:lang w:val="en-US" w:eastAsia="zh-CN"/>
        </w:rPr>
        <w:t xml:space="preserve"> </w:t>
      </w:r>
      <w:r>
        <w:rPr>
          <w:rFonts w:hint="eastAsia"/>
          <w:sz w:val="24"/>
          <w:szCs w:val="24"/>
          <w:u w:val="single"/>
          <w:lang w:val="en-US" w:eastAsia="zh-CN"/>
        </w:rPr>
        <w:t>自剑中心办公楼</w:t>
      </w:r>
      <w:r>
        <w:rPr>
          <w:sz w:val="24"/>
          <w:szCs w:val="24"/>
          <w:u w:val="single"/>
          <w:lang w:val="en-US" w:eastAsia="zh-CN"/>
        </w:rPr>
        <w:t>(</w:t>
      </w:r>
      <w:r>
        <w:rPr>
          <w:rFonts w:hint="eastAsia"/>
          <w:sz w:val="24"/>
          <w:szCs w:val="24"/>
          <w:u w:val="single"/>
          <w:lang w:val="en-US" w:eastAsia="zh-CN"/>
        </w:rPr>
        <w:t>老山西街</w:t>
      </w:r>
      <w:r>
        <w:rPr>
          <w:sz w:val="24"/>
          <w:szCs w:val="24"/>
          <w:u w:val="single"/>
          <w:lang w:val="en-US" w:eastAsia="zh-CN"/>
        </w:rPr>
        <w:t>6</w:t>
      </w:r>
      <w:r>
        <w:rPr>
          <w:rFonts w:hint="eastAsia"/>
          <w:sz w:val="24"/>
          <w:szCs w:val="24"/>
          <w:u w:val="single"/>
          <w:lang w:val="en-US" w:eastAsia="zh-CN"/>
        </w:rPr>
        <w:t>号</w:t>
      </w:r>
      <w:r>
        <w:rPr>
          <w:sz w:val="24"/>
          <w:szCs w:val="24"/>
          <w:u w:val="single"/>
          <w:lang w:val="en-US" w:eastAsia="zh-CN"/>
        </w:rPr>
        <w:t>)114</w:t>
      </w:r>
      <w:r>
        <w:rPr>
          <w:rFonts w:hint="eastAsia"/>
          <w:sz w:val="24"/>
          <w:szCs w:val="24"/>
          <w:u w:val="single"/>
          <w:lang w:val="en-US" w:eastAsia="zh-CN"/>
        </w:rPr>
        <w:t>会议室</w:t>
      </w:r>
      <w:r>
        <w:rPr>
          <w:sz w:val="24"/>
          <w:szCs w:val="24"/>
          <w:u w:val="single"/>
          <w:lang w:val="en-US" w:eastAsia="zh-CN"/>
        </w:rPr>
        <w:t xml:space="preserve"> </w:t>
      </w:r>
      <w:r>
        <w:rPr>
          <w:sz w:val="24"/>
          <w:szCs w:val="24"/>
          <w:lang w:val="en-US" w:eastAsia="zh-CN"/>
        </w:rPr>
        <w:t xml:space="preserve"> </w:t>
      </w:r>
      <w:r>
        <w:rPr>
          <w:rFonts w:hint="eastAsia"/>
          <w:sz w:val="24"/>
          <w:szCs w:val="24"/>
        </w:rPr>
        <w:t>，届时请谈判承包人的法定代表人或其授权的代理人及相关人员</w:t>
      </w:r>
      <w:r>
        <w:rPr>
          <w:sz w:val="24"/>
          <w:szCs w:val="24"/>
        </w:rPr>
        <w:t>1-2</w:t>
      </w:r>
      <w:r>
        <w:rPr>
          <w:rFonts w:hint="eastAsia"/>
          <w:sz w:val="24"/>
          <w:szCs w:val="24"/>
        </w:rPr>
        <w:t>名代表出席谈判仪式。</w:t>
      </w:r>
    </w:p>
    <w:p>
      <w:pPr>
        <w:pStyle w:val="42"/>
        <w:numPr>
          <w:ilvl w:val="0"/>
          <w:numId w:val="0"/>
        </w:numPr>
        <w:snapToGrid w:val="0"/>
        <w:spacing w:before="0" w:line="360" w:lineRule="auto"/>
        <w:ind w:left="-180"/>
        <w:textAlignment w:val="baseline"/>
        <w:rPr>
          <w:color w:val="auto"/>
          <w:sz w:val="24"/>
          <w:szCs w:val="24"/>
        </w:rPr>
      </w:pPr>
      <w:r>
        <w:rPr>
          <w:rFonts w:hint="eastAsia"/>
          <w:color w:val="auto"/>
          <w:sz w:val="24"/>
          <w:szCs w:val="24"/>
        </w:rPr>
        <w:t>八、联系地址：</w:t>
      </w:r>
    </w:p>
    <w:p>
      <w:pPr>
        <w:spacing w:line="336" w:lineRule="auto"/>
        <w:rPr>
          <w:sz w:val="24"/>
          <w:szCs w:val="24"/>
        </w:rPr>
      </w:pPr>
      <w:r>
        <w:rPr>
          <w:rFonts w:hint="eastAsia"/>
          <w:sz w:val="24"/>
          <w:szCs w:val="24"/>
        </w:rPr>
        <w:t>采购人：</w:t>
      </w:r>
      <w:r>
        <w:rPr>
          <w:rFonts w:hint="eastAsia"/>
          <w:sz w:val="24"/>
          <w:szCs w:val="24"/>
          <w:lang w:eastAsia="zh-CN"/>
        </w:rPr>
        <w:t>国家体育总局自行车击剑运动管理中心</w:t>
      </w:r>
    </w:p>
    <w:p>
      <w:pPr>
        <w:spacing w:line="336" w:lineRule="auto"/>
        <w:rPr>
          <w:sz w:val="24"/>
          <w:szCs w:val="24"/>
        </w:rPr>
      </w:pPr>
      <w:r>
        <w:rPr>
          <w:rFonts w:hint="eastAsia"/>
          <w:sz w:val="24"/>
          <w:szCs w:val="24"/>
        </w:rPr>
        <w:t>地址：北京市石景山区老山西街</w:t>
      </w:r>
      <w:r>
        <w:rPr>
          <w:sz w:val="24"/>
          <w:szCs w:val="24"/>
        </w:rPr>
        <w:t>6</w:t>
      </w:r>
      <w:r>
        <w:rPr>
          <w:rFonts w:hint="eastAsia"/>
          <w:sz w:val="24"/>
          <w:szCs w:val="24"/>
        </w:rPr>
        <w:t>号</w:t>
      </w:r>
    </w:p>
    <w:p>
      <w:pPr>
        <w:widowControl/>
        <w:spacing w:line="336" w:lineRule="auto"/>
        <w:ind w:right="-20"/>
        <w:textAlignment w:val="bottom"/>
        <w:rPr>
          <w:sz w:val="24"/>
          <w:szCs w:val="24"/>
          <w:lang w:val="en-US" w:eastAsia="zh-CN"/>
        </w:rPr>
      </w:pPr>
      <w:r>
        <w:rPr>
          <w:rFonts w:hint="eastAsia"/>
          <w:sz w:val="24"/>
          <w:szCs w:val="24"/>
        </w:rPr>
        <w:t>联系人：</w:t>
      </w:r>
    </w:p>
    <w:p>
      <w:pPr>
        <w:widowControl/>
        <w:spacing w:line="360" w:lineRule="auto"/>
        <w:rPr>
          <w:sz w:val="24"/>
          <w:szCs w:val="24"/>
          <w:lang w:eastAsia="zh-CN"/>
        </w:rPr>
      </w:pPr>
      <w:r>
        <w:rPr>
          <w:rFonts w:hint="eastAsia"/>
          <w:sz w:val="24"/>
          <w:szCs w:val="24"/>
        </w:rPr>
        <w:t>电话：</w:t>
      </w:r>
    </w:p>
    <w:p>
      <w:pPr>
        <w:widowControl/>
        <w:spacing w:line="360" w:lineRule="auto"/>
        <w:rPr>
          <w:sz w:val="24"/>
          <w:szCs w:val="24"/>
          <w:lang w:eastAsia="zh-CN"/>
        </w:rPr>
      </w:pPr>
    </w:p>
    <w:p>
      <w:pPr>
        <w:widowControl/>
        <w:spacing w:line="360" w:lineRule="auto"/>
        <w:rPr>
          <w:sz w:val="24"/>
          <w:szCs w:val="24"/>
          <w:lang w:eastAsia="zh-CN"/>
        </w:rPr>
      </w:pPr>
    </w:p>
    <w:p>
      <w:pPr>
        <w:widowControl/>
        <w:spacing w:line="360" w:lineRule="auto"/>
        <w:rPr>
          <w:sz w:val="24"/>
          <w:szCs w:val="24"/>
          <w:lang w:eastAsia="zh-CN"/>
        </w:rPr>
      </w:pPr>
    </w:p>
    <w:p>
      <w:pPr>
        <w:widowControl/>
        <w:spacing w:line="360" w:lineRule="auto"/>
        <w:rPr>
          <w:sz w:val="24"/>
          <w:szCs w:val="24"/>
          <w:lang w:eastAsia="zh-CN"/>
        </w:rPr>
      </w:pPr>
    </w:p>
    <w:p>
      <w:pPr>
        <w:widowControl/>
        <w:spacing w:line="360" w:lineRule="auto"/>
        <w:rPr>
          <w:sz w:val="24"/>
          <w:szCs w:val="24"/>
          <w:lang w:eastAsia="zh-CN"/>
        </w:rPr>
      </w:pPr>
    </w:p>
    <w:p>
      <w:pPr>
        <w:widowControl/>
        <w:spacing w:line="360" w:lineRule="auto"/>
        <w:rPr>
          <w:sz w:val="24"/>
          <w:szCs w:val="24"/>
          <w:lang w:eastAsia="zh-CN"/>
        </w:rPr>
      </w:pPr>
    </w:p>
    <w:p>
      <w:pPr>
        <w:widowControl/>
        <w:spacing w:line="360" w:lineRule="auto"/>
        <w:rPr>
          <w:sz w:val="24"/>
          <w:szCs w:val="24"/>
          <w:lang w:eastAsia="zh-CN"/>
        </w:rPr>
      </w:pPr>
    </w:p>
    <w:p>
      <w:pPr>
        <w:widowControl/>
        <w:spacing w:line="360" w:lineRule="auto"/>
        <w:rPr>
          <w:sz w:val="24"/>
          <w:szCs w:val="24"/>
          <w:lang w:eastAsia="zh-CN"/>
        </w:rPr>
      </w:pPr>
    </w:p>
    <w:p>
      <w:pPr>
        <w:widowControl/>
        <w:spacing w:line="360" w:lineRule="auto"/>
        <w:rPr>
          <w:sz w:val="24"/>
          <w:szCs w:val="24"/>
          <w:lang w:eastAsia="zh-CN"/>
        </w:rPr>
      </w:pPr>
    </w:p>
    <w:p>
      <w:pPr>
        <w:widowControl/>
        <w:spacing w:line="360" w:lineRule="auto"/>
        <w:rPr>
          <w:sz w:val="24"/>
          <w:szCs w:val="24"/>
          <w:lang w:eastAsia="zh-CN"/>
        </w:rPr>
      </w:pPr>
    </w:p>
    <w:p>
      <w:pPr>
        <w:widowControl/>
        <w:spacing w:line="360" w:lineRule="auto"/>
        <w:rPr>
          <w:sz w:val="24"/>
          <w:szCs w:val="24"/>
          <w:lang w:eastAsia="zh-CN"/>
        </w:rPr>
      </w:pPr>
    </w:p>
    <w:p>
      <w:pPr>
        <w:widowControl/>
        <w:spacing w:line="360" w:lineRule="auto"/>
        <w:rPr>
          <w:sz w:val="24"/>
          <w:szCs w:val="24"/>
          <w:lang w:eastAsia="zh-CN"/>
        </w:rPr>
      </w:pPr>
    </w:p>
    <w:p>
      <w:pPr>
        <w:widowControl/>
        <w:spacing w:line="360" w:lineRule="auto"/>
        <w:rPr>
          <w:sz w:val="24"/>
          <w:szCs w:val="24"/>
          <w:lang w:eastAsia="zh-CN"/>
        </w:rPr>
      </w:pPr>
    </w:p>
    <w:p>
      <w:pPr>
        <w:widowControl/>
        <w:spacing w:line="360" w:lineRule="auto"/>
        <w:rPr>
          <w:sz w:val="24"/>
          <w:szCs w:val="24"/>
          <w:lang w:eastAsia="zh-CN"/>
        </w:rPr>
      </w:pPr>
    </w:p>
    <w:p>
      <w:pPr>
        <w:widowControl/>
        <w:spacing w:line="360" w:lineRule="auto"/>
        <w:rPr>
          <w:lang w:eastAsia="zh-CN"/>
        </w:rPr>
      </w:pPr>
    </w:p>
    <w:p>
      <w:pPr>
        <w:widowControl/>
        <w:spacing w:line="360" w:lineRule="auto"/>
        <w:rPr>
          <w:lang w:eastAsia="zh-CN"/>
        </w:rPr>
      </w:pPr>
    </w:p>
    <w:p>
      <w:pPr>
        <w:jc w:val="center"/>
      </w:pPr>
      <w:r>
        <w:rPr>
          <w:rFonts w:hint="eastAsia"/>
          <w:b/>
          <w:bCs/>
          <w:kern w:val="44"/>
          <w:sz w:val="30"/>
          <w:szCs w:val="44"/>
        </w:rPr>
        <w:t>第二部分</w:t>
      </w:r>
      <w:r>
        <w:rPr>
          <w:b/>
          <w:bCs/>
          <w:kern w:val="44"/>
          <w:sz w:val="30"/>
          <w:szCs w:val="44"/>
        </w:rPr>
        <w:t xml:space="preserve">  </w:t>
      </w:r>
      <w:r>
        <w:rPr>
          <w:rFonts w:hint="eastAsia"/>
          <w:b/>
          <w:bCs/>
          <w:kern w:val="44"/>
          <w:sz w:val="30"/>
          <w:szCs w:val="44"/>
        </w:rPr>
        <w:t>谈判须知前附表</w:t>
      </w:r>
    </w:p>
    <w:p>
      <w:pPr>
        <w:ind w:firstLine="110" w:firstLineChars="50"/>
        <w:rPr>
          <w:sz w:val="28"/>
          <w:szCs w:val="20"/>
        </w:rPr>
      </w:pPr>
      <w:r>
        <w:rPr>
          <w:rFonts w:hint="eastAsia"/>
        </w:rPr>
        <w:t>要求所有材料如未注明原件，则应提供复印件并加盖谈判承包人公章</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291"/>
        <w:gridCol w:w="709"/>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652" w:type="dxa"/>
            <w:vAlign w:val="center"/>
          </w:tcPr>
          <w:p>
            <w:pPr>
              <w:snapToGrid w:val="0"/>
              <w:jc w:val="center"/>
              <w:rPr>
                <w:b/>
                <w:szCs w:val="28"/>
              </w:rPr>
            </w:pPr>
            <w:r>
              <w:rPr>
                <w:rFonts w:hint="eastAsia"/>
                <w:b/>
                <w:szCs w:val="28"/>
              </w:rPr>
              <w:t>序号</w:t>
            </w:r>
          </w:p>
        </w:tc>
        <w:tc>
          <w:tcPr>
            <w:tcW w:w="2291" w:type="dxa"/>
            <w:vAlign w:val="center"/>
          </w:tcPr>
          <w:p>
            <w:pPr>
              <w:snapToGrid w:val="0"/>
              <w:jc w:val="center"/>
              <w:rPr>
                <w:b/>
                <w:szCs w:val="28"/>
              </w:rPr>
            </w:pPr>
            <w:r>
              <w:rPr>
                <w:rFonts w:hint="eastAsia"/>
                <w:b/>
                <w:szCs w:val="28"/>
              </w:rPr>
              <w:t>内容</w:t>
            </w:r>
          </w:p>
        </w:tc>
        <w:tc>
          <w:tcPr>
            <w:tcW w:w="709" w:type="dxa"/>
            <w:vAlign w:val="center"/>
          </w:tcPr>
          <w:p>
            <w:pPr>
              <w:snapToGrid w:val="0"/>
              <w:jc w:val="center"/>
              <w:rPr>
                <w:b/>
              </w:rPr>
            </w:pPr>
            <w:r>
              <w:rPr>
                <w:rFonts w:hint="eastAsia"/>
                <w:b/>
              </w:rPr>
              <w:t>对应</w:t>
            </w:r>
          </w:p>
          <w:p>
            <w:pPr>
              <w:snapToGrid w:val="0"/>
              <w:jc w:val="center"/>
              <w:rPr>
                <w:b/>
                <w:szCs w:val="28"/>
              </w:rPr>
            </w:pPr>
            <w:r>
              <w:rPr>
                <w:rFonts w:hint="eastAsia"/>
                <w:b/>
              </w:rPr>
              <w:t>条款号</w:t>
            </w:r>
          </w:p>
        </w:tc>
        <w:tc>
          <w:tcPr>
            <w:tcW w:w="4870" w:type="dxa"/>
            <w:vAlign w:val="center"/>
          </w:tcPr>
          <w:p>
            <w:pPr>
              <w:pStyle w:val="9"/>
              <w:snapToGrid w:val="0"/>
              <w:spacing w:before="120" w:after="120"/>
              <w:jc w:val="center"/>
              <w:rPr>
                <w:rFonts w:hAnsi="宋体" w:cs="Helv"/>
                <w:b/>
                <w:kern w:val="2"/>
                <w:szCs w:val="28"/>
              </w:rPr>
            </w:pPr>
            <w:r>
              <w:rPr>
                <w:rFonts w:hint="eastAsia" w:hAnsi="宋体" w:cs="Helv"/>
                <w:b/>
                <w:kern w:val="2"/>
                <w:sz w:val="24"/>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52" w:type="dxa"/>
            <w:vAlign w:val="center"/>
          </w:tcPr>
          <w:p>
            <w:pPr>
              <w:jc w:val="center"/>
              <w:rPr>
                <w:sz w:val="21"/>
                <w:szCs w:val="21"/>
              </w:rPr>
            </w:pPr>
            <w:r>
              <w:rPr>
                <w:sz w:val="21"/>
                <w:szCs w:val="21"/>
              </w:rPr>
              <w:t>1</w:t>
            </w:r>
          </w:p>
        </w:tc>
        <w:tc>
          <w:tcPr>
            <w:tcW w:w="2291" w:type="dxa"/>
            <w:vAlign w:val="center"/>
          </w:tcPr>
          <w:p>
            <w:pPr>
              <w:jc w:val="center"/>
              <w:rPr>
                <w:sz w:val="21"/>
                <w:szCs w:val="21"/>
              </w:rPr>
            </w:pPr>
            <w:r>
              <w:rPr>
                <w:rFonts w:hint="eastAsia"/>
                <w:sz w:val="21"/>
                <w:szCs w:val="21"/>
              </w:rPr>
              <w:t>采购人名称</w:t>
            </w:r>
          </w:p>
        </w:tc>
        <w:tc>
          <w:tcPr>
            <w:tcW w:w="709" w:type="dxa"/>
            <w:vAlign w:val="center"/>
          </w:tcPr>
          <w:p>
            <w:pPr>
              <w:jc w:val="center"/>
              <w:rPr>
                <w:rFonts w:cs="Helv"/>
                <w:sz w:val="21"/>
                <w:szCs w:val="21"/>
              </w:rPr>
            </w:pPr>
            <w:r>
              <w:rPr>
                <w:rFonts w:cs="Helv"/>
                <w:sz w:val="21"/>
                <w:szCs w:val="21"/>
              </w:rPr>
              <w:t>3.1.1</w:t>
            </w:r>
          </w:p>
        </w:tc>
        <w:tc>
          <w:tcPr>
            <w:tcW w:w="4870" w:type="dxa"/>
            <w:vAlign w:val="center"/>
          </w:tcPr>
          <w:p>
            <w:pPr>
              <w:jc w:val="both"/>
              <w:rPr>
                <w:rFonts w:cs="Helv"/>
                <w:sz w:val="21"/>
                <w:szCs w:val="21"/>
              </w:rPr>
            </w:pPr>
            <w:r>
              <w:rPr>
                <w:rFonts w:hint="eastAsia" w:cs="Helv"/>
                <w:sz w:val="21"/>
                <w:szCs w:val="21"/>
              </w:rPr>
              <w:t>国家体育总局自行车击剑运动管理中心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652" w:type="dxa"/>
            <w:vAlign w:val="center"/>
          </w:tcPr>
          <w:p>
            <w:pPr>
              <w:jc w:val="center"/>
              <w:rPr>
                <w:bCs/>
                <w:sz w:val="21"/>
                <w:szCs w:val="21"/>
              </w:rPr>
            </w:pPr>
            <w:r>
              <w:rPr>
                <w:bCs/>
                <w:sz w:val="21"/>
                <w:szCs w:val="21"/>
              </w:rPr>
              <w:t>2</w:t>
            </w:r>
          </w:p>
        </w:tc>
        <w:tc>
          <w:tcPr>
            <w:tcW w:w="2291" w:type="dxa"/>
            <w:vAlign w:val="center"/>
          </w:tcPr>
          <w:p>
            <w:pPr>
              <w:jc w:val="center"/>
              <w:rPr>
                <w:sz w:val="21"/>
                <w:szCs w:val="21"/>
              </w:rPr>
            </w:pPr>
            <w:r>
              <w:rPr>
                <w:rFonts w:hint="eastAsia"/>
                <w:sz w:val="21"/>
                <w:szCs w:val="21"/>
              </w:rPr>
              <w:t>谈判承包人的</w:t>
            </w:r>
            <w:r>
              <w:rPr>
                <w:sz w:val="21"/>
                <w:szCs w:val="21"/>
              </w:rPr>
              <w:t xml:space="preserve">      </w:t>
            </w:r>
            <w:r>
              <w:rPr>
                <w:rFonts w:hint="eastAsia"/>
                <w:sz w:val="21"/>
                <w:szCs w:val="21"/>
              </w:rPr>
              <w:t>资格要求</w:t>
            </w:r>
          </w:p>
        </w:tc>
        <w:tc>
          <w:tcPr>
            <w:tcW w:w="709" w:type="dxa"/>
            <w:vAlign w:val="center"/>
          </w:tcPr>
          <w:p>
            <w:pPr>
              <w:jc w:val="center"/>
              <w:rPr>
                <w:rFonts w:cs="Helv"/>
                <w:bCs/>
                <w:sz w:val="21"/>
                <w:szCs w:val="21"/>
              </w:rPr>
            </w:pPr>
            <w:r>
              <w:rPr>
                <w:rFonts w:cs="Helv"/>
                <w:bCs/>
                <w:sz w:val="21"/>
                <w:szCs w:val="21"/>
              </w:rPr>
              <w:t>3.2.2</w:t>
            </w:r>
          </w:p>
        </w:tc>
        <w:tc>
          <w:tcPr>
            <w:tcW w:w="4870" w:type="dxa"/>
            <w:vAlign w:val="center"/>
          </w:tcPr>
          <w:p>
            <w:pPr>
              <w:pStyle w:val="9"/>
              <w:snapToGrid w:val="0"/>
              <w:spacing w:before="120" w:after="120" w:line="300" w:lineRule="exact"/>
              <w:rPr>
                <w:rFonts w:hAnsi="宋体"/>
                <w:bCs/>
                <w:sz w:val="24"/>
                <w:szCs w:val="24"/>
              </w:rPr>
            </w:pPr>
            <w:r>
              <w:rPr>
                <w:rFonts w:hint="eastAsia" w:hAnsi="宋体"/>
                <w:bCs/>
                <w:sz w:val="24"/>
                <w:szCs w:val="24"/>
              </w:rPr>
              <w:t>投标人须在中华人民共和国境内注册，能够独立承担民事责任，有生产或供应能力的本国承包人，包括法人、其他组织、自然人等。</w:t>
            </w:r>
          </w:p>
          <w:p>
            <w:pPr>
              <w:pStyle w:val="9"/>
              <w:snapToGrid w:val="0"/>
              <w:spacing w:before="120" w:after="120" w:line="300" w:lineRule="exact"/>
              <w:rPr>
                <w:rFonts w:hAnsi="宋体"/>
                <w:bCs/>
                <w:sz w:val="24"/>
                <w:szCs w:val="24"/>
              </w:rPr>
            </w:pPr>
            <w:r>
              <w:rPr>
                <w:rFonts w:hint="eastAsia" w:hAnsi="宋体"/>
                <w:bCs/>
                <w:sz w:val="24"/>
                <w:szCs w:val="24"/>
              </w:rPr>
              <w:t>单位负责人为同一人或者存在直接控股、管理关系的不同承包人，不得同时参加本项目的投标活动。</w:t>
            </w:r>
          </w:p>
          <w:p>
            <w:pPr>
              <w:pStyle w:val="9"/>
              <w:snapToGrid w:val="0"/>
              <w:spacing w:before="120" w:after="120" w:line="300" w:lineRule="exact"/>
              <w:rPr>
                <w:rFonts w:hAnsi="宋体"/>
                <w:bCs/>
                <w:sz w:val="24"/>
                <w:szCs w:val="24"/>
              </w:rPr>
            </w:pPr>
            <w:r>
              <w:rPr>
                <w:rFonts w:hint="eastAsia" w:hAnsi="宋体"/>
                <w:bCs/>
                <w:sz w:val="24"/>
                <w:szCs w:val="24"/>
              </w:rPr>
              <w:t>凡受托为采购本次谈判的工程进行设计、编制规范和其他文件的咨询公司，不得参加投标。</w:t>
            </w:r>
          </w:p>
          <w:p>
            <w:pPr>
              <w:pStyle w:val="9"/>
              <w:snapToGrid w:val="0"/>
              <w:spacing w:before="120" w:after="120" w:line="300" w:lineRule="exact"/>
              <w:rPr>
                <w:rFonts w:hAnsi="宋体"/>
                <w:bCs/>
                <w:sz w:val="24"/>
                <w:szCs w:val="24"/>
              </w:rPr>
            </w:pPr>
            <w:r>
              <w:rPr>
                <w:rFonts w:hint="eastAsia" w:hAnsi="宋体"/>
                <w:bCs/>
                <w:sz w:val="24"/>
                <w:szCs w:val="24"/>
              </w:rPr>
              <w:t>符合政府采购法第</w:t>
            </w:r>
            <w:r>
              <w:rPr>
                <w:rFonts w:hAnsi="宋体"/>
                <w:bCs/>
                <w:sz w:val="24"/>
                <w:szCs w:val="24"/>
              </w:rPr>
              <w:t xml:space="preserve"> 22 </w:t>
            </w:r>
            <w:r>
              <w:rPr>
                <w:rFonts w:hint="eastAsia" w:hAnsi="宋体"/>
                <w:bCs/>
                <w:sz w:val="24"/>
                <w:szCs w:val="24"/>
              </w:rPr>
              <w:t>条规定及以下条件：</w:t>
            </w:r>
            <w:r>
              <w:rPr>
                <w:rFonts w:hAnsi="宋体"/>
                <w:bCs/>
                <w:sz w:val="24"/>
                <w:szCs w:val="24"/>
              </w:rPr>
              <w:t xml:space="preserve"> </w:t>
            </w:r>
          </w:p>
          <w:p>
            <w:pPr>
              <w:pStyle w:val="9"/>
              <w:snapToGrid w:val="0"/>
              <w:spacing w:before="120" w:after="120" w:line="300" w:lineRule="exact"/>
              <w:rPr>
                <w:rFonts w:hAnsi="宋体"/>
                <w:bCs/>
                <w:sz w:val="24"/>
                <w:szCs w:val="24"/>
              </w:rPr>
            </w:pPr>
            <w:r>
              <w:rPr>
                <w:rFonts w:hint="eastAsia" w:hAnsi="宋体"/>
                <w:bCs/>
                <w:sz w:val="24"/>
                <w:szCs w:val="24"/>
              </w:rPr>
              <w:t>（</w:t>
            </w:r>
            <w:r>
              <w:rPr>
                <w:rFonts w:hAnsi="宋体"/>
                <w:bCs/>
                <w:sz w:val="24"/>
                <w:szCs w:val="24"/>
              </w:rPr>
              <w:t>1</w:t>
            </w:r>
            <w:r>
              <w:rPr>
                <w:rFonts w:hint="eastAsia" w:hAnsi="宋体"/>
                <w:bCs/>
                <w:sz w:val="24"/>
                <w:szCs w:val="24"/>
              </w:rPr>
              <w:t>）具有独立承担民事责任的能力；</w:t>
            </w:r>
            <w:r>
              <w:rPr>
                <w:rFonts w:hAnsi="宋体"/>
                <w:bCs/>
                <w:sz w:val="24"/>
                <w:szCs w:val="24"/>
              </w:rPr>
              <w:t xml:space="preserve"> </w:t>
            </w:r>
          </w:p>
          <w:p>
            <w:pPr>
              <w:pStyle w:val="9"/>
              <w:snapToGrid w:val="0"/>
              <w:spacing w:before="120" w:after="120" w:line="300" w:lineRule="exact"/>
              <w:rPr>
                <w:rFonts w:hAnsi="宋体"/>
                <w:bCs/>
                <w:sz w:val="24"/>
                <w:szCs w:val="24"/>
              </w:rPr>
            </w:pPr>
            <w:r>
              <w:rPr>
                <w:rFonts w:hint="eastAsia" w:hAnsi="宋体"/>
                <w:bCs/>
                <w:sz w:val="24"/>
                <w:szCs w:val="24"/>
              </w:rPr>
              <w:t>（</w:t>
            </w:r>
            <w:r>
              <w:rPr>
                <w:rFonts w:hAnsi="宋体"/>
                <w:bCs/>
                <w:sz w:val="24"/>
                <w:szCs w:val="24"/>
              </w:rPr>
              <w:t>2</w:t>
            </w:r>
            <w:r>
              <w:rPr>
                <w:rFonts w:hint="eastAsia" w:hAnsi="宋体"/>
                <w:bCs/>
                <w:sz w:val="24"/>
                <w:szCs w:val="24"/>
              </w:rPr>
              <w:t>）具有良好的商业信誉和健全的财务会计制度；</w:t>
            </w:r>
            <w:r>
              <w:rPr>
                <w:rFonts w:hAnsi="宋体"/>
                <w:bCs/>
                <w:sz w:val="24"/>
                <w:szCs w:val="24"/>
              </w:rPr>
              <w:t xml:space="preserve"> </w:t>
            </w:r>
          </w:p>
          <w:p>
            <w:pPr>
              <w:pStyle w:val="9"/>
              <w:snapToGrid w:val="0"/>
              <w:spacing w:before="120" w:after="120" w:line="300" w:lineRule="exact"/>
              <w:rPr>
                <w:rFonts w:hAnsi="宋体"/>
                <w:bCs/>
                <w:sz w:val="24"/>
                <w:szCs w:val="24"/>
              </w:rPr>
            </w:pPr>
            <w:r>
              <w:rPr>
                <w:rFonts w:hint="eastAsia" w:hAnsi="宋体"/>
                <w:bCs/>
                <w:sz w:val="24"/>
                <w:szCs w:val="24"/>
              </w:rPr>
              <w:t>（</w:t>
            </w:r>
            <w:r>
              <w:rPr>
                <w:rFonts w:hAnsi="宋体"/>
                <w:bCs/>
                <w:sz w:val="24"/>
                <w:szCs w:val="24"/>
              </w:rPr>
              <w:t>3</w:t>
            </w:r>
            <w:r>
              <w:rPr>
                <w:rFonts w:hint="eastAsia" w:hAnsi="宋体"/>
                <w:bCs/>
                <w:sz w:val="24"/>
                <w:szCs w:val="24"/>
              </w:rPr>
              <w:t>）有依法缴纳税收和社会保障资金的良好记录；</w:t>
            </w:r>
            <w:r>
              <w:rPr>
                <w:rFonts w:hAnsi="宋体"/>
                <w:bCs/>
                <w:sz w:val="24"/>
                <w:szCs w:val="24"/>
              </w:rPr>
              <w:t xml:space="preserve"> </w:t>
            </w:r>
          </w:p>
          <w:p>
            <w:pPr>
              <w:pStyle w:val="9"/>
              <w:snapToGrid w:val="0"/>
              <w:spacing w:before="120" w:after="120" w:line="300" w:lineRule="exact"/>
              <w:rPr>
                <w:rFonts w:hAnsi="宋体"/>
                <w:bCs/>
                <w:sz w:val="24"/>
                <w:szCs w:val="24"/>
              </w:rPr>
            </w:pPr>
            <w:r>
              <w:rPr>
                <w:rFonts w:hint="eastAsia" w:hAnsi="宋体"/>
                <w:bCs/>
                <w:sz w:val="24"/>
                <w:szCs w:val="24"/>
              </w:rPr>
              <w:t>（</w:t>
            </w:r>
            <w:r>
              <w:rPr>
                <w:rFonts w:hAnsi="宋体"/>
                <w:bCs/>
                <w:sz w:val="24"/>
                <w:szCs w:val="24"/>
              </w:rPr>
              <w:t>4</w:t>
            </w:r>
            <w:r>
              <w:rPr>
                <w:rFonts w:hint="eastAsia" w:hAnsi="宋体"/>
                <w:bCs/>
                <w:sz w:val="24"/>
                <w:szCs w:val="24"/>
              </w:rPr>
              <w:t>）参加政府采购活动前三年内，在经营活动中没有重大违法记录；</w:t>
            </w:r>
            <w:r>
              <w:rPr>
                <w:rFonts w:hAnsi="宋体"/>
                <w:bCs/>
                <w:sz w:val="24"/>
                <w:szCs w:val="24"/>
              </w:rPr>
              <w:t xml:space="preserve"> </w:t>
            </w:r>
          </w:p>
          <w:p>
            <w:pPr>
              <w:pStyle w:val="9"/>
              <w:snapToGrid w:val="0"/>
              <w:spacing w:before="120" w:after="120" w:line="300" w:lineRule="exact"/>
              <w:rPr>
                <w:rFonts w:hAnsi="宋体"/>
                <w:bCs/>
                <w:sz w:val="24"/>
                <w:szCs w:val="24"/>
              </w:rPr>
            </w:pPr>
            <w:r>
              <w:rPr>
                <w:rFonts w:hint="eastAsia" w:hAnsi="宋体"/>
                <w:bCs/>
                <w:sz w:val="24"/>
                <w:szCs w:val="24"/>
              </w:rPr>
              <w:t>（</w:t>
            </w:r>
            <w:r>
              <w:rPr>
                <w:rFonts w:hAnsi="宋体"/>
                <w:bCs/>
                <w:sz w:val="24"/>
                <w:szCs w:val="24"/>
              </w:rPr>
              <w:t>5</w:t>
            </w:r>
            <w:r>
              <w:rPr>
                <w:rFonts w:hint="eastAsia" w:hAnsi="宋体"/>
                <w:bCs/>
                <w:sz w:val="24"/>
                <w:szCs w:val="24"/>
              </w:rPr>
              <w:t>）法律、行政法规规定的其他条件；</w:t>
            </w:r>
            <w:r>
              <w:rPr>
                <w:rFonts w:hAnsi="宋体"/>
                <w:bCs/>
                <w:sz w:val="24"/>
                <w:szCs w:val="24"/>
              </w:rPr>
              <w:t xml:space="preserve"> </w:t>
            </w:r>
          </w:p>
          <w:p>
            <w:pPr>
              <w:pStyle w:val="9"/>
              <w:snapToGrid w:val="0"/>
              <w:spacing w:before="120" w:after="120" w:line="300" w:lineRule="exact"/>
              <w:rPr>
                <w:rFonts w:hAnsi="宋体"/>
                <w:bCs/>
                <w:sz w:val="24"/>
                <w:szCs w:val="24"/>
              </w:rPr>
            </w:pPr>
            <w:r>
              <w:rPr>
                <w:rFonts w:hint="eastAsia" w:hAnsi="宋体"/>
                <w:bCs/>
                <w:sz w:val="24"/>
                <w:szCs w:val="24"/>
              </w:rPr>
              <w:t>（</w:t>
            </w:r>
            <w:r>
              <w:rPr>
                <w:rFonts w:hAnsi="宋体"/>
                <w:bCs/>
                <w:sz w:val="24"/>
                <w:szCs w:val="24"/>
              </w:rPr>
              <w:t>6</w:t>
            </w:r>
            <w:r>
              <w:rPr>
                <w:rFonts w:hint="eastAsia" w:hAnsi="宋体"/>
                <w:bCs/>
                <w:sz w:val="24"/>
                <w:szCs w:val="24"/>
              </w:rPr>
              <w:t>）承包人必须为未被列入信用中国网站</w:t>
            </w:r>
            <w:r>
              <w:rPr>
                <w:rFonts w:hAnsi="宋体"/>
                <w:bCs/>
                <w:sz w:val="24"/>
                <w:szCs w:val="24"/>
              </w:rPr>
              <w:t>( www.creditchina.gov.cn)</w:t>
            </w:r>
            <w:r>
              <w:rPr>
                <w:rFonts w:hint="eastAsia" w:hAnsi="宋体"/>
                <w:bCs/>
                <w:sz w:val="24"/>
                <w:szCs w:val="24"/>
              </w:rPr>
              <w:t>、中国政府采购网</w:t>
            </w:r>
            <w:r>
              <w:rPr>
                <w:rFonts w:hAnsi="宋体"/>
                <w:bCs/>
                <w:sz w:val="24"/>
                <w:szCs w:val="24"/>
              </w:rPr>
              <w:t>( www.ccgp.gov.cn)</w:t>
            </w:r>
            <w:r>
              <w:rPr>
                <w:rFonts w:hint="eastAsia" w:hAnsi="宋体"/>
                <w:bCs/>
                <w:sz w:val="24"/>
                <w:szCs w:val="24"/>
              </w:rPr>
              <w:t>渠道信用记录失信被执行人、重大税收违法案件当事人名单、政府采购严重违法失信行为记录名单的响应人；</w:t>
            </w:r>
            <w:r>
              <w:rPr>
                <w:rFonts w:hAnsi="宋体"/>
                <w:bCs/>
                <w:sz w:val="24"/>
                <w:szCs w:val="24"/>
              </w:rPr>
              <w:t xml:space="preserve"> </w:t>
            </w:r>
          </w:p>
          <w:p>
            <w:pPr>
              <w:pStyle w:val="9"/>
              <w:snapToGrid w:val="0"/>
              <w:spacing w:before="120" w:after="120" w:line="300" w:lineRule="exact"/>
              <w:rPr>
                <w:rFonts w:hAnsi="宋体"/>
                <w:bCs/>
                <w:sz w:val="24"/>
                <w:szCs w:val="24"/>
              </w:rPr>
            </w:pPr>
            <w:r>
              <w:rPr>
                <w:rFonts w:hint="eastAsia" w:hAnsi="宋体"/>
                <w:bCs/>
                <w:sz w:val="24"/>
                <w:szCs w:val="24"/>
              </w:rPr>
              <w:t>（</w:t>
            </w:r>
            <w:r>
              <w:rPr>
                <w:rFonts w:hAnsi="宋体"/>
                <w:bCs/>
                <w:sz w:val="24"/>
                <w:szCs w:val="24"/>
              </w:rPr>
              <w:t>7</w:t>
            </w:r>
            <w:r>
              <w:rPr>
                <w:rFonts w:hint="eastAsia" w:hAnsi="宋体"/>
                <w:bCs/>
                <w:sz w:val="24"/>
                <w:szCs w:val="24"/>
              </w:rPr>
              <w:t>）本项目不接受联合体。</w:t>
            </w:r>
            <w:r>
              <w:rPr>
                <w:rFonts w:hAnsi="宋体"/>
                <w:bCs/>
                <w:sz w:val="24"/>
                <w:szCs w:val="24"/>
              </w:rPr>
              <w:t xml:space="preserve"> </w:t>
            </w:r>
          </w:p>
          <w:p>
            <w:pPr>
              <w:pStyle w:val="9"/>
              <w:snapToGrid w:val="0"/>
              <w:spacing w:before="120" w:after="120" w:line="300" w:lineRule="exact"/>
              <w:rPr>
                <w:rFonts w:hAnsi="宋体"/>
                <w:bCs/>
                <w:sz w:val="24"/>
                <w:szCs w:val="24"/>
              </w:rPr>
            </w:pPr>
            <w:r>
              <w:rPr>
                <w:rFonts w:hint="eastAsia" w:hAnsi="宋体"/>
                <w:bCs/>
                <w:sz w:val="24"/>
                <w:szCs w:val="24"/>
              </w:rPr>
              <w:t>（</w:t>
            </w:r>
            <w:r>
              <w:rPr>
                <w:rFonts w:hAnsi="宋体"/>
                <w:bCs/>
                <w:sz w:val="24"/>
                <w:szCs w:val="24"/>
              </w:rPr>
              <w:t>8</w:t>
            </w:r>
            <w:r>
              <w:rPr>
                <w:rFonts w:hint="eastAsia" w:hAnsi="宋体"/>
                <w:bCs/>
                <w:sz w:val="24"/>
                <w:szCs w:val="24"/>
              </w:rPr>
              <w:t>）具有房屋建筑工程施工总承包叁级（含）以上资质；项目经理应具有注册建造师二级（含）以上资格及有效安全</w:t>
            </w:r>
            <w:r>
              <w:rPr>
                <w:rFonts w:hAnsi="宋体"/>
                <w:bCs/>
                <w:sz w:val="24"/>
                <w:szCs w:val="24"/>
              </w:rPr>
              <w:t>B</w:t>
            </w:r>
            <w:r>
              <w:rPr>
                <w:rFonts w:hint="eastAsia" w:hAnsi="宋体"/>
                <w:bCs/>
                <w:sz w:val="24"/>
                <w:szCs w:val="24"/>
              </w:rPr>
              <w:t>本。</w:t>
            </w:r>
            <w:r>
              <w:rPr>
                <w:rFonts w:hAnsi="宋体"/>
                <w:bCs/>
                <w:sz w:val="24"/>
                <w:szCs w:val="24"/>
              </w:rPr>
              <w:t xml:space="preserve"> </w:t>
            </w:r>
          </w:p>
          <w:p>
            <w:pPr>
              <w:pStyle w:val="9"/>
              <w:snapToGrid w:val="0"/>
              <w:spacing w:before="120" w:after="120" w:line="300" w:lineRule="exact"/>
              <w:rPr>
                <w:rFonts w:hAnsi="宋体"/>
                <w:bCs/>
                <w:sz w:val="24"/>
                <w:szCs w:val="24"/>
              </w:rPr>
            </w:pPr>
            <w:r>
              <w:rPr>
                <w:rFonts w:hint="eastAsia" w:hAnsi="宋体"/>
                <w:bCs/>
                <w:sz w:val="24"/>
                <w:szCs w:val="24"/>
              </w:rPr>
              <w:t>（</w:t>
            </w:r>
            <w:r>
              <w:rPr>
                <w:rFonts w:hAnsi="宋体"/>
                <w:bCs/>
                <w:sz w:val="24"/>
                <w:szCs w:val="24"/>
              </w:rPr>
              <w:t>9</w:t>
            </w:r>
            <w:r>
              <w:rPr>
                <w:rFonts w:hint="eastAsia" w:hAnsi="宋体"/>
                <w:bCs/>
                <w:sz w:val="24"/>
                <w:szCs w:val="24"/>
              </w:rPr>
              <w:t>）承包人必须为中央政府采购网施工集中采购目录中的单位。</w:t>
            </w:r>
          </w:p>
          <w:p>
            <w:pPr>
              <w:pStyle w:val="9"/>
              <w:snapToGrid w:val="0"/>
              <w:spacing w:before="120" w:after="120" w:line="300" w:lineRule="exact"/>
              <w:rPr>
                <w:rFonts w:hAnsi="宋体"/>
                <w:bCs/>
                <w:sz w:val="24"/>
                <w:szCs w:val="24"/>
                <w:lang w:eastAsia="zh-CN"/>
              </w:rPr>
            </w:pPr>
            <w:r>
              <w:rPr>
                <w:rFonts w:hint="eastAsia" w:hAnsi="宋体"/>
                <w:bCs/>
                <w:sz w:val="24"/>
                <w:szCs w:val="24"/>
              </w:rPr>
              <w:t>（</w:t>
            </w:r>
            <w:r>
              <w:rPr>
                <w:rFonts w:hAnsi="宋体"/>
                <w:bCs/>
                <w:sz w:val="24"/>
                <w:szCs w:val="24"/>
              </w:rPr>
              <w:t>10</w:t>
            </w:r>
            <w:r>
              <w:rPr>
                <w:rFonts w:hint="eastAsia" w:hAnsi="宋体"/>
                <w:bCs/>
                <w:sz w:val="24"/>
                <w:szCs w:val="24"/>
              </w:rPr>
              <w:t>）报价必须</w:t>
            </w:r>
            <w:r>
              <w:rPr>
                <w:rFonts w:hint="eastAsia" w:hAnsi="宋体"/>
                <w:bCs/>
                <w:sz w:val="24"/>
                <w:szCs w:val="24"/>
                <w:lang w:eastAsia="zh-CN"/>
              </w:rPr>
              <w:t>不</w:t>
            </w:r>
            <w:r>
              <w:rPr>
                <w:rFonts w:hint="eastAsia" w:hAnsi="宋体"/>
                <w:bCs/>
                <w:sz w:val="24"/>
                <w:szCs w:val="24"/>
              </w:rPr>
              <w:t>低于中央政府采购网</w:t>
            </w:r>
            <w:r>
              <w:rPr>
                <w:rFonts w:hint="eastAsia" w:hAnsi="宋体"/>
                <w:bCs/>
                <w:sz w:val="24"/>
                <w:szCs w:val="24"/>
                <w:lang w:val="en-US" w:eastAsia="zh-CN"/>
              </w:rPr>
              <w:t>施工</w:t>
            </w:r>
            <w:r>
              <w:rPr>
                <w:rFonts w:hint="eastAsia" w:hAnsi="宋体"/>
                <w:bCs/>
                <w:sz w:val="24"/>
                <w:szCs w:val="24"/>
              </w:rPr>
              <w:t>集中采购目录中优惠率。</w:t>
            </w:r>
          </w:p>
          <w:p>
            <w:pPr>
              <w:spacing w:line="440" w:lineRule="exact"/>
              <w:rPr>
                <w:b/>
                <w:sz w:val="21"/>
                <w:szCs w:val="21"/>
              </w:rPr>
            </w:pPr>
            <w:r>
              <w:rPr>
                <w:b/>
                <w:bCs/>
                <w:sz w:val="24"/>
                <w:szCs w:val="24"/>
              </w:rPr>
              <w:t>*</w:t>
            </w:r>
            <w:r>
              <w:rPr>
                <w:b/>
                <w:bCs/>
                <w:sz w:val="24"/>
                <w:szCs w:val="24"/>
                <w:lang w:eastAsia="zh-CN"/>
              </w:rPr>
              <w:t xml:space="preserve"> (11)</w:t>
            </w:r>
            <w:r>
              <w:rPr>
                <w:rFonts w:hint="eastAsia"/>
                <w:b/>
                <w:bCs/>
                <w:sz w:val="24"/>
                <w:szCs w:val="24"/>
                <w:lang w:eastAsia="zh-CN"/>
              </w:rPr>
              <w:t>根据财政部文件要求</w:t>
            </w:r>
            <w:r>
              <w:rPr>
                <w:b/>
                <w:bCs/>
                <w:sz w:val="24"/>
                <w:szCs w:val="24"/>
                <w:lang w:eastAsia="zh-CN"/>
              </w:rPr>
              <w:t>,</w:t>
            </w:r>
            <w:r>
              <w:rPr>
                <w:rFonts w:hint="eastAsia"/>
                <w:b/>
                <w:bCs/>
                <w:sz w:val="24"/>
                <w:szCs w:val="24"/>
                <w:lang w:eastAsia="zh-CN"/>
              </w:rPr>
              <w:t>承包人必须为中小企业</w:t>
            </w:r>
            <w:r>
              <w:rPr>
                <w:b/>
                <w:bCs/>
                <w:sz w:val="24"/>
                <w:szCs w:val="24"/>
                <w:lang w:eastAsia="zh-CN"/>
              </w:rPr>
              <w:t>,</w:t>
            </w:r>
            <w:r>
              <w:rPr>
                <w:rFonts w:hint="eastAsia"/>
                <w:b/>
                <w:bCs/>
                <w:sz w:val="24"/>
                <w:szCs w:val="24"/>
                <w:lang w:eastAsia="zh-CN"/>
              </w:rPr>
              <w:t>并在投标时附中小企业声明。</w:t>
            </w:r>
            <w:r>
              <w:rPr>
                <w:b/>
                <w:bCs/>
                <w:sz w:val="24"/>
                <w:szCs w:val="24"/>
                <w:lang w:eastAsia="zh-CN"/>
              </w:rPr>
              <w:t>(</w:t>
            </w:r>
            <w:r>
              <w:rPr>
                <w:rFonts w:hint="eastAsia"/>
                <w:b/>
                <w:bCs/>
                <w:sz w:val="24"/>
                <w:szCs w:val="24"/>
                <w:lang w:eastAsia="zh-CN"/>
              </w:rPr>
              <w:t>样表附后</w:t>
            </w:r>
            <w:r>
              <w:rPr>
                <w:b/>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vAlign w:val="center"/>
          </w:tcPr>
          <w:p>
            <w:pPr>
              <w:jc w:val="center"/>
              <w:rPr>
                <w:bCs/>
                <w:sz w:val="21"/>
                <w:szCs w:val="21"/>
              </w:rPr>
            </w:pPr>
            <w:r>
              <w:rPr>
                <w:bCs/>
                <w:sz w:val="21"/>
                <w:szCs w:val="21"/>
                <w:lang w:eastAsia="zh-CN"/>
              </w:rPr>
              <w:t>3</w:t>
            </w:r>
          </w:p>
        </w:tc>
        <w:tc>
          <w:tcPr>
            <w:tcW w:w="2291" w:type="dxa"/>
            <w:vAlign w:val="center"/>
          </w:tcPr>
          <w:p>
            <w:pPr>
              <w:jc w:val="center"/>
              <w:rPr>
                <w:bCs/>
                <w:sz w:val="21"/>
                <w:szCs w:val="21"/>
              </w:rPr>
            </w:pPr>
            <w:r>
              <w:rPr>
                <w:rFonts w:hint="eastAsia"/>
                <w:bCs/>
                <w:sz w:val="21"/>
                <w:szCs w:val="21"/>
              </w:rPr>
              <w:t>谈判承包人应提交的</w:t>
            </w:r>
          </w:p>
          <w:p>
            <w:pPr>
              <w:jc w:val="center"/>
              <w:rPr>
                <w:bCs/>
                <w:sz w:val="21"/>
                <w:szCs w:val="21"/>
              </w:rPr>
            </w:pPr>
            <w:r>
              <w:rPr>
                <w:rFonts w:hint="eastAsia"/>
                <w:bCs/>
                <w:sz w:val="21"/>
                <w:szCs w:val="21"/>
              </w:rPr>
              <w:t>商务文件</w:t>
            </w:r>
          </w:p>
        </w:tc>
        <w:tc>
          <w:tcPr>
            <w:tcW w:w="709" w:type="dxa"/>
            <w:vAlign w:val="center"/>
          </w:tcPr>
          <w:p>
            <w:pPr>
              <w:jc w:val="center"/>
              <w:rPr>
                <w:rFonts w:cs="Helv"/>
                <w:bCs/>
                <w:sz w:val="21"/>
                <w:szCs w:val="21"/>
              </w:rPr>
            </w:pPr>
            <w:r>
              <w:rPr>
                <w:rFonts w:cs="Helv"/>
                <w:bCs/>
                <w:sz w:val="21"/>
                <w:szCs w:val="21"/>
              </w:rPr>
              <w:t>/</w:t>
            </w:r>
          </w:p>
        </w:tc>
        <w:tc>
          <w:tcPr>
            <w:tcW w:w="4870" w:type="dxa"/>
            <w:vAlign w:val="center"/>
          </w:tcPr>
          <w:p>
            <w:pPr>
              <w:pStyle w:val="9"/>
              <w:spacing w:before="120" w:after="120" w:line="360" w:lineRule="auto"/>
              <w:jc w:val="both"/>
              <w:rPr>
                <w:rFonts w:hAnsi="宋体"/>
                <w:b/>
                <w:bCs/>
                <w:sz w:val="24"/>
                <w:szCs w:val="24"/>
              </w:rPr>
            </w:pPr>
            <w:r>
              <w:rPr>
                <w:rFonts w:hint="eastAsia" w:hAnsi="宋体"/>
                <w:b/>
                <w:bCs/>
                <w:sz w:val="24"/>
                <w:szCs w:val="24"/>
              </w:rPr>
              <w:t>（</w:t>
            </w:r>
            <w:r>
              <w:rPr>
                <w:rFonts w:hAnsi="宋体"/>
                <w:b/>
                <w:bCs/>
                <w:sz w:val="24"/>
                <w:szCs w:val="24"/>
              </w:rPr>
              <w:t>1</w:t>
            </w:r>
            <w:r>
              <w:rPr>
                <w:rFonts w:hint="eastAsia" w:hAnsi="宋体"/>
                <w:b/>
                <w:bCs/>
                <w:sz w:val="24"/>
                <w:szCs w:val="24"/>
              </w:rPr>
              <w:t>）</w:t>
            </w:r>
            <w:r>
              <w:rPr>
                <w:rFonts w:hAnsi="宋体"/>
                <w:b/>
                <w:bCs/>
                <w:sz w:val="24"/>
                <w:szCs w:val="24"/>
              </w:rPr>
              <w:t>*</w:t>
            </w:r>
            <w:r>
              <w:rPr>
                <w:rFonts w:hint="eastAsia" w:hAnsi="宋体"/>
                <w:b/>
                <w:bCs/>
                <w:sz w:val="24"/>
                <w:szCs w:val="24"/>
              </w:rPr>
              <w:t>报价函</w:t>
            </w:r>
          </w:p>
          <w:p>
            <w:pPr>
              <w:pStyle w:val="9"/>
              <w:spacing w:before="120" w:after="120" w:line="360" w:lineRule="auto"/>
              <w:jc w:val="both"/>
              <w:rPr>
                <w:rFonts w:hAnsi="宋体"/>
                <w:b/>
                <w:bCs/>
                <w:sz w:val="24"/>
                <w:szCs w:val="24"/>
              </w:rPr>
            </w:pPr>
            <w:r>
              <w:rPr>
                <w:rFonts w:hint="eastAsia" w:hAnsi="宋体"/>
                <w:b/>
                <w:bCs/>
                <w:sz w:val="24"/>
                <w:szCs w:val="24"/>
              </w:rPr>
              <w:t>（</w:t>
            </w:r>
            <w:r>
              <w:rPr>
                <w:rFonts w:hAnsi="宋体"/>
                <w:b/>
                <w:bCs/>
                <w:sz w:val="24"/>
                <w:szCs w:val="24"/>
              </w:rPr>
              <w:t>2</w:t>
            </w:r>
            <w:r>
              <w:rPr>
                <w:rFonts w:hint="eastAsia" w:hAnsi="宋体"/>
                <w:b/>
                <w:bCs/>
                <w:sz w:val="24"/>
                <w:szCs w:val="24"/>
              </w:rPr>
              <w:t>）</w:t>
            </w:r>
            <w:r>
              <w:rPr>
                <w:rFonts w:hAnsi="宋体"/>
                <w:b/>
                <w:bCs/>
                <w:sz w:val="24"/>
                <w:szCs w:val="24"/>
              </w:rPr>
              <w:t>*</w:t>
            </w:r>
            <w:r>
              <w:rPr>
                <w:rFonts w:hint="eastAsia" w:hAnsi="宋体"/>
                <w:b/>
                <w:bCs/>
                <w:sz w:val="24"/>
                <w:szCs w:val="24"/>
              </w:rPr>
              <w:t>法定代表人授权委托书</w:t>
            </w:r>
          </w:p>
          <w:p>
            <w:pPr>
              <w:pStyle w:val="9"/>
              <w:spacing w:before="120" w:after="120" w:line="360" w:lineRule="auto"/>
              <w:jc w:val="both"/>
              <w:rPr>
                <w:rFonts w:hAnsi="宋体"/>
                <w:b/>
                <w:bCs/>
                <w:sz w:val="24"/>
                <w:szCs w:val="24"/>
              </w:rPr>
            </w:pPr>
            <w:r>
              <w:rPr>
                <w:rFonts w:hint="eastAsia" w:hAnsi="宋体"/>
                <w:b/>
                <w:bCs/>
                <w:sz w:val="24"/>
                <w:szCs w:val="24"/>
              </w:rPr>
              <w:t>（</w:t>
            </w:r>
            <w:r>
              <w:rPr>
                <w:rFonts w:hAnsi="宋体"/>
                <w:b/>
                <w:bCs/>
                <w:sz w:val="24"/>
                <w:szCs w:val="24"/>
              </w:rPr>
              <w:t>3</w:t>
            </w:r>
            <w:r>
              <w:rPr>
                <w:rFonts w:hint="eastAsia" w:hAnsi="宋体"/>
                <w:b/>
                <w:bCs/>
                <w:sz w:val="24"/>
                <w:szCs w:val="24"/>
              </w:rPr>
              <w:t>）</w:t>
            </w:r>
            <w:r>
              <w:rPr>
                <w:rFonts w:hAnsi="宋体"/>
                <w:b/>
                <w:bCs/>
                <w:sz w:val="24"/>
                <w:szCs w:val="24"/>
              </w:rPr>
              <w:t>*</w:t>
            </w:r>
            <w:r>
              <w:rPr>
                <w:rFonts w:hint="eastAsia" w:hAnsi="宋体"/>
                <w:b/>
                <w:bCs/>
                <w:sz w:val="24"/>
                <w:szCs w:val="24"/>
              </w:rPr>
              <w:t>营业执照</w:t>
            </w:r>
          </w:p>
          <w:p>
            <w:pPr>
              <w:pStyle w:val="9"/>
              <w:spacing w:before="120" w:after="120" w:line="360" w:lineRule="auto"/>
              <w:jc w:val="both"/>
              <w:rPr>
                <w:rFonts w:hAnsi="宋体"/>
                <w:b/>
                <w:bCs/>
                <w:sz w:val="24"/>
                <w:szCs w:val="24"/>
              </w:rPr>
            </w:pPr>
            <w:r>
              <w:rPr>
                <w:rFonts w:hint="eastAsia" w:hAnsi="宋体"/>
                <w:b/>
                <w:bCs/>
                <w:sz w:val="24"/>
                <w:szCs w:val="24"/>
              </w:rPr>
              <w:t>（</w:t>
            </w:r>
            <w:r>
              <w:rPr>
                <w:rFonts w:hAnsi="宋体"/>
                <w:b/>
                <w:bCs/>
                <w:sz w:val="24"/>
                <w:szCs w:val="24"/>
              </w:rPr>
              <w:t>4</w:t>
            </w:r>
            <w:r>
              <w:rPr>
                <w:rFonts w:hint="eastAsia" w:hAnsi="宋体"/>
                <w:b/>
                <w:bCs/>
                <w:sz w:val="24"/>
                <w:szCs w:val="24"/>
              </w:rPr>
              <w:t>）</w:t>
            </w:r>
            <w:r>
              <w:rPr>
                <w:rFonts w:hAnsi="宋体"/>
                <w:b/>
                <w:bCs/>
                <w:sz w:val="24"/>
                <w:szCs w:val="24"/>
              </w:rPr>
              <w:t>*</w:t>
            </w:r>
            <w:r>
              <w:rPr>
                <w:rFonts w:hint="eastAsia" w:hAnsi="宋体"/>
                <w:b/>
                <w:bCs/>
                <w:sz w:val="24"/>
                <w:szCs w:val="24"/>
              </w:rPr>
              <w:t>安全生产许可证</w:t>
            </w:r>
          </w:p>
          <w:p>
            <w:pPr>
              <w:pStyle w:val="9"/>
              <w:spacing w:before="120" w:after="120" w:line="360" w:lineRule="auto"/>
              <w:jc w:val="both"/>
              <w:rPr>
                <w:rFonts w:hAnsi="宋体"/>
                <w:b/>
                <w:bCs/>
                <w:color w:val="000000"/>
                <w:sz w:val="24"/>
                <w:szCs w:val="24"/>
              </w:rPr>
            </w:pPr>
            <w:r>
              <w:rPr>
                <w:rFonts w:hint="eastAsia" w:hAnsi="宋体"/>
                <w:b/>
                <w:bCs/>
                <w:sz w:val="24"/>
                <w:szCs w:val="24"/>
              </w:rPr>
              <w:t>（</w:t>
            </w:r>
            <w:r>
              <w:rPr>
                <w:rFonts w:hAnsi="宋体"/>
                <w:b/>
                <w:bCs/>
                <w:sz w:val="24"/>
                <w:szCs w:val="24"/>
              </w:rPr>
              <w:t>5</w:t>
            </w:r>
            <w:r>
              <w:rPr>
                <w:rFonts w:hint="eastAsia" w:hAnsi="宋体"/>
                <w:b/>
                <w:bCs/>
                <w:sz w:val="24"/>
                <w:szCs w:val="24"/>
              </w:rPr>
              <w:t>）</w:t>
            </w:r>
            <w:r>
              <w:rPr>
                <w:rFonts w:hAnsi="宋体"/>
                <w:b/>
                <w:bCs/>
                <w:sz w:val="24"/>
                <w:szCs w:val="24"/>
              </w:rPr>
              <w:t>*</w:t>
            </w:r>
            <w:r>
              <w:rPr>
                <w:rFonts w:hint="eastAsia" w:hAnsi="宋体"/>
                <w:b/>
                <w:bCs/>
                <w:color w:val="000000"/>
                <w:sz w:val="24"/>
                <w:szCs w:val="24"/>
              </w:rPr>
              <w:t>按照“谈判承包人的资质要求”规定提交的相关证明文件</w:t>
            </w:r>
          </w:p>
          <w:p>
            <w:pPr>
              <w:pStyle w:val="9"/>
              <w:spacing w:before="120" w:after="120" w:line="360" w:lineRule="auto"/>
              <w:jc w:val="both"/>
              <w:rPr>
                <w:rFonts w:hAnsi="宋体"/>
                <w:sz w:val="24"/>
                <w:szCs w:val="24"/>
              </w:rPr>
            </w:pPr>
            <w:r>
              <w:rPr>
                <w:rFonts w:hint="eastAsia" w:hAnsi="宋体"/>
                <w:sz w:val="24"/>
                <w:szCs w:val="24"/>
              </w:rPr>
              <w:t>（</w:t>
            </w:r>
            <w:r>
              <w:rPr>
                <w:rFonts w:hAnsi="宋体"/>
                <w:sz w:val="24"/>
                <w:szCs w:val="24"/>
              </w:rPr>
              <w:t>6</w:t>
            </w:r>
            <w:r>
              <w:rPr>
                <w:rFonts w:hint="eastAsia" w:hAnsi="宋体"/>
                <w:sz w:val="24"/>
                <w:szCs w:val="24"/>
              </w:rPr>
              <w:t>）质量管理体系认证证书、环境管理体系认证证书、职业健康安全管理体系认证证书</w:t>
            </w:r>
          </w:p>
          <w:p>
            <w:pPr>
              <w:jc w:val="both"/>
              <w:rPr>
                <w:rFonts w:cs="Helv"/>
                <w:bCs/>
                <w:sz w:val="21"/>
                <w:szCs w:val="21"/>
              </w:rPr>
            </w:pPr>
            <w:r>
              <w:rPr>
                <w:rFonts w:hint="eastAsia"/>
                <w:sz w:val="24"/>
                <w:szCs w:val="24"/>
              </w:rPr>
              <w:t>（</w:t>
            </w:r>
            <w:r>
              <w:rPr>
                <w:sz w:val="24"/>
                <w:szCs w:val="24"/>
              </w:rPr>
              <w:t>7</w:t>
            </w:r>
            <w:r>
              <w:rPr>
                <w:rFonts w:hint="eastAsia"/>
                <w:sz w:val="24"/>
                <w:szCs w:val="24"/>
              </w:rPr>
              <w:t>）工程量清单报价：工程报价说明、报价汇总表、工程量清单计价表、工程量清单综合单价分析表、措施项目清单计价表、单位工程人机材汇总表等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dxa"/>
            <w:vAlign w:val="center"/>
          </w:tcPr>
          <w:p>
            <w:pPr>
              <w:jc w:val="center"/>
              <w:rPr>
                <w:bCs/>
                <w:sz w:val="21"/>
                <w:szCs w:val="21"/>
              </w:rPr>
            </w:pPr>
            <w:r>
              <w:rPr>
                <w:bCs/>
                <w:sz w:val="21"/>
                <w:szCs w:val="21"/>
                <w:lang w:eastAsia="zh-CN"/>
              </w:rPr>
              <w:t>4</w:t>
            </w:r>
          </w:p>
        </w:tc>
        <w:tc>
          <w:tcPr>
            <w:tcW w:w="2291" w:type="dxa"/>
            <w:vAlign w:val="center"/>
          </w:tcPr>
          <w:p>
            <w:pPr>
              <w:jc w:val="center"/>
              <w:rPr>
                <w:bCs/>
                <w:sz w:val="21"/>
                <w:szCs w:val="21"/>
              </w:rPr>
            </w:pPr>
            <w:r>
              <w:rPr>
                <w:rFonts w:hint="eastAsia"/>
                <w:bCs/>
                <w:sz w:val="21"/>
                <w:szCs w:val="21"/>
              </w:rPr>
              <w:t>谈判承包人应提交的</w:t>
            </w:r>
          </w:p>
          <w:p>
            <w:pPr>
              <w:jc w:val="center"/>
              <w:rPr>
                <w:bCs/>
                <w:sz w:val="21"/>
                <w:szCs w:val="21"/>
              </w:rPr>
            </w:pPr>
            <w:r>
              <w:rPr>
                <w:rFonts w:hint="eastAsia"/>
                <w:bCs/>
                <w:sz w:val="21"/>
                <w:szCs w:val="21"/>
              </w:rPr>
              <w:t>技术文件</w:t>
            </w:r>
          </w:p>
        </w:tc>
        <w:tc>
          <w:tcPr>
            <w:tcW w:w="709" w:type="dxa"/>
            <w:vAlign w:val="center"/>
          </w:tcPr>
          <w:p>
            <w:pPr>
              <w:jc w:val="center"/>
              <w:rPr>
                <w:rFonts w:cs="Helv"/>
                <w:bCs/>
                <w:sz w:val="21"/>
                <w:szCs w:val="21"/>
              </w:rPr>
            </w:pPr>
            <w:r>
              <w:rPr>
                <w:rFonts w:cs="Helv"/>
                <w:bCs/>
                <w:sz w:val="21"/>
                <w:szCs w:val="21"/>
              </w:rPr>
              <w:t>/</w:t>
            </w:r>
          </w:p>
        </w:tc>
        <w:tc>
          <w:tcPr>
            <w:tcW w:w="4870" w:type="dxa"/>
            <w:vAlign w:val="center"/>
          </w:tcPr>
          <w:p>
            <w:pPr>
              <w:spacing w:line="360" w:lineRule="auto"/>
              <w:rPr>
                <w:b/>
                <w:bCs/>
                <w:sz w:val="24"/>
                <w:szCs w:val="24"/>
              </w:rPr>
            </w:pPr>
            <w:r>
              <w:rPr>
                <w:color w:val="000000"/>
                <w:lang w:eastAsia="zh-CN"/>
              </w:rPr>
              <w:t>(</w:t>
            </w:r>
            <w:r>
              <w:rPr>
                <w:color w:val="000000"/>
                <w:sz w:val="24"/>
                <w:szCs w:val="24"/>
              </w:rPr>
              <w:t>1</w:t>
            </w:r>
            <w:r>
              <w:rPr>
                <w:rFonts w:hint="eastAsia"/>
                <w:color w:val="000000"/>
                <w:sz w:val="24"/>
                <w:szCs w:val="24"/>
              </w:rPr>
              <w:t>）工程施工组织设计</w:t>
            </w:r>
          </w:p>
          <w:p>
            <w:pPr>
              <w:spacing w:line="360" w:lineRule="auto"/>
              <w:rPr>
                <w:color w:val="000000"/>
                <w:sz w:val="24"/>
                <w:szCs w:val="24"/>
              </w:rPr>
            </w:pPr>
            <w:r>
              <w:rPr>
                <w:rFonts w:hint="eastAsia"/>
                <w:color w:val="000000"/>
                <w:sz w:val="24"/>
                <w:szCs w:val="24"/>
              </w:rPr>
              <w:t>（</w:t>
            </w:r>
            <w:r>
              <w:rPr>
                <w:color w:val="000000"/>
                <w:sz w:val="24"/>
                <w:szCs w:val="24"/>
              </w:rPr>
              <w:t>2</w:t>
            </w:r>
            <w:r>
              <w:rPr>
                <w:rFonts w:hint="eastAsia"/>
                <w:color w:val="000000"/>
                <w:sz w:val="24"/>
                <w:szCs w:val="24"/>
              </w:rPr>
              <w:t>）项目组织管理机构、拟派项目经理、主要技术人员</w:t>
            </w:r>
          </w:p>
          <w:p>
            <w:pPr>
              <w:spacing w:line="360" w:lineRule="auto"/>
              <w:rPr>
                <w:sz w:val="24"/>
                <w:szCs w:val="24"/>
              </w:rPr>
            </w:pPr>
            <w:r>
              <w:rPr>
                <w:rFonts w:hint="eastAsia"/>
                <w:sz w:val="24"/>
                <w:szCs w:val="24"/>
              </w:rPr>
              <w:t>（</w:t>
            </w:r>
            <w:r>
              <w:rPr>
                <w:sz w:val="24"/>
                <w:szCs w:val="24"/>
              </w:rPr>
              <w:t>3</w:t>
            </w:r>
            <w:r>
              <w:rPr>
                <w:rFonts w:hint="eastAsia"/>
                <w:sz w:val="24"/>
                <w:szCs w:val="24"/>
              </w:rPr>
              <w:t>）</w:t>
            </w:r>
            <w:r>
              <w:rPr>
                <w:rFonts w:hint="eastAsia"/>
                <w:color w:val="000000"/>
                <w:sz w:val="24"/>
                <w:szCs w:val="24"/>
              </w:rPr>
              <w:t>拟投入主要施工机械设备</w:t>
            </w:r>
          </w:p>
          <w:p>
            <w:pPr>
              <w:spacing w:line="360" w:lineRule="auto"/>
              <w:rPr>
                <w:color w:val="000000"/>
                <w:sz w:val="24"/>
                <w:szCs w:val="24"/>
              </w:rPr>
            </w:pPr>
            <w:r>
              <w:rPr>
                <w:rFonts w:hint="eastAsia"/>
                <w:color w:val="000000"/>
                <w:sz w:val="24"/>
                <w:szCs w:val="24"/>
              </w:rPr>
              <w:t>（</w:t>
            </w:r>
            <w:r>
              <w:rPr>
                <w:color w:val="000000"/>
                <w:sz w:val="24"/>
                <w:szCs w:val="24"/>
              </w:rPr>
              <w:t>4</w:t>
            </w:r>
            <w:r>
              <w:rPr>
                <w:rFonts w:hint="eastAsia"/>
                <w:color w:val="000000"/>
                <w:sz w:val="24"/>
                <w:szCs w:val="24"/>
              </w:rPr>
              <w:t>）企业</w:t>
            </w:r>
            <w:r>
              <w:rPr>
                <w:rFonts w:hint="eastAsia"/>
                <w:color w:val="000000"/>
                <w:sz w:val="24"/>
                <w:szCs w:val="24"/>
                <w:lang w:eastAsia="zh-CN"/>
              </w:rPr>
              <w:t>近两年此类别项目</w:t>
            </w:r>
            <w:r>
              <w:rPr>
                <w:color w:val="000000"/>
                <w:sz w:val="24"/>
                <w:szCs w:val="24"/>
                <w:lang w:eastAsia="zh-CN"/>
              </w:rPr>
              <w:t>100</w:t>
            </w:r>
            <w:r>
              <w:rPr>
                <w:rFonts w:hint="eastAsia"/>
                <w:color w:val="000000"/>
                <w:sz w:val="24"/>
                <w:szCs w:val="24"/>
                <w:lang w:eastAsia="zh-CN"/>
              </w:rPr>
              <w:t>万元以上</w:t>
            </w:r>
            <w:r>
              <w:rPr>
                <w:rFonts w:hint="eastAsia"/>
                <w:color w:val="000000"/>
                <w:sz w:val="24"/>
                <w:szCs w:val="24"/>
              </w:rPr>
              <w:t>业绩</w:t>
            </w:r>
          </w:p>
          <w:p>
            <w:pPr>
              <w:jc w:val="both"/>
              <w:rPr>
                <w:sz w:val="21"/>
                <w:szCs w:val="21"/>
              </w:rPr>
            </w:pPr>
            <w:r>
              <w:rPr>
                <w:rFonts w:hint="eastAsia"/>
                <w:sz w:val="24"/>
                <w:szCs w:val="24"/>
              </w:rPr>
              <w:t>（</w:t>
            </w:r>
            <w:r>
              <w:rPr>
                <w:sz w:val="24"/>
                <w:szCs w:val="24"/>
              </w:rPr>
              <w:t>5</w:t>
            </w:r>
            <w:r>
              <w:rPr>
                <w:rFonts w:hint="eastAsia"/>
                <w:sz w:val="24"/>
                <w:szCs w:val="24"/>
              </w:rPr>
              <w:t>）谈判承包人认为需要提供的其它说明和资料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52" w:type="dxa"/>
            <w:vAlign w:val="center"/>
          </w:tcPr>
          <w:p>
            <w:pPr>
              <w:jc w:val="center"/>
              <w:rPr>
                <w:bCs/>
                <w:sz w:val="21"/>
                <w:szCs w:val="21"/>
              </w:rPr>
            </w:pPr>
            <w:r>
              <w:rPr>
                <w:bCs/>
                <w:sz w:val="21"/>
                <w:szCs w:val="21"/>
                <w:lang w:eastAsia="zh-CN"/>
              </w:rPr>
              <w:t>5</w:t>
            </w:r>
          </w:p>
        </w:tc>
        <w:tc>
          <w:tcPr>
            <w:tcW w:w="2291" w:type="dxa"/>
            <w:vAlign w:val="center"/>
          </w:tcPr>
          <w:p>
            <w:pPr>
              <w:jc w:val="center"/>
              <w:rPr>
                <w:bCs/>
                <w:sz w:val="21"/>
                <w:szCs w:val="21"/>
              </w:rPr>
            </w:pPr>
            <w:r>
              <w:rPr>
                <w:rFonts w:hint="eastAsia"/>
                <w:bCs/>
                <w:sz w:val="21"/>
                <w:szCs w:val="21"/>
              </w:rPr>
              <w:t>响应保证金额</w:t>
            </w:r>
          </w:p>
        </w:tc>
        <w:tc>
          <w:tcPr>
            <w:tcW w:w="709" w:type="dxa"/>
            <w:vAlign w:val="center"/>
          </w:tcPr>
          <w:p>
            <w:pPr>
              <w:jc w:val="center"/>
              <w:rPr>
                <w:rFonts w:cs="Helv"/>
                <w:bCs/>
                <w:sz w:val="21"/>
                <w:szCs w:val="21"/>
              </w:rPr>
            </w:pPr>
            <w:r>
              <w:rPr>
                <w:rFonts w:cs="Helv"/>
                <w:bCs/>
                <w:sz w:val="21"/>
                <w:szCs w:val="21"/>
              </w:rPr>
              <w:t>3.13</w:t>
            </w:r>
          </w:p>
        </w:tc>
        <w:tc>
          <w:tcPr>
            <w:tcW w:w="4870" w:type="dxa"/>
            <w:vAlign w:val="center"/>
          </w:tcPr>
          <w:p>
            <w:pPr>
              <w:jc w:val="both"/>
              <w:rPr>
                <w:rFonts w:cs="Helv"/>
                <w:sz w:val="21"/>
                <w:szCs w:val="21"/>
              </w:rPr>
            </w:pPr>
            <w:r>
              <w:rPr>
                <w:rFonts w:hint="eastAsia" w:cs="Helv"/>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52" w:type="dxa"/>
            <w:vAlign w:val="center"/>
          </w:tcPr>
          <w:p>
            <w:pPr>
              <w:jc w:val="center"/>
              <w:rPr>
                <w:bCs/>
                <w:sz w:val="21"/>
                <w:szCs w:val="21"/>
              </w:rPr>
            </w:pPr>
            <w:r>
              <w:rPr>
                <w:bCs/>
                <w:sz w:val="21"/>
                <w:szCs w:val="21"/>
                <w:lang w:eastAsia="zh-CN"/>
              </w:rPr>
              <w:t>6</w:t>
            </w:r>
          </w:p>
        </w:tc>
        <w:tc>
          <w:tcPr>
            <w:tcW w:w="2291" w:type="dxa"/>
            <w:vAlign w:val="center"/>
          </w:tcPr>
          <w:p>
            <w:pPr>
              <w:jc w:val="center"/>
              <w:rPr>
                <w:bCs/>
                <w:sz w:val="21"/>
                <w:szCs w:val="21"/>
              </w:rPr>
            </w:pPr>
            <w:r>
              <w:rPr>
                <w:rFonts w:hint="eastAsia"/>
                <w:bCs/>
                <w:sz w:val="21"/>
                <w:szCs w:val="21"/>
              </w:rPr>
              <w:t>是否接受可选择或可调整的报价</w:t>
            </w:r>
          </w:p>
        </w:tc>
        <w:tc>
          <w:tcPr>
            <w:tcW w:w="709" w:type="dxa"/>
            <w:vAlign w:val="center"/>
          </w:tcPr>
          <w:p>
            <w:pPr>
              <w:jc w:val="center"/>
              <w:rPr>
                <w:rFonts w:cs="Helv"/>
                <w:bCs/>
                <w:sz w:val="21"/>
                <w:szCs w:val="21"/>
              </w:rPr>
            </w:pPr>
            <w:r>
              <w:rPr>
                <w:rFonts w:cs="Helv"/>
                <w:bCs/>
                <w:sz w:val="21"/>
                <w:szCs w:val="21"/>
              </w:rPr>
              <w:t>/</w:t>
            </w:r>
          </w:p>
        </w:tc>
        <w:tc>
          <w:tcPr>
            <w:tcW w:w="4870" w:type="dxa"/>
            <w:vAlign w:val="center"/>
          </w:tcPr>
          <w:p>
            <w:pPr>
              <w:jc w:val="both"/>
              <w:rPr>
                <w:rFonts w:cs="Helv"/>
                <w:sz w:val="21"/>
                <w:szCs w:val="21"/>
              </w:rPr>
            </w:pPr>
            <w:r>
              <w:rPr>
                <w:rFonts w:hint="eastAsia" w:cs="Helv"/>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52" w:type="dxa"/>
            <w:vAlign w:val="center"/>
          </w:tcPr>
          <w:p>
            <w:pPr>
              <w:jc w:val="center"/>
              <w:rPr>
                <w:bCs/>
                <w:sz w:val="21"/>
                <w:szCs w:val="21"/>
              </w:rPr>
            </w:pPr>
            <w:r>
              <w:rPr>
                <w:bCs/>
                <w:sz w:val="21"/>
                <w:szCs w:val="21"/>
                <w:lang w:eastAsia="zh-CN"/>
              </w:rPr>
              <w:t>7</w:t>
            </w:r>
          </w:p>
        </w:tc>
        <w:tc>
          <w:tcPr>
            <w:tcW w:w="2291" w:type="dxa"/>
            <w:vAlign w:val="center"/>
          </w:tcPr>
          <w:p>
            <w:pPr>
              <w:jc w:val="center"/>
              <w:rPr>
                <w:bCs/>
                <w:sz w:val="21"/>
                <w:szCs w:val="21"/>
              </w:rPr>
            </w:pPr>
            <w:r>
              <w:rPr>
                <w:rFonts w:hint="eastAsia"/>
                <w:bCs/>
                <w:sz w:val="21"/>
                <w:szCs w:val="21"/>
              </w:rPr>
              <w:t>谈判响应文件有效期</w:t>
            </w:r>
          </w:p>
        </w:tc>
        <w:tc>
          <w:tcPr>
            <w:tcW w:w="709" w:type="dxa"/>
            <w:vAlign w:val="center"/>
          </w:tcPr>
          <w:p>
            <w:pPr>
              <w:jc w:val="center"/>
              <w:rPr>
                <w:bCs/>
                <w:sz w:val="21"/>
                <w:szCs w:val="21"/>
              </w:rPr>
            </w:pPr>
            <w:r>
              <w:rPr>
                <w:bCs/>
                <w:sz w:val="21"/>
                <w:szCs w:val="21"/>
              </w:rPr>
              <w:t>/</w:t>
            </w:r>
          </w:p>
        </w:tc>
        <w:tc>
          <w:tcPr>
            <w:tcW w:w="4870" w:type="dxa"/>
            <w:vAlign w:val="center"/>
          </w:tcPr>
          <w:p>
            <w:pPr>
              <w:jc w:val="both"/>
              <w:rPr>
                <w:sz w:val="21"/>
                <w:szCs w:val="21"/>
              </w:rPr>
            </w:pPr>
            <w:r>
              <w:rPr>
                <w:sz w:val="21"/>
                <w:szCs w:val="21"/>
                <w:lang w:eastAsia="zh-CN"/>
              </w:rPr>
              <w:t>8</w:t>
            </w:r>
            <w:r>
              <w:rPr>
                <w:sz w:val="21"/>
                <w:szCs w:val="21"/>
              </w:rPr>
              <w:t>0</w:t>
            </w:r>
            <w:r>
              <w:rPr>
                <w:rFonts w:hint="eastAsia"/>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52" w:type="dxa"/>
            <w:vAlign w:val="center"/>
          </w:tcPr>
          <w:p>
            <w:pPr>
              <w:jc w:val="center"/>
              <w:rPr>
                <w:bCs/>
                <w:sz w:val="21"/>
                <w:szCs w:val="21"/>
              </w:rPr>
            </w:pPr>
            <w:r>
              <w:rPr>
                <w:bCs/>
                <w:sz w:val="21"/>
                <w:szCs w:val="21"/>
                <w:lang w:eastAsia="zh-CN"/>
              </w:rPr>
              <w:t>8</w:t>
            </w:r>
          </w:p>
        </w:tc>
        <w:tc>
          <w:tcPr>
            <w:tcW w:w="2291" w:type="dxa"/>
            <w:vAlign w:val="center"/>
          </w:tcPr>
          <w:p>
            <w:pPr>
              <w:jc w:val="center"/>
              <w:rPr>
                <w:sz w:val="21"/>
                <w:szCs w:val="21"/>
              </w:rPr>
            </w:pPr>
            <w:r>
              <w:rPr>
                <w:rFonts w:hint="eastAsia"/>
                <w:sz w:val="21"/>
                <w:szCs w:val="21"/>
              </w:rPr>
              <w:t>谈判响应文件份数</w:t>
            </w:r>
          </w:p>
        </w:tc>
        <w:tc>
          <w:tcPr>
            <w:tcW w:w="709" w:type="dxa"/>
            <w:vAlign w:val="center"/>
          </w:tcPr>
          <w:p>
            <w:pPr>
              <w:jc w:val="center"/>
              <w:rPr>
                <w:bCs/>
                <w:sz w:val="21"/>
                <w:szCs w:val="21"/>
              </w:rPr>
            </w:pPr>
            <w:r>
              <w:rPr>
                <w:bCs/>
                <w:sz w:val="21"/>
                <w:szCs w:val="21"/>
              </w:rPr>
              <w:t>/</w:t>
            </w:r>
          </w:p>
        </w:tc>
        <w:tc>
          <w:tcPr>
            <w:tcW w:w="4870" w:type="dxa"/>
            <w:vAlign w:val="center"/>
          </w:tcPr>
          <w:p>
            <w:pPr>
              <w:jc w:val="both"/>
              <w:rPr>
                <w:sz w:val="21"/>
                <w:szCs w:val="21"/>
              </w:rPr>
            </w:pPr>
            <w:r>
              <w:rPr>
                <w:rFonts w:hint="eastAsia"/>
                <w:sz w:val="21"/>
                <w:szCs w:val="21"/>
              </w:rPr>
              <w:t>正本</w:t>
            </w:r>
            <w:r>
              <w:rPr>
                <w:sz w:val="21"/>
                <w:szCs w:val="21"/>
                <w:u w:val="single"/>
              </w:rPr>
              <w:t>1</w:t>
            </w:r>
            <w:r>
              <w:rPr>
                <w:rFonts w:hint="eastAsia"/>
                <w:sz w:val="21"/>
                <w:szCs w:val="21"/>
              </w:rPr>
              <w:t>份，副本</w:t>
            </w:r>
            <w:r>
              <w:rPr>
                <w:sz w:val="21"/>
                <w:szCs w:val="21"/>
                <w:u w:val="single"/>
              </w:rPr>
              <w:t>2</w:t>
            </w:r>
            <w:r>
              <w:rPr>
                <w:rFonts w:hint="eastAsia"/>
                <w:sz w:val="21"/>
                <w:szCs w:val="21"/>
              </w:rPr>
              <w:t>份，电子版</w:t>
            </w:r>
            <w:r>
              <w:rPr>
                <w:sz w:val="21"/>
                <w:szCs w:val="21"/>
              </w:rPr>
              <w:t>U</w:t>
            </w:r>
            <w:r>
              <w:rPr>
                <w:rFonts w:hint="eastAsia"/>
                <w:sz w:val="21"/>
                <w:szCs w:val="21"/>
              </w:rPr>
              <w:t>盘</w:t>
            </w:r>
            <w:r>
              <w:rPr>
                <w:sz w:val="21"/>
                <w:szCs w:val="21"/>
                <w:u w:val="single"/>
              </w:rPr>
              <w:t xml:space="preserve"> 1 </w:t>
            </w:r>
            <w:r>
              <w:rPr>
                <w:rFonts w:hint="eastAsia"/>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652" w:type="dxa"/>
            <w:vAlign w:val="center"/>
          </w:tcPr>
          <w:p>
            <w:pPr>
              <w:jc w:val="center"/>
              <w:rPr>
                <w:bCs/>
                <w:sz w:val="21"/>
                <w:szCs w:val="21"/>
              </w:rPr>
            </w:pPr>
            <w:r>
              <w:rPr>
                <w:bCs/>
                <w:sz w:val="21"/>
                <w:szCs w:val="21"/>
                <w:lang w:eastAsia="zh-CN"/>
              </w:rPr>
              <w:t>9</w:t>
            </w:r>
          </w:p>
        </w:tc>
        <w:tc>
          <w:tcPr>
            <w:tcW w:w="2291" w:type="dxa"/>
            <w:vAlign w:val="center"/>
          </w:tcPr>
          <w:p>
            <w:pPr>
              <w:jc w:val="center"/>
              <w:rPr>
                <w:sz w:val="21"/>
                <w:szCs w:val="21"/>
              </w:rPr>
            </w:pPr>
            <w:r>
              <w:rPr>
                <w:rFonts w:hint="eastAsia"/>
                <w:sz w:val="21"/>
                <w:szCs w:val="21"/>
              </w:rPr>
              <w:t>投标报价及最高限价</w:t>
            </w:r>
          </w:p>
        </w:tc>
        <w:tc>
          <w:tcPr>
            <w:tcW w:w="709" w:type="dxa"/>
            <w:vAlign w:val="center"/>
          </w:tcPr>
          <w:p>
            <w:pPr>
              <w:jc w:val="center"/>
              <w:rPr>
                <w:bCs/>
                <w:sz w:val="21"/>
                <w:szCs w:val="21"/>
              </w:rPr>
            </w:pPr>
            <w:r>
              <w:rPr>
                <w:bCs/>
                <w:sz w:val="21"/>
                <w:szCs w:val="21"/>
              </w:rPr>
              <w:t>/</w:t>
            </w:r>
          </w:p>
        </w:tc>
        <w:tc>
          <w:tcPr>
            <w:tcW w:w="4870" w:type="dxa"/>
            <w:vAlign w:val="center"/>
          </w:tcPr>
          <w:p>
            <w:pPr>
              <w:jc w:val="both"/>
              <w:rPr>
                <w:b/>
                <w:sz w:val="21"/>
                <w:szCs w:val="21"/>
              </w:rPr>
            </w:pPr>
            <w:r>
              <w:rPr>
                <w:rFonts w:hint="eastAsia"/>
                <w:b/>
                <w:color w:val="000000"/>
                <w:sz w:val="21"/>
                <w:szCs w:val="21"/>
              </w:rPr>
              <w:t>本工程最高限价为：</w:t>
            </w:r>
            <w:r>
              <w:rPr>
                <w:b/>
              </w:rPr>
              <w:t>671139.26</w:t>
            </w:r>
            <w:r>
              <w:rPr>
                <w:rFonts w:hint="eastAsia"/>
                <w:b/>
                <w:color w:val="000000"/>
                <w:sz w:val="21"/>
                <w:szCs w:val="21"/>
              </w:rPr>
              <w:t>元，凡超出最高限价的报价按废标处理</w:t>
            </w:r>
            <w:r>
              <w:rPr>
                <w:rFonts w:hint="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2" w:type="dxa"/>
            <w:vAlign w:val="center"/>
          </w:tcPr>
          <w:p>
            <w:pPr>
              <w:jc w:val="center"/>
              <w:rPr>
                <w:bCs/>
                <w:sz w:val="21"/>
                <w:szCs w:val="21"/>
              </w:rPr>
            </w:pPr>
            <w:r>
              <w:rPr>
                <w:bCs/>
                <w:sz w:val="21"/>
                <w:szCs w:val="21"/>
              </w:rPr>
              <w:t>1</w:t>
            </w:r>
            <w:r>
              <w:rPr>
                <w:bCs/>
                <w:sz w:val="21"/>
                <w:szCs w:val="21"/>
                <w:lang w:eastAsia="zh-CN"/>
              </w:rPr>
              <w:t>0</w:t>
            </w:r>
          </w:p>
        </w:tc>
        <w:tc>
          <w:tcPr>
            <w:tcW w:w="2291" w:type="dxa"/>
            <w:vAlign w:val="center"/>
          </w:tcPr>
          <w:p>
            <w:pPr>
              <w:jc w:val="center"/>
              <w:rPr>
                <w:bCs/>
                <w:sz w:val="21"/>
                <w:szCs w:val="21"/>
              </w:rPr>
            </w:pPr>
            <w:r>
              <w:rPr>
                <w:rFonts w:hint="eastAsia"/>
                <w:bCs/>
                <w:sz w:val="21"/>
                <w:szCs w:val="21"/>
              </w:rPr>
              <w:t>确认成交承包人</w:t>
            </w:r>
          </w:p>
        </w:tc>
        <w:tc>
          <w:tcPr>
            <w:tcW w:w="709" w:type="dxa"/>
            <w:vAlign w:val="center"/>
          </w:tcPr>
          <w:p>
            <w:pPr>
              <w:jc w:val="center"/>
              <w:rPr>
                <w:bCs/>
                <w:sz w:val="21"/>
                <w:szCs w:val="21"/>
              </w:rPr>
            </w:pPr>
            <w:r>
              <w:rPr>
                <w:bCs/>
                <w:sz w:val="21"/>
                <w:szCs w:val="21"/>
              </w:rPr>
              <w:t>/</w:t>
            </w:r>
          </w:p>
        </w:tc>
        <w:tc>
          <w:tcPr>
            <w:tcW w:w="4870" w:type="dxa"/>
            <w:vAlign w:val="center"/>
          </w:tcPr>
          <w:p>
            <w:pPr>
              <w:jc w:val="both"/>
              <w:rPr>
                <w:sz w:val="21"/>
                <w:szCs w:val="21"/>
              </w:rPr>
            </w:pPr>
            <w:r>
              <w:rPr>
                <w:rFonts w:hint="eastAsia"/>
                <w:b/>
                <w:sz w:val="24"/>
                <w:szCs w:val="24"/>
              </w:rPr>
              <w:t>符合采购需求且二次报价中的最低报价提供者为成交承包人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2" w:type="dxa"/>
            <w:vAlign w:val="center"/>
          </w:tcPr>
          <w:p>
            <w:pPr>
              <w:jc w:val="center"/>
              <w:rPr>
                <w:bCs/>
                <w:sz w:val="21"/>
                <w:szCs w:val="21"/>
              </w:rPr>
            </w:pPr>
            <w:r>
              <w:rPr>
                <w:bCs/>
                <w:sz w:val="21"/>
                <w:szCs w:val="21"/>
                <w:lang w:eastAsia="zh-CN"/>
              </w:rPr>
              <w:t>11</w:t>
            </w:r>
          </w:p>
        </w:tc>
        <w:tc>
          <w:tcPr>
            <w:tcW w:w="2291" w:type="dxa"/>
            <w:vAlign w:val="center"/>
          </w:tcPr>
          <w:p>
            <w:pPr>
              <w:jc w:val="center"/>
              <w:rPr>
                <w:bCs/>
                <w:sz w:val="21"/>
                <w:szCs w:val="21"/>
              </w:rPr>
            </w:pPr>
            <w:r>
              <w:rPr>
                <w:rFonts w:hint="eastAsia"/>
                <w:sz w:val="21"/>
                <w:szCs w:val="21"/>
              </w:rPr>
              <w:t>踏勘及踏勘时间</w:t>
            </w:r>
          </w:p>
        </w:tc>
        <w:tc>
          <w:tcPr>
            <w:tcW w:w="709" w:type="dxa"/>
            <w:vAlign w:val="center"/>
          </w:tcPr>
          <w:p>
            <w:pPr>
              <w:jc w:val="center"/>
              <w:rPr>
                <w:bCs/>
                <w:sz w:val="21"/>
                <w:szCs w:val="21"/>
              </w:rPr>
            </w:pPr>
          </w:p>
        </w:tc>
        <w:tc>
          <w:tcPr>
            <w:tcW w:w="4870" w:type="dxa"/>
            <w:vAlign w:val="center"/>
          </w:tcPr>
          <w:p>
            <w:pPr>
              <w:jc w:val="both"/>
              <w:rPr>
                <w:rFonts w:hint="eastAsia" w:eastAsia="宋体"/>
                <w:b/>
                <w:sz w:val="24"/>
                <w:szCs w:val="24"/>
                <w:lang w:val="en-US" w:eastAsia="zh-CN"/>
              </w:rPr>
            </w:pPr>
            <w:r>
              <w:rPr>
                <w:rFonts w:hint="eastAsia"/>
                <w:b/>
                <w:sz w:val="24"/>
                <w:szCs w:val="24"/>
                <w:lang w:val="en-US" w:eastAsia="zh-CN"/>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52" w:type="dxa"/>
            <w:vAlign w:val="center"/>
          </w:tcPr>
          <w:p>
            <w:pPr>
              <w:jc w:val="center"/>
              <w:rPr>
                <w:bCs/>
                <w:sz w:val="21"/>
                <w:szCs w:val="21"/>
              </w:rPr>
            </w:pPr>
            <w:r>
              <w:rPr>
                <w:bCs/>
                <w:sz w:val="21"/>
                <w:szCs w:val="21"/>
              </w:rPr>
              <w:t>1</w:t>
            </w:r>
            <w:r>
              <w:rPr>
                <w:bCs/>
                <w:sz w:val="21"/>
                <w:szCs w:val="21"/>
                <w:lang w:eastAsia="zh-CN"/>
              </w:rPr>
              <w:t>1</w:t>
            </w:r>
          </w:p>
        </w:tc>
        <w:tc>
          <w:tcPr>
            <w:tcW w:w="2291" w:type="dxa"/>
            <w:vAlign w:val="center"/>
          </w:tcPr>
          <w:p>
            <w:pPr>
              <w:jc w:val="center"/>
              <w:rPr>
                <w:bCs/>
                <w:sz w:val="21"/>
                <w:szCs w:val="21"/>
              </w:rPr>
            </w:pPr>
            <w:r>
              <w:rPr>
                <w:rFonts w:hint="eastAsia"/>
                <w:bCs/>
                <w:sz w:val="21"/>
                <w:szCs w:val="21"/>
              </w:rPr>
              <w:t>工期</w:t>
            </w:r>
          </w:p>
        </w:tc>
        <w:tc>
          <w:tcPr>
            <w:tcW w:w="709" w:type="dxa"/>
            <w:vAlign w:val="center"/>
          </w:tcPr>
          <w:p>
            <w:pPr>
              <w:jc w:val="center"/>
              <w:rPr>
                <w:bCs/>
                <w:sz w:val="21"/>
                <w:szCs w:val="21"/>
              </w:rPr>
            </w:pPr>
            <w:r>
              <w:rPr>
                <w:bCs/>
                <w:sz w:val="21"/>
                <w:szCs w:val="21"/>
              </w:rPr>
              <w:t>/</w:t>
            </w:r>
          </w:p>
        </w:tc>
        <w:tc>
          <w:tcPr>
            <w:tcW w:w="4870" w:type="dxa"/>
            <w:vAlign w:val="center"/>
          </w:tcPr>
          <w:p>
            <w:pPr>
              <w:jc w:val="both"/>
              <w:rPr>
                <w:sz w:val="21"/>
                <w:szCs w:val="21"/>
              </w:rPr>
            </w:pPr>
            <w:r>
              <w:rPr>
                <w:sz w:val="21"/>
                <w:szCs w:val="21"/>
                <w:u w:val="single"/>
              </w:rPr>
              <w:t>202</w:t>
            </w:r>
            <w:r>
              <w:rPr>
                <w:sz w:val="21"/>
                <w:szCs w:val="21"/>
                <w:u w:val="single"/>
                <w:lang w:eastAsia="zh-CN"/>
              </w:rPr>
              <w:t>1</w:t>
            </w:r>
            <w:r>
              <w:rPr>
                <w:sz w:val="21"/>
                <w:szCs w:val="21"/>
                <w:u w:val="single"/>
              </w:rPr>
              <w:t xml:space="preserve"> </w:t>
            </w:r>
            <w:r>
              <w:rPr>
                <w:rFonts w:hint="eastAsia"/>
                <w:sz w:val="21"/>
                <w:szCs w:val="21"/>
              </w:rPr>
              <w:t>年</w:t>
            </w:r>
            <w:r>
              <w:rPr>
                <w:sz w:val="21"/>
                <w:szCs w:val="21"/>
              </w:rPr>
              <w:t xml:space="preserve"> </w:t>
            </w:r>
            <w:r>
              <w:rPr>
                <w:rFonts w:hint="eastAsia"/>
                <w:sz w:val="21"/>
                <w:szCs w:val="21"/>
                <w:lang w:val="en-US" w:eastAsia="zh-CN"/>
              </w:rPr>
              <w:t>7</w:t>
            </w:r>
            <w:r>
              <w:rPr>
                <w:rFonts w:hint="eastAsia"/>
                <w:sz w:val="21"/>
                <w:szCs w:val="21"/>
              </w:rPr>
              <w:t>月</w:t>
            </w:r>
            <w:r>
              <w:rPr>
                <w:sz w:val="21"/>
                <w:szCs w:val="21"/>
              </w:rPr>
              <w:t xml:space="preserve"> </w:t>
            </w:r>
            <w:r>
              <w:rPr>
                <w:rFonts w:hint="eastAsia"/>
                <w:sz w:val="21"/>
                <w:szCs w:val="21"/>
                <w:lang w:val="en-US" w:eastAsia="zh-CN"/>
              </w:rPr>
              <w:t>5</w:t>
            </w:r>
            <w:r>
              <w:rPr>
                <w:rFonts w:hint="eastAsia"/>
                <w:sz w:val="21"/>
                <w:szCs w:val="21"/>
              </w:rPr>
              <w:t>日</w:t>
            </w:r>
            <w:r>
              <w:rPr>
                <w:sz w:val="21"/>
                <w:szCs w:val="21"/>
              </w:rPr>
              <w:t>—</w:t>
            </w:r>
            <w:r>
              <w:rPr>
                <w:sz w:val="21"/>
                <w:szCs w:val="21"/>
                <w:u w:val="single"/>
              </w:rPr>
              <w:t>202</w:t>
            </w:r>
            <w:r>
              <w:rPr>
                <w:sz w:val="21"/>
                <w:szCs w:val="21"/>
                <w:u w:val="single"/>
                <w:lang w:eastAsia="zh-CN"/>
              </w:rPr>
              <w:t>1</w:t>
            </w:r>
            <w:r>
              <w:rPr>
                <w:rFonts w:hint="eastAsia"/>
                <w:sz w:val="21"/>
                <w:szCs w:val="21"/>
              </w:rPr>
              <w:t>年</w:t>
            </w:r>
            <w:r>
              <w:rPr>
                <w:rFonts w:hint="eastAsia"/>
                <w:sz w:val="21"/>
                <w:szCs w:val="21"/>
                <w:lang w:val="en-US" w:eastAsia="zh-CN"/>
              </w:rPr>
              <w:t>9</w:t>
            </w:r>
            <w:r>
              <w:rPr>
                <w:rFonts w:hint="eastAsia"/>
                <w:sz w:val="21"/>
                <w:szCs w:val="21"/>
              </w:rPr>
              <w:t>月</w:t>
            </w:r>
            <w:r>
              <w:rPr>
                <w:sz w:val="21"/>
                <w:szCs w:val="21"/>
              </w:rPr>
              <w:t xml:space="preserve"> </w:t>
            </w:r>
            <w:r>
              <w:rPr>
                <w:rFonts w:hint="eastAsia"/>
                <w:sz w:val="21"/>
                <w:szCs w:val="21"/>
                <w:lang w:val="en-US" w:eastAsia="zh-CN"/>
              </w:rPr>
              <w:t>22</w:t>
            </w:r>
            <w:r>
              <w:rPr>
                <w:rFonts w:hint="eastAsia"/>
                <w:sz w:val="21"/>
                <w:szCs w:val="21"/>
              </w:rPr>
              <w:t>日，共</w:t>
            </w:r>
            <w:r>
              <w:rPr>
                <w:sz w:val="21"/>
                <w:szCs w:val="21"/>
                <w:lang w:eastAsia="zh-CN"/>
              </w:rPr>
              <w:t>8</w:t>
            </w:r>
            <w:r>
              <w:rPr>
                <w:sz w:val="21"/>
                <w:szCs w:val="21"/>
              </w:rPr>
              <w:t>0</w:t>
            </w:r>
            <w:r>
              <w:rPr>
                <w:rFonts w:hint="eastAsia"/>
                <w:sz w:val="21"/>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652" w:type="dxa"/>
            <w:vAlign w:val="center"/>
          </w:tcPr>
          <w:p>
            <w:pPr>
              <w:jc w:val="center"/>
              <w:rPr>
                <w:bCs/>
                <w:sz w:val="21"/>
                <w:szCs w:val="21"/>
              </w:rPr>
            </w:pPr>
            <w:r>
              <w:rPr>
                <w:bCs/>
                <w:sz w:val="21"/>
                <w:szCs w:val="21"/>
              </w:rPr>
              <w:t>1</w:t>
            </w:r>
            <w:r>
              <w:rPr>
                <w:bCs/>
                <w:sz w:val="21"/>
                <w:szCs w:val="21"/>
                <w:lang w:eastAsia="zh-CN"/>
              </w:rPr>
              <w:t>2</w:t>
            </w:r>
          </w:p>
        </w:tc>
        <w:tc>
          <w:tcPr>
            <w:tcW w:w="2291" w:type="dxa"/>
            <w:vAlign w:val="center"/>
          </w:tcPr>
          <w:p>
            <w:pPr>
              <w:jc w:val="center"/>
              <w:rPr>
                <w:bCs/>
                <w:sz w:val="21"/>
                <w:szCs w:val="21"/>
              </w:rPr>
            </w:pPr>
            <w:r>
              <w:rPr>
                <w:rFonts w:hint="eastAsia"/>
                <w:bCs/>
                <w:sz w:val="21"/>
                <w:szCs w:val="21"/>
              </w:rPr>
              <w:t>工程质量</w:t>
            </w:r>
          </w:p>
        </w:tc>
        <w:tc>
          <w:tcPr>
            <w:tcW w:w="709" w:type="dxa"/>
            <w:vAlign w:val="center"/>
          </w:tcPr>
          <w:p>
            <w:pPr>
              <w:jc w:val="center"/>
              <w:rPr>
                <w:bCs/>
                <w:sz w:val="21"/>
                <w:szCs w:val="21"/>
              </w:rPr>
            </w:pPr>
            <w:r>
              <w:rPr>
                <w:bCs/>
                <w:sz w:val="21"/>
                <w:szCs w:val="21"/>
              </w:rPr>
              <w:t>/</w:t>
            </w:r>
          </w:p>
        </w:tc>
        <w:tc>
          <w:tcPr>
            <w:tcW w:w="4870" w:type="dxa"/>
            <w:vAlign w:val="center"/>
          </w:tcPr>
          <w:p>
            <w:pPr>
              <w:jc w:val="both"/>
              <w:rPr>
                <w:sz w:val="21"/>
                <w:szCs w:val="21"/>
              </w:rPr>
            </w:pPr>
            <w:r>
              <w:rPr>
                <w:rFonts w:hint="eastAsia"/>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652" w:type="dxa"/>
            <w:vAlign w:val="center"/>
          </w:tcPr>
          <w:p>
            <w:pPr>
              <w:jc w:val="center"/>
              <w:rPr>
                <w:bCs/>
                <w:sz w:val="21"/>
                <w:szCs w:val="21"/>
              </w:rPr>
            </w:pPr>
            <w:r>
              <w:rPr>
                <w:bCs/>
                <w:sz w:val="21"/>
                <w:szCs w:val="21"/>
              </w:rPr>
              <w:t>1</w:t>
            </w:r>
            <w:r>
              <w:rPr>
                <w:bCs/>
                <w:sz w:val="21"/>
                <w:szCs w:val="21"/>
                <w:lang w:eastAsia="zh-CN"/>
              </w:rPr>
              <w:t>3</w:t>
            </w:r>
          </w:p>
        </w:tc>
        <w:tc>
          <w:tcPr>
            <w:tcW w:w="2291" w:type="dxa"/>
            <w:vAlign w:val="center"/>
          </w:tcPr>
          <w:p>
            <w:pPr>
              <w:jc w:val="center"/>
              <w:rPr>
                <w:bCs/>
                <w:sz w:val="21"/>
                <w:szCs w:val="21"/>
              </w:rPr>
            </w:pPr>
            <w:r>
              <w:rPr>
                <w:rFonts w:hint="eastAsia"/>
                <w:bCs/>
                <w:sz w:val="21"/>
                <w:szCs w:val="21"/>
              </w:rPr>
              <w:t>谈判小组的构成</w:t>
            </w:r>
          </w:p>
        </w:tc>
        <w:tc>
          <w:tcPr>
            <w:tcW w:w="709" w:type="dxa"/>
            <w:vAlign w:val="center"/>
          </w:tcPr>
          <w:p>
            <w:pPr>
              <w:jc w:val="center"/>
              <w:rPr>
                <w:bCs/>
                <w:sz w:val="21"/>
                <w:szCs w:val="21"/>
              </w:rPr>
            </w:pPr>
            <w:r>
              <w:rPr>
                <w:bCs/>
                <w:sz w:val="21"/>
                <w:szCs w:val="21"/>
              </w:rPr>
              <w:t>/</w:t>
            </w:r>
          </w:p>
        </w:tc>
        <w:tc>
          <w:tcPr>
            <w:tcW w:w="4870" w:type="dxa"/>
            <w:vAlign w:val="center"/>
          </w:tcPr>
          <w:p>
            <w:pPr>
              <w:jc w:val="both"/>
              <w:rPr>
                <w:sz w:val="21"/>
                <w:szCs w:val="21"/>
              </w:rPr>
            </w:pPr>
            <w:r>
              <w:rPr>
                <w:rFonts w:hint="eastAsia"/>
                <w:sz w:val="21"/>
                <w:szCs w:val="21"/>
              </w:rPr>
              <w:t>由</w:t>
            </w:r>
            <w:r>
              <w:rPr>
                <w:sz w:val="21"/>
                <w:szCs w:val="21"/>
              </w:rPr>
              <w:t>3</w:t>
            </w:r>
            <w:r>
              <w:rPr>
                <w:rFonts w:hint="eastAsia"/>
                <w:sz w:val="21"/>
                <w:szCs w:val="21"/>
              </w:rPr>
              <w:t>名</w:t>
            </w:r>
            <w:r>
              <w:rPr>
                <w:rFonts w:hint="eastAsia"/>
                <w:sz w:val="21"/>
                <w:szCs w:val="21"/>
                <w:lang w:eastAsia="zh-CN"/>
              </w:rPr>
              <w:t>谈判小组成员</w:t>
            </w:r>
            <w:r>
              <w:rPr>
                <w:rFonts w:hint="eastAsia"/>
                <w:sz w:val="21"/>
                <w:szCs w:val="21"/>
              </w:rPr>
              <w:t>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652" w:type="dxa"/>
            <w:vAlign w:val="center"/>
          </w:tcPr>
          <w:p>
            <w:pPr>
              <w:jc w:val="center"/>
              <w:rPr>
                <w:bCs/>
                <w:sz w:val="21"/>
                <w:szCs w:val="21"/>
              </w:rPr>
            </w:pPr>
            <w:r>
              <w:rPr>
                <w:bCs/>
                <w:sz w:val="21"/>
                <w:szCs w:val="21"/>
              </w:rPr>
              <w:t>1</w:t>
            </w:r>
            <w:r>
              <w:rPr>
                <w:bCs/>
                <w:sz w:val="21"/>
                <w:szCs w:val="21"/>
                <w:lang w:eastAsia="zh-CN"/>
              </w:rPr>
              <w:t>4</w:t>
            </w:r>
          </w:p>
        </w:tc>
        <w:tc>
          <w:tcPr>
            <w:tcW w:w="2291" w:type="dxa"/>
            <w:vAlign w:val="center"/>
          </w:tcPr>
          <w:p>
            <w:pPr>
              <w:jc w:val="center"/>
              <w:rPr>
                <w:bCs/>
                <w:sz w:val="21"/>
                <w:szCs w:val="21"/>
              </w:rPr>
            </w:pPr>
            <w:r>
              <w:rPr>
                <w:rFonts w:hint="eastAsia"/>
                <w:bCs/>
                <w:sz w:val="21"/>
                <w:szCs w:val="21"/>
              </w:rPr>
              <w:t>其它事项</w:t>
            </w:r>
          </w:p>
        </w:tc>
        <w:tc>
          <w:tcPr>
            <w:tcW w:w="709" w:type="dxa"/>
            <w:vAlign w:val="center"/>
          </w:tcPr>
          <w:p>
            <w:pPr>
              <w:jc w:val="center"/>
              <w:rPr>
                <w:bCs/>
                <w:sz w:val="21"/>
                <w:szCs w:val="21"/>
              </w:rPr>
            </w:pPr>
            <w:r>
              <w:rPr>
                <w:bCs/>
                <w:sz w:val="21"/>
                <w:szCs w:val="21"/>
              </w:rPr>
              <w:t>/</w:t>
            </w:r>
          </w:p>
        </w:tc>
        <w:tc>
          <w:tcPr>
            <w:tcW w:w="4870" w:type="dxa"/>
            <w:vAlign w:val="center"/>
          </w:tcPr>
          <w:p>
            <w:pPr>
              <w:jc w:val="both"/>
              <w:rPr>
                <w:sz w:val="21"/>
                <w:szCs w:val="21"/>
              </w:rPr>
            </w:pPr>
            <w:r>
              <w:rPr>
                <w:rFonts w:hint="eastAsia"/>
                <w:bCs/>
                <w:sz w:val="21"/>
                <w:szCs w:val="21"/>
              </w:rPr>
              <w:t>请参与谈判的承包人格外注意本表中加</w:t>
            </w:r>
            <w:r>
              <w:rPr>
                <w:b/>
                <w:bCs/>
                <w:sz w:val="21"/>
                <w:szCs w:val="21"/>
              </w:rPr>
              <w:t>*</w:t>
            </w:r>
            <w:r>
              <w:rPr>
                <w:rFonts w:hint="eastAsia"/>
                <w:bCs/>
                <w:sz w:val="21"/>
                <w:szCs w:val="21"/>
              </w:rPr>
              <w:t>部分的内容，如果加</w:t>
            </w:r>
            <w:r>
              <w:rPr>
                <w:bCs/>
                <w:sz w:val="21"/>
                <w:szCs w:val="21"/>
              </w:rPr>
              <w:t>*</w:t>
            </w:r>
            <w:r>
              <w:rPr>
                <w:rFonts w:hint="eastAsia"/>
                <w:bCs/>
                <w:sz w:val="21"/>
                <w:szCs w:val="21"/>
              </w:rPr>
              <w:t>内容未做出完全实质性响应，或者经谈判小组要求澄清或补正后仍未做出实质性响应的，将导致谈判无效或者被拒绝。谈判承包人应在响应文件密封装袋前仔细核对相关内容，以避免给自己带来不利后果。</w:t>
            </w:r>
          </w:p>
        </w:tc>
      </w:tr>
    </w:tbl>
    <w:p>
      <w:r>
        <w:rPr>
          <w:rFonts w:hint="eastAsia"/>
        </w:rPr>
        <w:t>注：本表内容与该文件其他部分内容不一致的，应当以本表内容为准。</w:t>
      </w:r>
    </w:p>
    <w:p>
      <w:pPr>
        <w:widowControl/>
        <w:spacing w:line="360" w:lineRule="auto"/>
        <w:sectPr>
          <w:headerReference r:id="rId3" w:type="default"/>
          <w:footerReference r:id="rId4" w:type="default"/>
          <w:pgSz w:w="11906" w:h="16838"/>
          <w:pgMar w:top="1440" w:right="1797" w:bottom="1440" w:left="1797" w:header="851" w:footer="992" w:gutter="0"/>
          <w:pgNumType w:fmt="numberInDash"/>
          <w:cols w:space="720" w:num="1"/>
          <w:docGrid w:linePitch="312" w:charSpace="0"/>
        </w:sectPr>
      </w:pPr>
      <w:r>
        <w:br w:type="page"/>
      </w:r>
    </w:p>
    <w:p>
      <w:pPr>
        <w:pStyle w:val="41"/>
        <w:numPr>
          <w:ilvl w:val="0"/>
          <w:numId w:val="0"/>
        </w:numPr>
        <w:spacing w:line="360" w:lineRule="auto"/>
        <w:ind w:firstLine="3373" w:firstLineChars="1200"/>
        <w:jc w:val="both"/>
      </w:pPr>
      <w:r>
        <w:rPr>
          <w:rFonts w:hint="eastAsia"/>
        </w:rPr>
        <w:t>第三部分</w:t>
      </w:r>
      <w:r>
        <w:t xml:space="preserve">  </w:t>
      </w:r>
      <w:r>
        <w:rPr>
          <w:rFonts w:hint="eastAsia"/>
        </w:rPr>
        <w:t>谈判须知</w:t>
      </w:r>
    </w:p>
    <w:p>
      <w:pPr>
        <w:pStyle w:val="47"/>
        <w:numPr>
          <w:ilvl w:val="0"/>
          <w:numId w:val="0"/>
        </w:numPr>
        <w:spacing w:line="360" w:lineRule="auto"/>
        <w:rPr>
          <w:color w:val="auto"/>
        </w:rPr>
      </w:pPr>
      <w:r>
        <w:rPr>
          <w:rFonts w:hint="eastAsia"/>
          <w:color w:val="auto"/>
        </w:rPr>
        <w:t>一、总则</w:t>
      </w:r>
    </w:p>
    <w:p>
      <w:pPr>
        <w:pStyle w:val="48"/>
        <w:numPr>
          <w:ilvl w:val="0"/>
          <w:numId w:val="0"/>
        </w:numPr>
        <w:tabs>
          <w:tab w:val="left" w:pos="420"/>
        </w:tabs>
        <w:spacing w:line="360" w:lineRule="auto"/>
      </w:pPr>
      <w:r>
        <w:rPr>
          <w:rFonts w:hint="eastAsia"/>
        </w:rPr>
        <w:t>本文件适用于第五部分技术和服务要求的谈判。</w:t>
      </w:r>
    </w:p>
    <w:p>
      <w:pPr>
        <w:pStyle w:val="48"/>
        <w:tabs>
          <w:tab w:val="clear" w:pos="709"/>
        </w:tabs>
        <w:spacing w:line="360" w:lineRule="auto"/>
        <w:rPr>
          <w:b/>
        </w:rPr>
      </w:pPr>
      <w:r>
        <w:rPr>
          <w:rFonts w:hint="eastAsia"/>
          <w:b/>
        </w:rPr>
        <w:t>定义</w:t>
      </w:r>
    </w:p>
    <w:p>
      <w:pPr>
        <w:pStyle w:val="48"/>
        <w:numPr>
          <w:ilvl w:val="1"/>
          <w:numId w:val="7"/>
        </w:numPr>
        <w:tabs>
          <w:tab w:val="left" w:pos="567"/>
        </w:tabs>
        <w:spacing w:line="360" w:lineRule="auto"/>
        <w:ind w:left="709" w:hanging="709"/>
      </w:pPr>
      <w:r>
        <w:rPr>
          <w:rFonts w:hint="eastAsia"/>
        </w:rPr>
        <w:t>“采购人”详见谈判须知前附表第</w:t>
      </w:r>
      <w:r>
        <w:t>1</w:t>
      </w:r>
      <w:r>
        <w:rPr>
          <w:rFonts w:hint="eastAsia"/>
        </w:rPr>
        <w:t>项。</w:t>
      </w:r>
    </w:p>
    <w:p>
      <w:pPr>
        <w:pStyle w:val="48"/>
        <w:numPr>
          <w:ilvl w:val="1"/>
          <w:numId w:val="7"/>
        </w:numPr>
        <w:tabs>
          <w:tab w:val="left" w:pos="567"/>
        </w:tabs>
        <w:spacing w:line="360" w:lineRule="auto"/>
        <w:ind w:left="709" w:hanging="709"/>
      </w:pPr>
      <w:r>
        <w:rPr>
          <w:rFonts w:hint="eastAsia"/>
        </w:rPr>
        <w:t>“工程”指本文件中第五部分所述相关工程。</w:t>
      </w:r>
    </w:p>
    <w:p>
      <w:pPr>
        <w:pStyle w:val="48"/>
        <w:numPr>
          <w:ilvl w:val="1"/>
          <w:numId w:val="7"/>
        </w:numPr>
        <w:tabs>
          <w:tab w:val="left" w:pos="567"/>
        </w:tabs>
        <w:spacing w:line="360" w:lineRule="auto"/>
        <w:ind w:left="709" w:hanging="709"/>
      </w:pPr>
      <w:r>
        <w:rPr>
          <w:rFonts w:hint="eastAsia"/>
        </w:rPr>
        <w:t>谈判承包人指接受谈判小组邀请，获得竞争性谈判文件并参加谈判的工程施工单位。</w:t>
      </w:r>
    </w:p>
    <w:p>
      <w:pPr>
        <w:pStyle w:val="48"/>
        <w:numPr>
          <w:ilvl w:val="1"/>
          <w:numId w:val="7"/>
        </w:numPr>
        <w:tabs>
          <w:tab w:val="left" w:pos="567"/>
        </w:tabs>
        <w:spacing w:line="360" w:lineRule="auto"/>
        <w:ind w:left="709" w:hanging="709"/>
      </w:pPr>
      <w:r>
        <w:rPr>
          <w:rFonts w:hint="eastAsia"/>
        </w:rPr>
        <w:t>“成交承包人”指经谈判小组审查通过，采购人向其发出《成交通知书》并授予其成交合同的谈判承包人。</w:t>
      </w:r>
    </w:p>
    <w:p>
      <w:pPr>
        <w:spacing w:line="360" w:lineRule="auto"/>
        <w:ind w:left="718" w:hanging="718"/>
      </w:pPr>
    </w:p>
    <w:p>
      <w:pPr>
        <w:pStyle w:val="48"/>
        <w:tabs>
          <w:tab w:val="clear" w:pos="709"/>
        </w:tabs>
        <w:spacing w:line="360" w:lineRule="auto"/>
        <w:rPr>
          <w:b/>
        </w:rPr>
      </w:pPr>
      <w:r>
        <w:rPr>
          <w:rFonts w:hint="eastAsia"/>
          <w:b/>
        </w:rPr>
        <w:t>合格谈判承包人的条件</w:t>
      </w:r>
    </w:p>
    <w:p>
      <w:pPr>
        <w:pStyle w:val="48"/>
        <w:numPr>
          <w:ilvl w:val="1"/>
          <w:numId w:val="8"/>
        </w:numPr>
        <w:spacing w:line="360" w:lineRule="auto"/>
      </w:pPr>
      <w:r>
        <w:rPr>
          <w:rFonts w:hint="eastAsia"/>
        </w:rPr>
        <w:t>接受谈判小组邀请，获得竞争性谈判文件，具有本项目服务能力，符合、承认并承诺履行本文件各项规定的国内法人和其他组织。</w:t>
      </w:r>
    </w:p>
    <w:p>
      <w:pPr>
        <w:pStyle w:val="48"/>
        <w:numPr>
          <w:ilvl w:val="1"/>
          <w:numId w:val="8"/>
        </w:numPr>
        <w:spacing w:line="360" w:lineRule="auto"/>
      </w:pPr>
      <w:r>
        <w:rPr>
          <w:rFonts w:hint="eastAsia"/>
        </w:rPr>
        <w:t>谈判承包人应遵守有关的国家法律、法规和条例，具备《中华人民共和国政府采购法》和本文件中规定的条件：具有工程施工的相关资质并按照要求进行了现场踏勘的谈判承包人。</w:t>
      </w:r>
    </w:p>
    <w:p>
      <w:pPr>
        <w:numPr>
          <w:ilvl w:val="0"/>
          <w:numId w:val="9"/>
        </w:numPr>
        <w:spacing w:line="360" w:lineRule="auto"/>
      </w:pPr>
      <w:r>
        <w:rPr>
          <w:rFonts w:hint="eastAsia"/>
        </w:rPr>
        <w:t>具有独立承担民事责任的能力；</w:t>
      </w:r>
    </w:p>
    <w:p>
      <w:pPr>
        <w:numPr>
          <w:ilvl w:val="0"/>
          <w:numId w:val="9"/>
        </w:numPr>
        <w:tabs>
          <w:tab w:val="left" w:pos="1039"/>
          <w:tab w:val="left" w:pos="1429"/>
        </w:tabs>
        <w:spacing w:line="360" w:lineRule="auto"/>
      </w:pPr>
      <w:r>
        <w:rPr>
          <w:rFonts w:hint="eastAsia"/>
        </w:rPr>
        <w:t>具有良好的商业信誉和健全的财务会计制度；</w:t>
      </w:r>
    </w:p>
    <w:p>
      <w:pPr>
        <w:numPr>
          <w:ilvl w:val="0"/>
          <w:numId w:val="9"/>
        </w:numPr>
        <w:spacing w:line="360" w:lineRule="auto"/>
      </w:pPr>
      <w:r>
        <w:rPr>
          <w:rFonts w:hint="eastAsia"/>
        </w:rPr>
        <w:t>具有履行合同所必需的设备和专业技术能力；</w:t>
      </w:r>
    </w:p>
    <w:p>
      <w:pPr>
        <w:numPr>
          <w:ilvl w:val="0"/>
          <w:numId w:val="9"/>
        </w:numPr>
        <w:spacing w:line="360" w:lineRule="auto"/>
      </w:pPr>
      <w:r>
        <w:rPr>
          <w:rFonts w:hint="eastAsia"/>
        </w:rPr>
        <w:t>参加此项目竞谈前三年内，没有发生工程纠纷且没有重大违法记录</w:t>
      </w:r>
      <w:r>
        <w:t>.</w:t>
      </w:r>
    </w:p>
    <w:p>
      <w:pPr>
        <w:pStyle w:val="48"/>
        <w:numPr>
          <w:ilvl w:val="1"/>
          <w:numId w:val="8"/>
        </w:numPr>
        <w:spacing w:line="360" w:lineRule="auto"/>
      </w:pPr>
      <w:r>
        <w:rPr>
          <w:rFonts w:hint="eastAsia"/>
        </w:rPr>
        <w:t>谈判承包人</w:t>
      </w:r>
      <w:r>
        <w:rPr>
          <w:rFonts w:hint="eastAsia"/>
          <w:kern w:val="2"/>
          <w:szCs w:val="24"/>
        </w:rPr>
        <w:t>不应与“在本次谈判中，为采购人设计编制技术规格、评审</w:t>
      </w:r>
      <w:r>
        <w:rPr>
          <w:rFonts w:hint="eastAsia"/>
        </w:rPr>
        <w:t>方法和其他文件的公司及其附属机构”有任何隶属关系和利益联系。</w:t>
      </w:r>
    </w:p>
    <w:p>
      <w:pPr>
        <w:pStyle w:val="48"/>
        <w:numPr>
          <w:ilvl w:val="1"/>
          <w:numId w:val="8"/>
        </w:numPr>
        <w:spacing w:line="360" w:lineRule="auto"/>
      </w:pPr>
      <w:r>
        <w:rPr>
          <w:rFonts w:hint="eastAsia"/>
        </w:rPr>
        <w:t>只有在法律上和财务上独立运作并独立于采购人的承包人才能参加谈判。</w:t>
      </w:r>
    </w:p>
    <w:p>
      <w:pPr>
        <w:pStyle w:val="48"/>
        <w:numPr>
          <w:ilvl w:val="1"/>
          <w:numId w:val="8"/>
        </w:numPr>
        <w:spacing w:line="360" w:lineRule="auto"/>
      </w:pPr>
      <w:r>
        <w:rPr>
          <w:rFonts w:hint="eastAsia"/>
        </w:rPr>
        <w:t>谈判承包人必须向采购人申领竞争性谈判文件并登记备案。竞争性谈判文件从网上下载的，必须按照要求在网上登记有关资料，未向采购人递交谈判申请并登记备案的，没有资格参加谈判。</w:t>
      </w:r>
    </w:p>
    <w:p>
      <w:pPr>
        <w:pStyle w:val="48"/>
        <w:numPr>
          <w:ilvl w:val="1"/>
          <w:numId w:val="8"/>
        </w:numPr>
        <w:spacing w:line="360" w:lineRule="auto"/>
      </w:pPr>
      <w:r>
        <w:rPr>
          <w:rFonts w:hint="eastAsia"/>
        </w:rPr>
        <w:t>如果谈判承包人代表不是法定代表人，须持有《法定代表人授权委托书》</w:t>
      </w:r>
      <w:r>
        <w:t xml:space="preserve">( </w:t>
      </w:r>
      <w:r>
        <w:rPr>
          <w:rFonts w:hint="eastAsia"/>
        </w:rPr>
        <w:t>统一格式</w:t>
      </w:r>
      <w:r>
        <w:t>)</w:t>
      </w:r>
      <w:r>
        <w:rPr>
          <w:rFonts w:hint="eastAsia"/>
        </w:rPr>
        <w:t>。</w:t>
      </w:r>
    </w:p>
    <w:p>
      <w:pPr>
        <w:pStyle w:val="48"/>
        <w:numPr>
          <w:ilvl w:val="1"/>
          <w:numId w:val="8"/>
        </w:numPr>
        <w:spacing w:line="360" w:lineRule="auto"/>
      </w:pPr>
      <w:r>
        <w:rPr>
          <w:rFonts w:hint="eastAsia"/>
        </w:rPr>
        <w:t>本次谈判是否允许由两个以上承包人组成一个联合体以一个谈判承包人身份共同参与，详见谈判须知前附表第</w:t>
      </w:r>
      <w:r>
        <w:rPr>
          <w:u w:val="single"/>
        </w:rPr>
        <w:t>3</w:t>
      </w:r>
      <w:r>
        <w:rPr>
          <w:rFonts w:hint="eastAsia"/>
        </w:rPr>
        <w:t>项。</w:t>
      </w:r>
    </w:p>
    <w:p>
      <w:pPr>
        <w:spacing w:line="360" w:lineRule="auto"/>
      </w:pPr>
    </w:p>
    <w:p>
      <w:pPr>
        <w:pStyle w:val="48"/>
        <w:tabs>
          <w:tab w:val="clear" w:pos="709"/>
        </w:tabs>
        <w:spacing w:line="360" w:lineRule="auto"/>
      </w:pPr>
      <w:r>
        <w:rPr>
          <w:rFonts w:hint="eastAsia"/>
          <w:b/>
        </w:rPr>
        <w:t>谈判费用</w:t>
      </w:r>
    </w:p>
    <w:p>
      <w:pPr>
        <w:pStyle w:val="48"/>
        <w:numPr>
          <w:ilvl w:val="0"/>
          <w:numId w:val="0"/>
        </w:numPr>
        <w:spacing w:line="360" w:lineRule="auto"/>
      </w:pPr>
      <w:r>
        <w:t xml:space="preserve">3.1  </w:t>
      </w:r>
      <w:r>
        <w:rPr>
          <w:rFonts w:hint="eastAsia"/>
        </w:rPr>
        <w:t>谈判承包人应承担所有与准备和参加谈判有关的费用，采购人在任何情况下均无义务和责任承担这些费用。</w:t>
      </w:r>
    </w:p>
    <w:p>
      <w:pPr>
        <w:pStyle w:val="47"/>
        <w:numPr>
          <w:ilvl w:val="0"/>
          <w:numId w:val="0"/>
        </w:numPr>
        <w:spacing w:line="360" w:lineRule="auto"/>
        <w:rPr>
          <w:color w:val="auto"/>
        </w:rPr>
      </w:pPr>
      <w:r>
        <w:rPr>
          <w:rFonts w:hint="eastAsia"/>
          <w:color w:val="auto"/>
        </w:rPr>
        <w:t>二、竞争性谈判文件</w:t>
      </w:r>
    </w:p>
    <w:p>
      <w:pPr>
        <w:pStyle w:val="48"/>
        <w:tabs>
          <w:tab w:val="clear" w:pos="709"/>
        </w:tabs>
        <w:spacing w:line="360" w:lineRule="auto"/>
        <w:rPr>
          <w:b/>
        </w:rPr>
      </w:pPr>
      <w:r>
        <w:rPr>
          <w:rFonts w:hint="eastAsia"/>
          <w:b/>
        </w:rPr>
        <w:t>竞争性谈判文件</w:t>
      </w:r>
    </w:p>
    <w:p>
      <w:pPr>
        <w:pStyle w:val="48"/>
        <w:numPr>
          <w:ilvl w:val="1"/>
          <w:numId w:val="10"/>
        </w:numPr>
        <w:spacing w:line="360" w:lineRule="auto"/>
      </w:pPr>
      <w:r>
        <w:rPr>
          <w:rFonts w:hint="eastAsia"/>
        </w:rPr>
        <w:t>竞争性谈判文件由下列五部分内容组成：</w:t>
      </w:r>
    </w:p>
    <w:p>
      <w:pPr>
        <w:spacing w:line="360" w:lineRule="auto"/>
        <w:ind w:firstLine="1199"/>
      </w:pPr>
      <w:r>
        <w:rPr>
          <w:rFonts w:hint="eastAsia"/>
        </w:rPr>
        <w:t>第一部分</w:t>
      </w:r>
      <w:r>
        <w:t xml:space="preserve">  </w:t>
      </w:r>
      <w:r>
        <w:rPr>
          <w:rFonts w:hint="eastAsia"/>
        </w:rPr>
        <w:t>谈判邀请；</w:t>
      </w:r>
    </w:p>
    <w:p>
      <w:pPr>
        <w:spacing w:line="360" w:lineRule="auto"/>
        <w:ind w:firstLine="1199"/>
      </w:pPr>
      <w:r>
        <w:rPr>
          <w:rFonts w:hint="eastAsia"/>
        </w:rPr>
        <w:t>第二部分</w:t>
      </w:r>
      <w:r>
        <w:t xml:space="preserve">  </w:t>
      </w:r>
      <w:r>
        <w:rPr>
          <w:rFonts w:hint="eastAsia"/>
        </w:rPr>
        <w:t>谈判须知前附表；</w:t>
      </w:r>
    </w:p>
    <w:p>
      <w:pPr>
        <w:spacing w:line="360" w:lineRule="auto"/>
        <w:ind w:firstLine="1199"/>
      </w:pPr>
      <w:r>
        <w:rPr>
          <w:rFonts w:hint="eastAsia"/>
        </w:rPr>
        <w:t>第三部分</w:t>
      </w:r>
      <w:r>
        <w:t xml:space="preserve">  </w:t>
      </w:r>
      <w:r>
        <w:rPr>
          <w:rFonts w:hint="eastAsia"/>
        </w:rPr>
        <w:t>谈判须知；</w:t>
      </w:r>
    </w:p>
    <w:p>
      <w:pPr>
        <w:spacing w:line="360" w:lineRule="auto"/>
        <w:ind w:firstLine="1199"/>
      </w:pPr>
      <w:r>
        <w:rPr>
          <w:rFonts w:hint="eastAsia"/>
        </w:rPr>
        <w:t>第四部分</w:t>
      </w:r>
      <w:r>
        <w:t xml:space="preserve">  </w:t>
      </w:r>
      <w:r>
        <w:rPr>
          <w:rFonts w:hint="eastAsia"/>
        </w:rPr>
        <w:t>评审办法及细则；</w:t>
      </w:r>
    </w:p>
    <w:p>
      <w:pPr>
        <w:spacing w:line="360" w:lineRule="auto"/>
        <w:ind w:firstLine="1199"/>
      </w:pPr>
      <w:r>
        <w:rPr>
          <w:rFonts w:hint="eastAsia"/>
        </w:rPr>
        <w:t>第五部分</w:t>
      </w:r>
      <w:r>
        <w:t xml:space="preserve">  </w:t>
      </w:r>
      <w:r>
        <w:rPr>
          <w:rFonts w:hint="eastAsia"/>
        </w:rPr>
        <w:t>谈判技术和服务要求；</w:t>
      </w:r>
    </w:p>
    <w:p>
      <w:pPr>
        <w:spacing w:line="360" w:lineRule="auto"/>
        <w:ind w:firstLine="1199"/>
      </w:pPr>
      <w:r>
        <w:rPr>
          <w:rFonts w:hint="eastAsia"/>
        </w:rPr>
        <w:t>第六部分</w:t>
      </w:r>
      <w:r>
        <w:t xml:space="preserve">  </w:t>
      </w:r>
      <w:r>
        <w:rPr>
          <w:rFonts w:hint="eastAsia"/>
        </w:rPr>
        <w:t>成交合同</w:t>
      </w:r>
    </w:p>
    <w:p>
      <w:pPr>
        <w:spacing w:line="360" w:lineRule="auto"/>
        <w:ind w:firstLine="1199"/>
      </w:pPr>
      <w:r>
        <w:rPr>
          <w:rFonts w:hint="eastAsia"/>
        </w:rPr>
        <w:t>第七部分</w:t>
      </w:r>
      <w:r>
        <w:t xml:space="preserve">  </w:t>
      </w:r>
      <w:r>
        <w:rPr>
          <w:rFonts w:hint="eastAsia"/>
        </w:rPr>
        <w:t>谈判响应文件格式</w:t>
      </w:r>
    </w:p>
    <w:p>
      <w:pPr>
        <w:pStyle w:val="48"/>
        <w:numPr>
          <w:ilvl w:val="1"/>
          <w:numId w:val="10"/>
        </w:numPr>
        <w:spacing w:line="360" w:lineRule="auto"/>
      </w:pPr>
      <w:r>
        <w:rPr>
          <w:rFonts w:hint="eastAsia"/>
        </w:rPr>
        <w:t>谈判承包人应详细阅读竞争性谈判文件的全部内容。如果谈判承包人没有按照竞争性谈判文件要求提交全部资料或者没有对竞争性谈判文件在各方面的要求都做出实质性响应，可能导致其报价被拒绝。</w:t>
      </w:r>
    </w:p>
    <w:p>
      <w:pPr>
        <w:spacing w:line="360" w:lineRule="auto"/>
        <w:ind w:left="718" w:hanging="718"/>
      </w:pPr>
    </w:p>
    <w:p>
      <w:pPr>
        <w:pStyle w:val="48"/>
        <w:tabs>
          <w:tab w:val="clear" w:pos="709"/>
        </w:tabs>
        <w:spacing w:line="360" w:lineRule="auto"/>
        <w:rPr>
          <w:b/>
        </w:rPr>
      </w:pPr>
      <w:r>
        <w:rPr>
          <w:rFonts w:hint="eastAsia"/>
          <w:b/>
        </w:rPr>
        <w:t>竞争性谈判文件的澄清</w:t>
      </w:r>
    </w:p>
    <w:p>
      <w:pPr>
        <w:pStyle w:val="48"/>
        <w:numPr>
          <w:ilvl w:val="1"/>
          <w:numId w:val="11"/>
        </w:numPr>
        <w:spacing w:line="360" w:lineRule="auto"/>
      </w:pPr>
      <w:r>
        <w:rPr>
          <w:rFonts w:hint="eastAsia"/>
        </w:rPr>
        <w:t>任何已登记备案并领取了竞争性谈判文件的谈判承包人，均可要求对竞争性谈判文件进行澄清。澄清要求应在报价截止期</w:t>
      </w:r>
      <w:r>
        <w:t>3</w:t>
      </w:r>
      <w:r>
        <w:rPr>
          <w:rFonts w:hint="eastAsia"/>
        </w:rPr>
        <w:t>日前，按谈判邀请中的联系地址以书面形式（包括书面材料、信函、传真等，下同）送达采购人，采购人将以书面形式予以答复，并以书面方式送达要求澄清的谈判承包人。答复中包括原提出的问题，但不包括问题的来源。</w:t>
      </w:r>
    </w:p>
    <w:p>
      <w:pPr>
        <w:pStyle w:val="48"/>
        <w:numPr>
          <w:ilvl w:val="1"/>
          <w:numId w:val="11"/>
        </w:numPr>
        <w:spacing w:line="360" w:lineRule="auto"/>
      </w:pPr>
      <w:r>
        <w:rPr>
          <w:rFonts w:hint="eastAsia"/>
        </w:rPr>
        <w:t>采购人将视情况确定是否有必要组织所有已登记备案并领取了竞争性谈判文件的谈判承包人踏勘现场，以便谈判承包人将实地环境作为报价参考依据。如果组织踏勘现场，采购人将通知所有谈判承包人踏勘现场的时间和地点。</w:t>
      </w:r>
    </w:p>
    <w:p>
      <w:pPr>
        <w:spacing w:line="360" w:lineRule="auto"/>
        <w:ind w:left="718" w:hanging="718"/>
      </w:pPr>
    </w:p>
    <w:p>
      <w:pPr>
        <w:pStyle w:val="48"/>
        <w:tabs>
          <w:tab w:val="clear" w:pos="709"/>
        </w:tabs>
        <w:spacing w:line="360" w:lineRule="auto"/>
        <w:rPr>
          <w:b/>
        </w:rPr>
      </w:pPr>
      <w:r>
        <w:rPr>
          <w:rFonts w:hint="eastAsia"/>
          <w:b/>
        </w:rPr>
        <w:t>竞争性谈判文件的修改</w:t>
      </w:r>
    </w:p>
    <w:p>
      <w:pPr>
        <w:pStyle w:val="48"/>
        <w:numPr>
          <w:ilvl w:val="1"/>
          <w:numId w:val="12"/>
        </w:numPr>
        <w:spacing w:line="360" w:lineRule="auto"/>
      </w:pPr>
      <w:r>
        <w:rPr>
          <w:rFonts w:hint="eastAsia"/>
        </w:rPr>
        <w:t>在报价截止期</w:t>
      </w:r>
      <w:r>
        <w:t>3</w:t>
      </w:r>
      <w:r>
        <w:rPr>
          <w:rFonts w:hint="eastAsia"/>
        </w:rPr>
        <w:t>日以前任何时候，采购人无论出于何种原因，均可对竞争性谈判文件用补充文件的方式进行修改。</w:t>
      </w:r>
    </w:p>
    <w:p>
      <w:pPr>
        <w:pStyle w:val="48"/>
        <w:numPr>
          <w:ilvl w:val="1"/>
          <w:numId w:val="12"/>
        </w:numPr>
        <w:spacing w:line="360" w:lineRule="auto"/>
      </w:pPr>
      <w:r>
        <w:rPr>
          <w:rFonts w:hint="eastAsia"/>
        </w:rPr>
        <w:t>对竞争性谈判文件的修改，将通知已登记备案并领取了竞争性谈判文件的谈判承包人。补充文件将作为竞争性谈判文件的组成部分，对所有领取了竞争性谈判文件的谈判承包人均具有约束力。谈判承包人应立即以书面形式回复确认已收到修改文件。</w:t>
      </w:r>
    </w:p>
    <w:p>
      <w:pPr>
        <w:pStyle w:val="48"/>
        <w:numPr>
          <w:ilvl w:val="1"/>
          <w:numId w:val="12"/>
        </w:numPr>
        <w:spacing w:line="360" w:lineRule="auto"/>
      </w:pPr>
      <w:r>
        <w:rPr>
          <w:rFonts w:hint="eastAsia"/>
        </w:rPr>
        <w:t>为使谈判承包人有足够的时间按竞争性谈判文件的修改要求考虑修正谈判响应文件，采购人可酌情推迟报价的截止日期和报价日期，并将具体变更情况通知每一谈判承包人。</w:t>
      </w:r>
    </w:p>
    <w:p>
      <w:pPr>
        <w:spacing w:line="360" w:lineRule="auto"/>
        <w:ind w:left="718" w:hanging="718"/>
      </w:pPr>
    </w:p>
    <w:p>
      <w:pPr>
        <w:pStyle w:val="48"/>
        <w:tabs>
          <w:tab w:val="clear" w:pos="709"/>
        </w:tabs>
        <w:spacing w:line="360" w:lineRule="auto"/>
        <w:rPr>
          <w:b/>
        </w:rPr>
      </w:pPr>
      <w:r>
        <w:rPr>
          <w:rFonts w:hint="eastAsia"/>
          <w:b/>
        </w:rPr>
        <w:t>通知</w:t>
      </w:r>
    </w:p>
    <w:p>
      <w:pPr>
        <w:pStyle w:val="48"/>
        <w:numPr>
          <w:ilvl w:val="0"/>
          <w:numId w:val="0"/>
        </w:numPr>
        <w:spacing w:line="360" w:lineRule="auto"/>
      </w:pPr>
      <w:r>
        <w:t xml:space="preserve">7.1  </w:t>
      </w:r>
      <w:r>
        <w:rPr>
          <w:rFonts w:hint="eastAsia"/>
        </w:rPr>
        <w:t>对与本项目有关的通知，将以书面或以在本次谈判公告刊登的媒体上发布公告的形式送达所有与通知有关的已登记备案并领取了竞争性谈判文件的谈判承包人，联系地址和传真号码以谈判承包人的登记为准。收到通知的谈判承包人应以书面方式立即予以回复确认。因登记有误或传真线路故障导致通知延迟送达或无法送达，采购人不承担责任。</w:t>
      </w:r>
    </w:p>
    <w:p>
      <w:pPr>
        <w:pStyle w:val="47"/>
        <w:numPr>
          <w:ilvl w:val="0"/>
          <w:numId w:val="0"/>
        </w:numPr>
        <w:spacing w:line="360" w:lineRule="auto"/>
        <w:rPr>
          <w:color w:val="auto"/>
        </w:rPr>
      </w:pPr>
      <w:r>
        <w:rPr>
          <w:rFonts w:hint="eastAsia"/>
          <w:color w:val="auto"/>
        </w:rPr>
        <w:t>三、谈判响应文件</w:t>
      </w:r>
    </w:p>
    <w:p>
      <w:pPr>
        <w:pStyle w:val="48"/>
        <w:tabs>
          <w:tab w:val="clear" w:pos="709"/>
        </w:tabs>
        <w:spacing w:line="360" w:lineRule="auto"/>
        <w:rPr>
          <w:b/>
        </w:rPr>
      </w:pPr>
      <w:r>
        <w:rPr>
          <w:rFonts w:hint="eastAsia"/>
          <w:b/>
        </w:rPr>
        <w:t>谈判响应文件的语言和计量单位</w:t>
      </w:r>
    </w:p>
    <w:p>
      <w:pPr>
        <w:pStyle w:val="48"/>
        <w:numPr>
          <w:ilvl w:val="1"/>
          <w:numId w:val="13"/>
        </w:numPr>
        <w:spacing w:line="360" w:lineRule="auto"/>
      </w:pPr>
      <w:r>
        <w:rPr>
          <w:rFonts w:hint="eastAsia"/>
        </w:rPr>
        <w:t>谈判承包人提交的以及谈判承包人与</w:t>
      </w:r>
      <w:r>
        <w:rPr>
          <w:rFonts w:hint="eastAsia"/>
          <w:lang w:eastAsia="zh-CN"/>
        </w:rPr>
        <w:t>采购人</w:t>
      </w:r>
      <w:r>
        <w:rPr>
          <w:rFonts w:hint="eastAsia"/>
        </w:rPr>
        <w:t>就有关谈判的所有来往函电均应使用中文简化字。</w:t>
      </w:r>
    </w:p>
    <w:p>
      <w:pPr>
        <w:pStyle w:val="48"/>
        <w:numPr>
          <w:ilvl w:val="1"/>
          <w:numId w:val="13"/>
        </w:numPr>
        <w:spacing w:line="360" w:lineRule="auto"/>
      </w:pPr>
      <w:r>
        <w:rPr>
          <w:rFonts w:hint="eastAsia"/>
        </w:rPr>
        <w:t>谈判承包人所提供的技术文件和资料，包括图纸中的说明，应使用中文简化字。所使用的计量单位，应使用国家法定计量单位。</w:t>
      </w:r>
    </w:p>
    <w:p>
      <w:pPr>
        <w:tabs>
          <w:tab w:val="left" w:pos="720"/>
        </w:tabs>
        <w:spacing w:line="360" w:lineRule="auto"/>
        <w:ind w:left="720" w:hanging="720"/>
      </w:pPr>
    </w:p>
    <w:p>
      <w:pPr>
        <w:pStyle w:val="48"/>
        <w:tabs>
          <w:tab w:val="clear" w:pos="709"/>
        </w:tabs>
        <w:spacing w:line="360" w:lineRule="auto"/>
        <w:rPr>
          <w:b/>
        </w:rPr>
      </w:pPr>
      <w:r>
        <w:rPr>
          <w:rFonts w:hint="eastAsia"/>
          <w:b/>
        </w:rPr>
        <w:t>谈判响应文件的组成及相关要求</w:t>
      </w:r>
    </w:p>
    <w:p>
      <w:pPr>
        <w:pStyle w:val="48"/>
        <w:numPr>
          <w:ilvl w:val="1"/>
          <w:numId w:val="14"/>
        </w:numPr>
        <w:spacing w:line="360" w:lineRule="auto"/>
      </w:pPr>
      <w:r>
        <w:rPr>
          <w:rFonts w:hint="eastAsia"/>
        </w:rPr>
        <w:t>谈判响应文件分为商务和技术两个部分。为了方便评审，谈判响应文件中的各项表格必须按照竞争性谈判文件格式要求制作。</w:t>
      </w:r>
    </w:p>
    <w:p>
      <w:pPr>
        <w:tabs>
          <w:tab w:val="left" w:pos="1200"/>
        </w:tabs>
        <w:spacing w:line="360" w:lineRule="auto"/>
        <w:ind w:left="724" w:leftChars="329"/>
        <w:rPr>
          <w:szCs w:val="21"/>
        </w:rPr>
      </w:pPr>
      <w:r>
        <w:rPr>
          <w:rFonts w:hint="eastAsia"/>
          <w:szCs w:val="21"/>
        </w:rPr>
        <w:t>商务部分指谈判承包人提交的证明其有资格参加报价和成交后有能力履行合同的文件。主要包括谈判承包人须知前附表各项，其中加</w:t>
      </w:r>
      <w:r>
        <w:rPr>
          <w:szCs w:val="21"/>
        </w:rPr>
        <w:t>*</w:t>
      </w:r>
      <w:r>
        <w:rPr>
          <w:rFonts w:hint="eastAsia"/>
          <w:szCs w:val="21"/>
        </w:rPr>
        <w:t>项目如果有缺失或无效，将可能导致报价被拒绝。</w:t>
      </w:r>
    </w:p>
    <w:p>
      <w:pPr>
        <w:pStyle w:val="48"/>
        <w:numPr>
          <w:ilvl w:val="1"/>
          <w:numId w:val="14"/>
        </w:numPr>
        <w:spacing w:line="360" w:lineRule="auto"/>
      </w:pPr>
      <w:r>
        <w:rPr>
          <w:rFonts w:hint="eastAsia"/>
        </w:rPr>
        <w:t>谈判承包人认为需要提供的其他资料。</w:t>
      </w:r>
    </w:p>
    <w:p>
      <w:pPr>
        <w:pStyle w:val="48"/>
        <w:numPr>
          <w:ilvl w:val="0"/>
          <w:numId w:val="0"/>
        </w:numPr>
        <w:spacing w:line="360" w:lineRule="auto"/>
      </w:pPr>
    </w:p>
    <w:p>
      <w:pPr>
        <w:pStyle w:val="48"/>
        <w:tabs>
          <w:tab w:val="clear" w:pos="709"/>
        </w:tabs>
        <w:spacing w:line="360" w:lineRule="auto"/>
        <w:rPr>
          <w:b/>
        </w:rPr>
      </w:pPr>
      <w:r>
        <w:rPr>
          <w:rFonts w:hint="eastAsia"/>
          <w:b/>
        </w:rPr>
        <w:t>报价内容填写说明</w:t>
      </w:r>
    </w:p>
    <w:p>
      <w:pPr>
        <w:pStyle w:val="48"/>
        <w:numPr>
          <w:ilvl w:val="1"/>
          <w:numId w:val="15"/>
        </w:numPr>
        <w:spacing w:line="360" w:lineRule="auto"/>
      </w:pPr>
      <w:r>
        <w:rPr>
          <w:rFonts w:hint="eastAsia"/>
        </w:rPr>
        <w:t>领取了竞争性谈判文件的谈判承包人应认真阅读文件的所有内容，按照竞争性谈判文件的要求编制完整的谈判响应文件。谈判响应文件应按照竞争性谈判文件规定的统一格式填写，严格按照规定的顺序装订成册并编制目录，由于编排混乱导致谈判响应文件被误读或查找不到，是谈判承包人的责任。</w:t>
      </w:r>
    </w:p>
    <w:p>
      <w:pPr>
        <w:pStyle w:val="48"/>
        <w:numPr>
          <w:ilvl w:val="1"/>
          <w:numId w:val="15"/>
        </w:numPr>
        <w:spacing w:line="360" w:lineRule="auto"/>
      </w:pPr>
      <w:r>
        <w:rPr>
          <w:rFonts w:hint="eastAsia"/>
        </w:rPr>
        <w:t>竞争性谈判文件对谈判响应文件格式有要求的应按格式逐项填写内容，不准有空项；无相应内容可填的项应填写“无”、“未测试”、“没有相应指标”等明确的回答文字。谈判响应文件中格式文件留有空项的，将被视为不完整响应的谈判响应文件，其报价有可能被拒绝。</w:t>
      </w:r>
    </w:p>
    <w:p>
      <w:pPr>
        <w:pStyle w:val="48"/>
        <w:numPr>
          <w:ilvl w:val="1"/>
          <w:numId w:val="15"/>
        </w:numPr>
        <w:spacing w:line="360" w:lineRule="auto"/>
      </w:pPr>
      <w:r>
        <w:rPr>
          <w:rFonts w:hint="eastAsia"/>
        </w:rPr>
        <w:t>谈判承包人必须保证谈判响应文件所提供的全部资料真实可靠，并接受采购人对其中任何资料进一步审查的要求。</w:t>
      </w:r>
    </w:p>
    <w:p>
      <w:pPr>
        <w:pStyle w:val="48"/>
        <w:numPr>
          <w:ilvl w:val="1"/>
          <w:numId w:val="15"/>
        </w:numPr>
        <w:spacing w:line="360" w:lineRule="auto"/>
      </w:pPr>
      <w:r>
        <w:rPr>
          <w:rFonts w:hint="eastAsia"/>
        </w:rPr>
        <w:t>报价一览表要求按格式统一填写，不得自行增减内容。</w:t>
      </w:r>
    </w:p>
    <w:p>
      <w:pPr>
        <w:pStyle w:val="48"/>
        <w:numPr>
          <w:ilvl w:val="1"/>
          <w:numId w:val="15"/>
        </w:numPr>
        <w:spacing w:line="360" w:lineRule="auto"/>
      </w:pPr>
      <w:r>
        <w:rPr>
          <w:rFonts w:hint="eastAsia"/>
        </w:rPr>
        <w:t>谈判响应文件须对竞争性谈判文件中的内容做出实质性和完整的响应，否则其报价将被拒绝。如果谈判响应文件填报的内容资料不详，或没有提供竞争性谈判文件中所要求的全部资料及数据，包括但不限于第</w:t>
      </w:r>
      <w:r>
        <w:t>9</w:t>
      </w:r>
      <w:r>
        <w:rPr>
          <w:rFonts w:hint="eastAsia"/>
        </w:rPr>
        <w:t>条（谈判响应文件的组成及相关要求）规定的内容，将导致报价被拒绝。</w:t>
      </w:r>
    </w:p>
    <w:p>
      <w:pPr>
        <w:tabs>
          <w:tab w:val="left" w:pos="720"/>
        </w:tabs>
        <w:spacing w:line="360" w:lineRule="auto"/>
        <w:ind w:left="720" w:hanging="720"/>
      </w:pPr>
    </w:p>
    <w:p>
      <w:pPr>
        <w:pStyle w:val="48"/>
        <w:tabs>
          <w:tab w:val="clear" w:pos="709"/>
        </w:tabs>
        <w:spacing w:line="360" w:lineRule="auto"/>
      </w:pPr>
      <w:r>
        <w:rPr>
          <w:rFonts w:hint="eastAsia"/>
          <w:b/>
        </w:rPr>
        <w:t>谈判承包人技术文件的编制及编目</w:t>
      </w:r>
    </w:p>
    <w:p>
      <w:pPr>
        <w:snapToGrid w:val="0"/>
        <w:spacing w:line="360" w:lineRule="auto"/>
      </w:pPr>
      <w:r>
        <w:rPr>
          <w:bCs/>
        </w:rPr>
        <w:t xml:space="preserve">11.1  </w:t>
      </w:r>
      <w:r>
        <w:rPr>
          <w:rFonts w:hint="eastAsia"/>
        </w:rPr>
        <w:t>谈判承包人技术文件规格幅面（</w:t>
      </w:r>
      <w:r>
        <w:t>A4</w:t>
      </w:r>
      <w:r>
        <w:rPr>
          <w:rFonts w:hint="eastAsia"/>
        </w:rPr>
        <w:t>）应与正文一致，按照竞争性谈判文件规定的顺序，统一编目编码装订。谈判承包人自行编制的技术文件应能够证明谈判承包人提供的工程及服务是符合竞争性谈判文件规定的合格的工程和服务。自行编写的技术文件内容包括但不限于谈判须知前附表中</w:t>
      </w:r>
      <w:r>
        <w:rPr>
          <w:rFonts w:hint="eastAsia"/>
          <w:u w:val="single"/>
        </w:rPr>
        <w:t>第</w:t>
      </w:r>
      <w:r>
        <w:rPr>
          <w:u w:val="single"/>
        </w:rPr>
        <w:t>5</w:t>
      </w:r>
      <w:r>
        <w:rPr>
          <w:rFonts w:hint="eastAsia"/>
          <w:u w:val="single"/>
        </w:rPr>
        <w:t>项</w:t>
      </w:r>
      <w:r>
        <w:rPr>
          <w:rFonts w:hint="eastAsia"/>
        </w:rPr>
        <w:t>所列内容。</w:t>
      </w:r>
    </w:p>
    <w:p>
      <w:pPr>
        <w:pStyle w:val="48"/>
        <w:numPr>
          <w:ilvl w:val="0"/>
          <w:numId w:val="0"/>
        </w:numPr>
        <w:spacing w:line="360" w:lineRule="auto"/>
        <w:rPr>
          <w:b/>
        </w:rPr>
      </w:pPr>
    </w:p>
    <w:p>
      <w:pPr>
        <w:pStyle w:val="48"/>
        <w:tabs>
          <w:tab w:val="clear" w:pos="709"/>
        </w:tabs>
        <w:spacing w:line="360" w:lineRule="auto"/>
        <w:rPr>
          <w:b/>
        </w:rPr>
      </w:pPr>
      <w:r>
        <w:rPr>
          <w:rFonts w:hint="eastAsia"/>
          <w:b/>
        </w:rPr>
        <w:t>报价要求</w:t>
      </w:r>
    </w:p>
    <w:p>
      <w:pPr>
        <w:tabs>
          <w:tab w:val="left" w:pos="720"/>
        </w:tabs>
        <w:spacing w:line="360" w:lineRule="auto"/>
        <w:ind w:left="720" w:hanging="720"/>
        <w:rPr>
          <w:szCs w:val="21"/>
        </w:rPr>
      </w:pPr>
      <w:r>
        <w:rPr>
          <w:szCs w:val="21"/>
        </w:rPr>
        <w:t>12.1</w:t>
      </w:r>
      <w:r>
        <w:rPr>
          <w:szCs w:val="21"/>
        </w:rPr>
        <w:tab/>
      </w:r>
      <w:r>
        <w:rPr>
          <w:rFonts w:hint="eastAsia"/>
          <w:szCs w:val="21"/>
        </w:rPr>
        <w:t>所有报价均以人民币元为计算单位。报价价格应该已经扣除所有同业折扣以及现金折扣。报价应已经包含了购买相关服务的全部费用和所需缴纳的所有费用。</w:t>
      </w:r>
    </w:p>
    <w:p>
      <w:pPr>
        <w:tabs>
          <w:tab w:val="left" w:pos="720"/>
        </w:tabs>
        <w:spacing w:line="360" w:lineRule="auto"/>
        <w:ind w:left="720" w:hanging="720"/>
        <w:rPr>
          <w:szCs w:val="21"/>
        </w:rPr>
      </w:pPr>
      <w:r>
        <w:rPr>
          <w:szCs w:val="21"/>
        </w:rPr>
        <w:t>12.2</w:t>
      </w:r>
      <w:r>
        <w:rPr>
          <w:szCs w:val="21"/>
        </w:rPr>
        <w:tab/>
      </w:r>
      <w:r>
        <w:rPr>
          <w:rFonts w:hint="eastAsia"/>
          <w:szCs w:val="21"/>
        </w:rPr>
        <w:t>对于一个项目中的多个分包，谈判承包人可以投报全部包，也可以只投其中一包。谈判承包人应对每个包分别提供报价。没有分包报价的将被拒绝。</w:t>
      </w:r>
    </w:p>
    <w:p>
      <w:pPr>
        <w:tabs>
          <w:tab w:val="left" w:pos="720"/>
        </w:tabs>
        <w:spacing w:line="360" w:lineRule="auto"/>
        <w:ind w:left="720" w:hanging="720"/>
        <w:rPr>
          <w:szCs w:val="21"/>
        </w:rPr>
      </w:pPr>
      <w:r>
        <w:rPr>
          <w:szCs w:val="21"/>
        </w:rPr>
        <w:t>12.3</w:t>
      </w:r>
      <w:r>
        <w:rPr>
          <w:szCs w:val="21"/>
        </w:rPr>
        <w:tab/>
      </w:r>
      <w:r>
        <w:rPr>
          <w:rFonts w:hint="eastAsia"/>
          <w:szCs w:val="21"/>
        </w:rPr>
        <w:t>采购人不接受可选择的报价方案和报价。谈判承包人对报价如果有说明应在显著处予以注明。</w:t>
      </w:r>
    </w:p>
    <w:p>
      <w:pPr>
        <w:tabs>
          <w:tab w:val="left" w:pos="720"/>
        </w:tabs>
        <w:spacing w:line="360" w:lineRule="auto"/>
        <w:ind w:left="720" w:hanging="720"/>
        <w:rPr>
          <w:szCs w:val="21"/>
        </w:rPr>
      </w:pPr>
      <w:r>
        <w:rPr>
          <w:szCs w:val="21"/>
        </w:rPr>
        <w:t>12.4</w:t>
      </w:r>
      <w:r>
        <w:rPr>
          <w:szCs w:val="21"/>
        </w:rPr>
        <w:tab/>
      </w:r>
      <w:r>
        <w:rPr>
          <w:rFonts w:hint="eastAsia"/>
          <w:szCs w:val="21"/>
        </w:rPr>
        <w:t>报价明细表中标明的价格在合同执行过程中是固定不变的，谈判承包人不得以任何理由予以变更。以可调整的价格提交的报价将被视为非响应性报价而被拒绝。</w:t>
      </w:r>
    </w:p>
    <w:p>
      <w:pPr>
        <w:tabs>
          <w:tab w:val="left" w:pos="720"/>
        </w:tabs>
        <w:spacing w:line="360" w:lineRule="auto"/>
        <w:ind w:left="720" w:hanging="720"/>
        <w:rPr>
          <w:szCs w:val="21"/>
        </w:rPr>
      </w:pPr>
    </w:p>
    <w:p>
      <w:pPr>
        <w:pStyle w:val="48"/>
        <w:tabs>
          <w:tab w:val="clear" w:pos="709"/>
        </w:tabs>
        <w:spacing w:line="360" w:lineRule="auto"/>
        <w:rPr>
          <w:b/>
        </w:rPr>
      </w:pPr>
      <w:r>
        <w:rPr>
          <w:rFonts w:hint="eastAsia"/>
          <w:b/>
        </w:rPr>
        <w:t>转包与分包</w:t>
      </w:r>
    </w:p>
    <w:p>
      <w:pPr>
        <w:pStyle w:val="48"/>
        <w:numPr>
          <w:ilvl w:val="0"/>
          <w:numId w:val="0"/>
        </w:numPr>
        <w:spacing w:line="360" w:lineRule="auto"/>
      </w:pPr>
      <w:r>
        <w:t xml:space="preserve">13.1  </w:t>
      </w:r>
      <w:r>
        <w:rPr>
          <w:rFonts w:hint="eastAsia"/>
        </w:rPr>
        <w:t>谈判承包人根据采购项目的实际情况，拟在成交后将项目的非主体、非关键性工作交由他人完成，应当在报价中载明。</w:t>
      </w:r>
    </w:p>
    <w:p>
      <w:pPr>
        <w:tabs>
          <w:tab w:val="left" w:pos="720"/>
        </w:tabs>
        <w:spacing w:line="360" w:lineRule="auto"/>
        <w:ind w:left="720" w:hanging="720"/>
      </w:pPr>
    </w:p>
    <w:p>
      <w:pPr>
        <w:pStyle w:val="48"/>
        <w:tabs>
          <w:tab w:val="clear" w:pos="709"/>
        </w:tabs>
        <w:spacing w:line="360" w:lineRule="auto"/>
        <w:rPr>
          <w:b/>
        </w:rPr>
      </w:pPr>
      <w:r>
        <w:rPr>
          <w:rFonts w:hint="eastAsia"/>
          <w:b/>
        </w:rPr>
        <w:t>报价保证金：</w:t>
      </w:r>
      <w:r>
        <w:rPr>
          <w:b/>
          <w:u w:val="single"/>
          <w:lang w:val="en-US" w:eastAsia="zh-CN"/>
        </w:rPr>
        <w:t>/</w:t>
      </w:r>
      <w:r>
        <w:rPr>
          <w:rFonts w:hint="eastAsia"/>
          <w:b/>
        </w:rPr>
        <w:t>万元。</w:t>
      </w:r>
    </w:p>
    <w:p>
      <w:pPr>
        <w:pStyle w:val="48"/>
        <w:numPr>
          <w:ilvl w:val="0"/>
          <w:numId w:val="0"/>
        </w:numPr>
        <w:spacing w:line="360" w:lineRule="auto"/>
        <w:ind w:firstLine="220" w:firstLineChars="100"/>
      </w:pPr>
      <w:r>
        <w:t>14.1</w:t>
      </w:r>
      <w:r>
        <w:rPr>
          <w:rFonts w:hint="eastAsia"/>
        </w:rPr>
        <w:t>谈判承包人应提供报价保证金。</w:t>
      </w:r>
    </w:p>
    <w:p>
      <w:pPr>
        <w:pStyle w:val="48"/>
        <w:numPr>
          <w:ilvl w:val="0"/>
          <w:numId w:val="0"/>
        </w:numPr>
        <w:spacing w:line="360" w:lineRule="auto"/>
      </w:pPr>
      <w:r>
        <w:t xml:space="preserve">  14.2 </w:t>
      </w:r>
      <w:r>
        <w:rPr>
          <w:rFonts w:hint="eastAsia"/>
        </w:rPr>
        <w:t>报价保证金可采用下列形式之一种：</w:t>
      </w:r>
    </w:p>
    <w:p>
      <w:pPr>
        <w:pStyle w:val="48"/>
        <w:numPr>
          <w:ilvl w:val="0"/>
          <w:numId w:val="0"/>
        </w:numPr>
        <w:spacing w:line="360" w:lineRule="auto"/>
      </w:pPr>
      <w:r>
        <w:t xml:space="preserve">       </w:t>
      </w:r>
      <w:r>
        <w:rPr>
          <w:rFonts w:hint="eastAsia"/>
        </w:rPr>
        <w:t>支票、现金</w:t>
      </w:r>
    </w:p>
    <w:p>
      <w:pPr>
        <w:pStyle w:val="48"/>
        <w:numPr>
          <w:ilvl w:val="0"/>
          <w:numId w:val="0"/>
        </w:numPr>
        <w:spacing w:line="360" w:lineRule="auto"/>
      </w:pPr>
      <w:r>
        <w:t xml:space="preserve">  14.3 </w:t>
      </w:r>
      <w:r>
        <w:rPr>
          <w:rFonts w:hint="eastAsia"/>
        </w:rPr>
        <w:t>未按</w:t>
      </w:r>
      <w:r>
        <w:t>14.1</w:t>
      </w:r>
      <w:r>
        <w:rPr>
          <w:rFonts w:hint="eastAsia"/>
        </w:rPr>
        <w:t>和第</w:t>
      </w:r>
      <w:r>
        <w:t>14.2</w:t>
      </w:r>
      <w:r>
        <w:rPr>
          <w:rFonts w:hint="eastAsia"/>
        </w:rPr>
        <w:t>条要求提交报价保证金的投标将被视为投标无效。</w:t>
      </w:r>
    </w:p>
    <w:p>
      <w:pPr>
        <w:pStyle w:val="48"/>
        <w:numPr>
          <w:ilvl w:val="0"/>
          <w:numId w:val="0"/>
        </w:numPr>
        <w:spacing w:line="360" w:lineRule="auto"/>
      </w:pPr>
      <w:r>
        <w:t xml:space="preserve">  14.4 </w:t>
      </w:r>
      <w:r>
        <w:rPr>
          <w:rFonts w:hint="eastAsia"/>
        </w:rPr>
        <w:t>成交承包人的报价保证金在与买方签订合同的</w:t>
      </w:r>
      <w:r>
        <w:t>5</w:t>
      </w:r>
      <w:r>
        <w:rPr>
          <w:rFonts w:hint="eastAsia"/>
        </w:rPr>
        <w:t>个工作日后无息退还。</w:t>
      </w:r>
    </w:p>
    <w:p>
      <w:pPr>
        <w:pStyle w:val="48"/>
        <w:numPr>
          <w:ilvl w:val="0"/>
          <w:numId w:val="0"/>
        </w:numPr>
        <w:spacing w:line="360" w:lineRule="auto"/>
      </w:pPr>
      <w:r>
        <w:t xml:space="preserve">  14.5 </w:t>
      </w:r>
      <w:r>
        <w:rPr>
          <w:rFonts w:hint="eastAsia"/>
        </w:rPr>
        <w:t>落标承包人的报价保证金将在发出中标通知书</w:t>
      </w:r>
      <w:r>
        <w:t>5</w:t>
      </w:r>
      <w:r>
        <w:rPr>
          <w:rFonts w:hint="eastAsia"/>
        </w:rPr>
        <w:t>个工作日内无息退还。</w:t>
      </w:r>
    </w:p>
    <w:p>
      <w:pPr>
        <w:pStyle w:val="48"/>
        <w:numPr>
          <w:ilvl w:val="0"/>
          <w:numId w:val="0"/>
        </w:numPr>
        <w:spacing w:line="360" w:lineRule="auto"/>
      </w:pPr>
      <w:r>
        <w:t xml:space="preserve">  14.6 </w:t>
      </w:r>
      <w:r>
        <w:rPr>
          <w:rFonts w:hint="eastAsia"/>
        </w:rPr>
        <w:t>发生下列情况之一，报价保证金将被没收。</w:t>
      </w:r>
    </w:p>
    <w:p>
      <w:pPr>
        <w:pStyle w:val="48"/>
        <w:numPr>
          <w:ilvl w:val="0"/>
          <w:numId w:val="0"/>
        </w:numPr>
        <w:spacing w:line="360" w:lineRule="auto"/>
      </w:pPr>
      <w:r>
        <w:t xml:space="preserve">  (1) </w:t>
      </w:r>
      <w:r>
        <w:rPr>
          <w:rFonts w:hint="eastAsia"/>
        </w:rPr>
        <w:t>谈判后在谈判有效期间，谈判承包人撤回其报价文件。</w:t>
      </w:r>
    </w:p>
    <w:p>
      <w:pPr>
        <w:pStyle w:val="48"/>
        <w:numPr>
          <w:ilvl w:val="0"/>
          <w:numId w:val="0"/>
        </w:numPr>
        <w:spacing w:line="360" w:lineRule="auto"/>
      </w:pPr>
      <w:r>
        <w:t xml:space="preserve">  (2) </w:t>
      </w:r>
      <w:r>
        <w:rPr>
          <w:rFonts w:hint="eastAsia"/>
        </w:rPr>
        <w:t>成交承包人不按本须知第</w:t>
      </w:r>
      <w:r>
        <w:t>26</w:t>
      </w:r>
      <w:r>
        <w:rPr>
          <w:rFonts w:hint="eastAsia"/>
        </w:rPr>
        <w:t>条规定签约。</w:t>
      </w:r>
    </w:p>
    <w:p>
      <w:pPr>
        <w:pStyle w:val="48"/>
        <w:numPr>
          <w:ilvl w:val="0"/>
          <w:numId w:val="0"/>
        </w:numPr>
        <w:spacing w:line="360" w:lineRule="auto"/>
      </w:pPr>
      <w:r>
        <w:t xml:space="preserve">  (3) </w:t>
      </w:r>
      <w:r>
        <w:rPr>
          <w:rFonts w:hint="eastAsia"/>
        </w:rPr>
        <w:t>成交承包人不按本须知第</w:t>
      </w:r>
      <w:r>
        <w:t>27</w:t>
      </w:r>
      <w:r>
        <w:rPr>
          <w:rFonts w:hint="eastAsia"/>
        </w:rPr>
        <w:t>条规定缴付成交服务费。</w:t>
      </w:r>
    </w:p>
    <w:p>
      <w:pPr>
        <w:tabs>
          <w:tab w:val="left" w:pos="720"/>
        </w:tabs>
        <w:spacing w:line="360" w:lineRule="auto"/>
        <w:ind w:left="720" w:hanging="720"/>
      </w:pPr>
    </w:p>
    <w:p>
      <w:pPr>
        <w:pStyle w:val="48"/>
        <w:tabs>
          <w:tab w:val="clear" w:pos="709"/>
        </w:tabs>
        <w:spacing w:line="360" w:lineRule="auto"/>
        <w:rPr>
          <w:b/>
        </w:rPr>
      </w:pPr>
      <w:r>
        <w:rPr>
          <w:rFonts w:hint="eastAsia"/>
          <w:b/>
        </w:rPr>
        <w:t>谈判响应文件的有效期</w:t>
      </w:r>
    </w:p>
    <w:p>
      <w:pPr>
        <w:pStyle w:val="48"/>
        <w:numPr>
          <w:ilvl w:val="1"/>
          <w:numId w:val="16"/>
        </w:numPr>
        <w:spacing w:line="360" w:lineRule="auto"/>
      </w:pPr>
      <w:r>
        <w:rPr>
          <w:rFonts w:hint="eastAsia"/>
        </w:rPr>
        <w:t>自报价日起</w:t>
      </w:r>
      <w:r>
        <w:rPr>
          <w:u w:val="single"/>
          <w:lang w:eastAsia="zh-CN"/>
        </w:rPr>
        <w:t>8</w:t>
      </w:r>
      <w:r>
        <w:rPr>
          <w:u w:val="single"/>
        </w:rPr>
        <w:t>0</w:t>
      </w:r>
      <w:r>
        <w:rPr>
          <w:rFonts w:hint="eastAsia"/>
          <w:u w:val="single"/>
        </w:rPr>
        <w:t>日</w:t>
      </w:r>
      <w:r>
        <w:rPr>
          <w:rFonts w:hint="eastAsia"/>
        </w:rPr>
        <w:t>内，谈判响应文件应保持有效。有效期短于该规定期限的报价，将被拒绝。</w:t>
      </w:r>
    </w:p>
    <w:p>
      <w:pPr>
        <w:pStyle w:val="48"/>
        <w:numPr>
          <w:ilvl w:val="1"/>
          <w:numId w:val="16"/>
        </w:numPr>
        <w:spacing w:line="360" w:lineRule="auto"/>
      </w:pPr>
      <w:r>
        <w:rPr>
          <w:rFonts w:hint="eastAsia"/>
        </w:rPr>
        <w:t>在特殊情况下，采购人可与谈判承包人协商延长谈判响应文件的有效期。这种要求和答复都应以书面形式进行。谈判承包人可以拒绝接受延期要求而不会被列入不良行为记录名单。同意延长有效期的谈判承包人除按照采购人要求修改谈判响应文件有效期外，不能修改谈判响应文件的其他内容。</w:t>
      </w:r>
    </w:p>
    <w:p>
      <w:pPr>
        <w:tabs>
          <w:tab w:val="left" w:pos="720"/>
        </w:tabs>
        <w:spacing w:line="360" w:lineRule="auto"/>
        <w:ind w:left="720" w:hanging="720"/>
      </w:pPr>
    </w:p>
    <w:p>
      <w:pPr>
        <w:pStyle w:val="48"/>
        <w:tabs>
          <w:tab w:val="clear" w:pos="709"/>
        </w:tabs>
        <w:spacing w:line="360" w:lineRule="auto"/>
        <w:rPr>
          <w:b/>
        </w:rPr>
      </w:pPr>
      <w:r>
        <w:rPr>
          <w:rFonts w:hint="eastAsia"/>
          <w:b/>
        </w:rPr>
        <w:t>谈判响应文件的签署及其他规定</w:t>
      </w:r>
    </w:p>
    <w:p>
      <w:pPr>
        <w:pStyle w:val="48"/>
        <w:numPr>
          <w:ilvl w:val="1"/>
          <w:numId w:val="17"/>
        </w:numPr>
        <w:spacing w:line="360" w:lineRule="auto"/>
      </w:pPr>
      <w:r>
        <w:rPr>
          <w:rFonts w:hint="eastAsia"/>
        </w:rPr>
        <w:t>组成谈判响应文件的各项文件均应遵守本条。</w:t>
      </w:r>
    </w:p>
    <w:p>
      <w:pPr>
        <w:pStyle w:val="48"/>
        <w:numPr>
          <w:ilvl w:val="1"/>
          <w:numId w:val="17"/>
        </w:numPr>
        <w:spacing w:line="360" w:lineRule="auto"/>
      </w:pPr>
      <w:r>
        <w:rPr>
          <w:rFonts w:hint="eastAsia"/>
        </w:rPr>
        <w:t>法定代表人如果授权谈判承包人代表处理一切与本次谈判有关事宜，须将书面形式的《法定代表人授权委托书》（按照本竞争性谈判文件第七部分格式填写）原件附在谈判响应文件中，否则按无效报价处理。</w:t>
      </w:r>
    </w:p>
    <w:p>
      <w:pPr>
        <w:pStyle w:val="48"/>
        <w:numPr>
          <w:ilvl w:val="1"/>
          <w:numId w:val="17"/>
        </w:numPr>
        <w:spacing w:line="360" w:lineRule="auto"/>
      </w:pPr>
      <w:r>
        <w:rPr>
          <w:rFonts w:hint="eastAsia"/>
        </w:rPr>
        <w:t>谈判承包人应按照竞争性谈判文件要求，在谈判响应文件适当的位置填写谈判承包人全称并加盖公章，同时签署法定代表人或谈判承包人代表的中文全名。</w:t>
      </w:r>
    </w:p>
    <w:p>
      <w:pPr>
        <w:pStyle w:val="48"/>
        <w:numPr>
          <w:ilvl w:val="1"/>
          <w:numId w:val="17"/>
        </w:numPr>
        <w:spacing w:line="360" w:lineRule="auto"/>
      </w:pPr>
      <w:r>
        <w:rPr>
          <w:rFonts w:hint="eastAsia"/>
        </w:rPr>
        <w:t>谈判响应文件提交份数详见谈判须知前附表。</w:t>
      </w:r>
    </w:p>
    <w:p>
      <w:pPr>
        <w:pStyle w:val="48"/>
        <w:numPr>
          <w:ilvl w:val="1"/>
          <w:numId w:val="17"/>
        </w:numPr>
        <w:spacing w:line="360" w:lineRule="auto"/>
      </w:pPr>
      <w:r>
        <w:rPr>
          <w:rFonts w:hint="eastAsia"/>
        </w:rPr>
        <w:t>谈判响应文件的正本必须用不褪色的蓝黑墨水填写或打印，注明“正本”字样，并由谈判承包人的法定代表人或谈判承包人代表签字。</w:t>
      </w:r>
    </w:p>
    <w:p>
      <w:pPr>
        <w:pStyle w:val="48"/>
        <w:numPr>
          <w:ilvl w:val="1"/>
          <w:numId w:val="17"/>
        </w:numPr>
        <w:spacing w:line="360" w:lineRule="auto"/>
      </w:pPr>
      <w:r>
        <w:rPr>
          <w:rFonts w:hint="eastAsia"/>
        </w:rPr>
        <w:t>谈判响应文件应字迹清楚、内容齐全、不得涂改和增删。如果有修改错漏处，修改处须有谈判承包人公章及法定代表人或谈判承包人代表签字。</w:t>
      </w:r>
    </w:p>
    <w:p>
      <w:pPr>
        <w:pStyle w:val="48"/>
        <w:numPr>
          <w:ilvl w:val="1"/>
          <w:numId w:val="17"/>
        </w:numPr>
        <w:spacing w:line="360" w:lineRule="auto"/>
      </w:pPr>
      <w:r>
        <w:rPr>
          <w:rFonts w:hint="eastAsia"/>
        </w:rPr>
        <w:t>因谈判响应文件字迹潦草或表达不清所引起的不利后果由谈判承包人承担。</w:t>
      </w:r>
    </w:p>
    <w:p>
      <w:pPr>
        <w:pStyle w:val="47"/>
        <w:numPr>
          <w:ilvl w:val="0"/>
          <w:numId w:val="0"/>
        </w:numPr>
        <w:spacing w:line="360" w:lineRule="auto"/>
        <w:rPr>
          <w:color w:val="auto"/>
        </w:rPr>
      </w:pPr>
      <w:r>
        <w:rPr>
          <w:rFonts w:hint="eastAsia"/>
          <w:color w:val="auto"/>
        </w:rPr>
        <w:t>四、谈判响应文件的递交</w:t>
      </w:r>
    </w:p>
    <w:p>
      <w:pPr>
        <w:pStyle w:val="48"/>
        <w:tabs>
          <w:tab w:val="clear" w:pos="709"/>
        </w:tabs>
        <w:spacing w:line="360" w:lineRule="auto"/>
        <w:rPr>
          <w:b/>
        </w:rPr>
      </w:pPr>
      <w:r>
        <w:rPr>
          <w:rFonts w:hint="eastAsia"/>
          <w:b/>
        </w:rPr>
        <w:t>谈判响应文件的密封及标记</w:t>
      </w:r>
    </w:p>
    <w:p>
      <w:pPr>
        <w:pStyle w:val="48"/>
        <w:numPr>
          <w:ilvl w:val="1"/>
          <w:numId w:val="18"/>
        </w:numPr>
        <w:spacing w:line="360" w:lineRule="auto"/>
      </w:pPr>
      <w:r>
        <w:rPr>
          <w:rFonts w:hint="eastAsia"/>
        </w:rPr>
        <w:t>谈判响应文件应按以下方法分别装袋密封：</w:t>
      </w:r>
    </w:p>
    <w:p>
      <w:pPr>
        <w:numPr>
          <w:ilvl w:val="0"/>
          <w:numId w:val="19"/>
        </w:numPr>
        <w:spacing w:line="360" w:lineRule="auto"/>
      </w:pPr>
      <w:r>
        <w:rPr>
          <w:rFonts w:hint="eastAsia"/>
        </w:rPr>
        <w:t>谈判响应文件密封袋内装谈判响应文件（及谈判承包人认为有必要提交的其他资料）。封口处应有法定代表人或谈判承包人代表的签字及谈判承包人公章。封皮上写明项目编号、项目名称、谈判承包人全称、地址，并注明“报价时启封”字样。</w:t>
      </w:r>
    </w:p>
    <w:p>
      <w:pPr>
        <w:numPr>
          <w:ilvl w:val="0"/>
          <w:numId w:val="19"/>
        </w:numPr>
        <w:spacing w:line="360" w:lineRule="auto"/>
      </w:pPr>
      <w:r>
        <w:rPr>
          <w:rFonts w:hint="eastAsia"/>
        </w:rPr>
        <w:t>二次报价函应标明为二次报价，报价内容如无法加盖公章，须由授权报价代表签字。</w:t>
      </w:r>
    </w:p>
    <w:p>
      <w:pPr>
        <w:pStyle w:val="48"/>
        <w:numPr>
          <w:ilvl w:val="1"/>
          <w:numId w:val="18"/>
        </w:numPr>
        <w:spacing w:line="360" w:lineRule="auto"/>
      </w:pPr>
      <w:r>
        <w:rPr>
          <w:rFonts w:hint="eastAsia"/>
        </w:rPr>
        <w:t>如果谈判承包人未按上述要求对谈判响应文件密封，采购人对谈判响应文件的误投和提前启封概不负责。对由此造成提前开封的谈判响应文件，采购人有权予以拒绝，并退回谈判承包人。</w:t>
      </w:r>
    </w:p>
    <w:p>
      <w:pPr>
        <w:tabs>
          <w:tab w:val="left" w:pos="720"/>
        </w:tabs>
        <w:spacing w:line="360" w:lineRule="auto"/>
        <w:ind w:left="720" w:hanging="720"/>
      </w:pPr>
    </w:p>
    <w:p>
      <w:pPr>
        <w:pStyle w:val="48"/>
        <w:tabs>
          <w:tab w:val="clear" w:pos="709"/>
        </w:tabs>
        <w:spacing w:line="360" w:lineRule="auto"/>
        <w:rPr>
          <w:b/>
        </w:rPr>
      </w:pPr>
      <w:r>
        <w:rPr>
          <w:rFonts w:hint="eastAsia"/>
          <w:b/>
        </w:rPr>
        <w:t>报价截止时间</w:t>
      </w:r>
    </w:p>
    <w:p>
      <w:pPr>
        <w:pStyle w:val="48"/>
        <w:numPr>
          <w:ilvl w:val="1"/>
          <w:numId w:val="20"/>
        </w:numPr>
        <w:spacing w:line="360" w:lineRule="auto"/>
      </w:pPr>
      <w:r>
        <w:rPr>
          <w:rFonts w:hint="eastAsia"/>
        </w:rPr>
        <w:t>谈判响应文件须按照竞争性谈判文件规定的时间、地点送达。</w:t>
      </w:r>
    </w:p>
    <w:p>
      <w:pPr>
        <w:pStyle w:val="48"/>
        <w:numPr>
          <w:ilvl w:val="1"/>
          <w:numId w:val="20"/>
        </w:numPr>
        <w:spacing w:line="360" w:lineRule="auto"/>
      </w:pPr>
      <w:r>
        <w:rPr>
          <w:rFonts w:hint="eastAsia"/>
        </w:rPr>
        <w:t>采购人推迟报价截止时间时，将以书面形式，通知所有登记备案并领取了竞争性谈判文件的谈判承包人。在这种情况下，采购人和谈判承包人的权利及义务将受到新的截止期的约束。</w:t>
      </w:r>
    </w:p>
    <w:p>
      <w:pPr>
        <w:pStyle w:val="48"/>
        <w:numPr>
          <w:ilvl w:val="1"/>
          <w:numId w:val="20"/>
        </w:numPr>
        <w:spacing w:line="360" w:lineRule="auto"/>
      </w:pPr>
      <w:r>
        <w:rPr>
          <w:rFonts w:hint="eastAsia"/>
        </w:rPr>
        <w:t>在提交谈判响应文件截止时间以后送达的谈判响应文件，采购人拒绝接收。</w:t>
      </w:r>
    </w:p>
    <w:p>
      <w:pPr>
        <w:tabs>
          <w:tab w:val="left" w:pos="720"/>
        </w:tabs>
        <w:spacing w:line="360" w:lineRule="auto"/>
        <w:ind w:left="720" w:hanging="720"/>
      </w:pPr>
    </w:p>
    <w:p>
      <w:pPr>
        <w:pStyle w:val="48"/>
        <w:tabs>
          <w:tab w:val="clear" w:pos="709"/>
        </w:tabs>
        <w:spacing w:line="360" w:lineRule="auto"/>
        <w:rPr>
          <w:b/>
        </w:rPr>
      </w:pPr>
      <w:r>
        <w:rPr>
          <w:rFonts w:hint="eastAsia"/>
          <w:b/>
        </w:rPr>
        <w:t>谈判响应文件的修改和撤回</w:t>
      </w:r>
    </w:p>
    <w:p>
      <w:pPr>
        <w:pStyle w:val="48"/>
        <w:numPr>
          <w:ilvl w:val="1"/>
          <w:numId w:val="21"/>
        </w:numPr>
        <w:spacing w:line="360" w:lineRule="auto"/>
      </w:pPr>
      <w:r>
        <w:rPr>
          <w:rFonts w:hint="eastAsia"/>
        </w:rPr>
        <w:t>如果谈判承包人有修改和撤回谈判响应文件要求的，须在提交谈判响应文件截止时间前提出，并经采购人签字确认接受，否则无效。</w:t>
      </w:r>
    </w:p>
    <w:p>
      <w:pPr>
        <w:pStyle w:val="48"/>
        <w:numPr>
          <w:ilvl w:val="1"/>
          <w:numId w:val="21"/>
        </w:numPr>
        <w:spacing w:line="360" w:lineRule="auto"/>
      </w:pPr>
      <w:r>
        <w:rPr>
          <w:rFonts w:hint="eastAsia"/>
        </w:rPr>
        <w:t>谈判承包人修改谈判响应文件的书面材料，须密封提交，同时应在封套上标明“修改谈判响应文件</w:t>
      </w:r>
      <w:r>
        <w:t>(</w:t>
      </w:r>
      <w:r>
        <w:rPr>
          <w:rFonts w:hint="eastAsia"/>
        </w:rPr>
        <w:t>并注明项目编号</w:t>
      </w:r>
      <w:r>
        <w:t>)</w:t>
      </w:r>
      <w:r>
        <w:rPr>
          <w:rFonts w:hint="eastAsia"/>
        </w:rPr>
        <w:t>”和“报价时启封”字样。</w:t>
      </w:r>
    </w:p>
    <w:p>
      <w:pPr>
        <w:pStyle w:val="48"/>
        <w:numPr>
          <w:ilvl w:val="1"/>
          <w:numId w:val="21"/>
        </w:numPr>
        <w:spacing w:line="360" w:lineRule="auto"/>
      </w:pPr>
      <w:r>
        <w:rPr>
          <w:rFonts w:hint="eastAsia"/>
        </w:rPr>
        <w:t>撤回谈判响应文件的要求应以书面形式提出，由谈判承包人法定代表人或谈判承包人代表签署，并在提交谈判响应文件截止时间前提出。</w:t>
      </w:r>
    </w:p>
    <w:p>
      <w:pPr>
        <w:pStyle w:val="48"/>
        <w:numPr>
          <w:ilvl w:val="1"/>
          <w:numId w:val="21"/>
        </w:numPr>
        <w:spacing w:line="360" w:lineRule="auto"/>
      </w:pPr>
      <w:r>
        <w:rPr>
          <w:rFonts w:hint="eastAsia"/>
        </w:rPr>
        <w:t>在提交谈判响应文件截止时间之后，谈判承包人不得撤回报价。否则撤回谈判响应文件的行为将被记录在案，谈判承包人今后参与同类政府采购项目的机会可能会受到影响。</w:t>
      </w:r>
    </w:p>
    <w:p>
      <w:pPr>
        <w:pStyle w:val="47"/>
        <w:numPr>
          <w:ilvl w:val="0"/>
          <w:numId w:val="0"/>
        </w:numPr>
        <w:spacing w:line="360" w:lineRule="auto"/>
        <w:rPr>
          <w:color w:val="auto"/>
        </w:rPr>
      </w:pPr>
      <w:r>
        <w:rPr>
          <w:rFonts w:hint="eastAsia"/>
          <w:color w:val="auto"/>
        </w:rPr>
        <w:t>五、谈判流程</w:t>
      </w:r>
    </w:p>
    <w:p>
      <w:pPr>
        <w:pStyle w:val="48"/>
        <w:tabs>
          <w:tab w:val="clear" w:pos="709"/>
        </w:tabs>
        <w:spacing w:line="360" w:lineRule="auto"/>
        <w:rPr>
          <w:b/>
        </w:rPr>
      </w:pPr>
      <w:r>
        <w:rPr>
          <w:rFonts w:hint="eastAsia"/>
          <w:b/>
        </w:rPr>
        <w:t>谈判原则</w:t>
      </w:r>
    </w:p>
    <w:p>
      <w:pPr>
        <w:pStyle w:val="48"/>
        <w:numPr>
          <w:ilvl w:val="0"/>
          <w:numId w:val="0"/>
        </w:numPr>
        <w:spacing w:line="360" w:lineRule="auto"/>
      </w:pPr>
      <w:r>
        <w:t xml:space="preserve">20.1  </w:t>
      </w:r>
      <w:r>
        <w:rPr>
          <w:rFonts w:hint="eastAsia"/>
        </w:rPr>
        <w:t>谈判承包人资质条件是否响应竞争性谈判文件的要求；</w:t>
      </w:r>
    </w:p>
    <w:p>
      <w:pPr>
        <w:pStyle w:val="48"/>
        <w:numPr>
          <w:ilvl w:val="0"/>
          <w:numId w:val="0"/>
        </w:numPr>
        <w:spacing w:line="360" w:lineRule="auto"/>
      </w:pPr>
      <w:r>
        <w:t xml:space="preserve">20.2  </w:t>
      </w:r>
      <w:r>
        <w:rPr>
          <w:rFonts w:hint="eastAsia"/>
        </w:rPr>
        <w:t>谈判承包人在谈判响应文件中提交的商务和技术文件是否响应竞争性谈判文件的要求；</w:t>
      </w:r>
    </w:p>
    <w:p>
      <w:pPr>
        <w:pStyle w:val="48"/>
        <w:numPr>
          <w:ilvl w:val="0"/>
          <w:numId w:val="0"/>
        </w:numPr>
        <w:spacing w:line="360" w:lineRule="auto"/>
      </w:pPr>
      <w:r>
        <w:t xml:space="preserve">20.3  </w:t>
      </w:r>
      <w:r>
        <w:rPr>
          <w:rFonts w:hint="eastAsia"/>
        </w:rPr>
        <w:t>谈判承包人自行编写的技术文件是否合理可行；</w:t>
      </w:r>
    </w:p>
    <w:p>
      <w:pPr>
        <w:pStyle w:val="48"/>
        <w:numPr>
          <w:ilvl w:val="0"/>
          <w:numId w:val="0"/>
        </w:numPr>
        <w:spacing w:line="360" w:lineRule="auto"/>
      </w:pPr>
      <w:r>
        <w:t xml:space="preserve">20.4  </w:t>
      </w:r>
      <w:r>
        <w:rPr>
          <w:rFonts w:hint="eastAsia"/>
        </w:rPr>
        <w:t>谈判承包人是否具备良好的财务状况和偿付能力；</w:t>
      </w:r>
    </w:p>
    <w:p>
      <w:pPr>
        <w:pStyle w:val="48"/>
        <w:numPr>
          <w:ilvl w:val="0"/>
          <w:numId w:val="0"/>
        </w:numPr>
        <w:spacing w:line="360" w:lineRule="auto"/>
      </w:pPr>
      <w:r>
        <w:t xml:space="preserve">20.5  </w:t>
      </w:r>
      <w:r>
        <w:rPr>
          <w:rFonts w:hint="eastAsia"/>
        </w:rPr>
        <w:t>所报价格是否合理；</w:t>
      </w:r>
    </w:p>
    <w:p>
      <w:pPr>
        <w:pStyle w:val="48"/>
        <w:numPr>
          <w:ilvl w:val="0"/>
          <w:numId w:val="0"/>
        </w:numPr>
        <w:tabs>
          <w:tab w:val="left" w:pos="420"/>
        </w:tabs>
        <w:snapToGrid w:val="0"/>
        <w:spacing w:line="360" w:lineRule="auto"/>
        <w:ind w:left="777" w:leftChars="353" w:firstLine="110" w:firstLineChars="50"/>
      </w:pPr>
    </w:p>
    <w:p>
      <w:pPr>
        <w:pStyle w:val="48"/>
        <w:tabs>
          <w:tab w:val="clear" w:pos="709"/>
        </w:tabs>
        <w:spacing w:line="360" w:lineRule="auto"/>
        <w:rPr>
          <w:b/>
        </w:rPr>
      </w:pPr>
      <w:r>
        <w:rPr>
          <w:rFonts w:hint="eastAsia"/>
          <w:b/>
        </w:rPr>
        <w:t>谈判程序如下：</w:t>
      </w:r>
    </w:p>
    <w:p>
      <w:pPr>
        <w:pStyle w:val="48"/>
        <w:numPr>
          <w:ilvl w:val="0"/>
          <w:numId w:val="0"/>
        </w:numPr>
        <w:spacing w:line="360" w:lineRule="auto"/>
        <w:rPr>
          <w:b/>
        </w:rPr>
      </w:pPr>
      <w:r>
        <w:rPr>
          <w:b/>
        </w:rPr>
        <w:t xml:space="preserve">21.1 </w:t>
      </w:r>
      <w:r>
        <w:rPr>
          <w:rFonts w:hint="eastAsia"/>
          <w:b/>
        </w:rPr>
        <w:t>谈判</w:t>
      </w:r>
    </w:p>
    <w:p>
      <w:pPr>
        <w:pStyle w:val="48"/>
        <w:numPr>
          <w:ilvl w:val="0"/>
          <w:numId w:val="0"/>
        </w:numPr>
        <w:spacing w:line="360" w:lineRule="auto"/>
      </w:pPr>
      <w:r>
        <w:t>21.1.1</w:t>
      </w:r>
      <w:r>
        <w:rPr>
          <w:rFonts w:hint="eastAsia"/>
        </w:rPr>
        <w:t>每个谈判承包人都将与谈判小组进行一轮谈判。谈判承包人应按</w:t>
      </w:r>
      <w:r>
        <w:rPr>
          <w:rFonts w:hint="eastAsia"/>
          <w:lang w:eastAsia="zh-CN"/>
        </w:rPr>
        <w:t>采购人</w:t>
      </w:r>
      <w:r>
        <w:rPr>
          <w:rFonts w:hint="eastAsia"/>
        </w:rPr>
        <w:t>通知的时间、地点，由法定代表人或其授权代表及相关技术人员参加谈判。</w:t>
      </w:r>
    </w:p>
    <w:p>
      <w:pPr>
        <w:pStyle w:val="48"/>
        <w:numPr>
          <w:ilvl w:val="0"/>
          <w:numId w:val="0"/>
        </w:numPr>
        <w:spacing w:line="360" w:lineRule="auto"/>
      </w:pPr>
      <w:r>
        <w:t>21.1.2</w:t>
      </w:r>
      <w:r>
        <w:rPr>
          <w:rFonts w:hint="eastAsia"/>
        </w:rPr>
        <w:t>谈判内容包括谈判承包人阐述其服务方案、商务文件和服务要求的响应情况、所报价格等以及谈判小组认为存在偏离或有必要明确的其它问题。谈判小组将对谈判内容以谈判纪要的形式做出书面记录，谈判结束后，谈判承包人代表应在谈判纪要上签字确认。</w:t>
      </w:r>
    </w:p>
    <w:p>
      <w:pPr>
        <w:pStyle w:val="48"/>
        <w:numPr>
          <w:ilvl w:val="0"/>
          <w:numId w:val="0"/>
        </w:numPr>
        <w:spacing w:line="360" w:lineRule="auto"/>
      </w:pPr>
      <w:r>
        <w:t>21.1.3</w:t>
      </w:r>
      <w:r>
        <w:rPr>
          <w:rFonts w:hint="eastAsia"/>
        </w:rPr>
        <w:t>如果谈判中谈判小组确认需要谈判承包人就谈判中的相关问题做出补正，谈判承包人须在谈判结束后规定时间内出具由谈判承包人代表签字确认的补正函。若谈判承包人未按要求出具补正函视为谈判承包人放弃参与该项目。</w:t>
      </w:r>
    </w:p>
    <w:p>
      <w:pPr>
        <w:pStyle w:val="48"/>
        <w:numPr>
          <w:ilvl w:val="0"/>
          <w:numId w:val="0"/>
        </w:numPr>
        <w:spacing w:line="360" w:lineRule="auto"/>
      </w:pPr>
      <w:r>
        <w:t>21.1.4</w:t>
      </w:r>
      <w:r>
        <w:rPr>
          <w:rFonts w:hint="eastAsia"/>
        </w:rPr>
        <w:t>谈判过程中，如果谈判小组对竞争性谈判文件实质性内容做出变更，</w:t>
      </w:r>
      <w:r>
        <w:rPr>
          <w:rFonts w:hint="eastAsia"/>
          <w:lang w:eastAsia="zh-CN"/>
        </w:rPr>
        <w:t>采购人</w:t>
      </w:r>
      <w:r>
        <w:rPr>
          <w:rFonts w:hint="eastAsia"/>
        </w:rPr>
        <w:t>将通知所有参加谈判的谈判承包人，使每个谈判承包人均有同等机会根据修改后的谈判条件提交新的方案。</w:t>
      </w:r>
    </w:p>
    <w:p>
      <w:pPr>
        <w:pStyle w:val="48"/>
        <w:numPr>
          <w:ilvl w:val="0"/>
          <w:numId w:val="0"/>
        </w:numPr>
        <w:spacing w:line="360" w:lineRule="auto"/>
      </w:pPr>
      <w:r>
        <w:t xml:space="preserve">21.1.5 </w:t>
      </w:r>
      <w:r>
        <w:rPr>
          <w:rFonts w:hint="eastAsia"/>
        </w:rPr>
        <w:t>每个谈判承包人的谈判时间不超过</w:t>
      </w:r>
      <w:r>
        <w:t>15</w:t>
      </w:r>
      <w:r>
        <w:rPr>
          <w:rFonts w:hint="eastAsia"/>
        </w:rPr>
        <w:t>分钟。其中，</w:t>
      </w:r>
      <w:r>
        <w:t>5</w:t>
      </w:r>
      <w:r>
        <w:rPr>
          <w:rFonts w:hint="eastAsia"/>
        </w:rPr>
        <w:t>分钟自我陈述，</w:t>
      </w:r>
      <w:r>
        <w:t>10</w:t>
      </w:r>
      <w:r>
        <w:rPr>
          <w:rFonts w:hint="eastAsia"/>
        </w:rPr>
        <w:t>分钟专家提问。</w:t>
      </w:r>
    </w:p>
    <w:p>
      <w:pPr>
        <w:pStyle w:val="48"/>
        <w:numPr>
          <w:ilvl w:val="0"/>
          <w:numId w:val="0"/>
        </w:numPr>
        <w:spacing w:line="360" w:lineRule="auto"/>
      </w:pPr>
      <w:r>
        <w:t xml:space="preserve">21.2  </w:t>
      </w:r>
      <w:r>
        <w:rPr>
          <w:rFonts w:hint="eastAsia"/>
        </w:rPr>
        <w:t>二次报价</w:t>
      </w:r>
    </w:p>
    <w:p>
      <w:pPr>
        <w:pStyle w:val="48"/>
        <w:numPr>
          <w:ilvl w:val="0"/>
          <w:numId w:val="0"/>
        </w:numPr>
        <w:spacing w:line="360" w:lineRule="auto"/>
      </w:pPr>
      <w:r>
        <w:t>21.2.1</w:t>
      </w:r>
      <w:r>
        <w:rPr>
          <w:rFonts w:hint="eastAsia"/>
        </w:rPr>
        <w:t>一轮谈判结束后，根据谈判情况和各谈判承包人提交的谈判补正函情况，通过符合性审查的谈判承包人获得二次报价的资格。二次报价应按谈判小组要求的时间和方式提交。</w:t>
      </w:r>
    </w:p>
    <w:p>
      <w:pPr>
        <w:pStyle w:val="48"/>
        <w:numPr>
          <w:ilvl w:val="0"/>
          <w:numId w:val="0"/>
        </w:numPr>
        <w:spacing w:line="360" w:lineRule="auto"/>
      </w:pPr>
      <w:r>
        <w:t xml:space="preserve">21.3  </w:t>
      </w:r>
      <w:r>
        <w:rPr>
          <w:rFonts w:hint="eastAsia"/>
        </w:rPr>
        <w:t>确定成交承包人</w:t>
      </w:r>
    </w:p>
    <w:p>
      <w:pPr>
        <w:pStyle w:val="48"/>
        <w:numPr>
          <w:ilvl w:val="0"/>
          <w:numId w:val="0"/>
        </w:numPr>
        <w:spacing w:line="360" w:lineRule="auto"/>
      </w:pPr>
      <w:r>
        <w:t>21.3.1</w:t>
      </w:r>
      <w:r>
        <w:rPr>
          <w:rFonts w:hint="eastAsia"/>
        </w:rPr>
        <w:t>谈判小组根据谈判承包人的二次报价进行排序，按报价由低到高确定谈判承包人顺序。符合采购需求且二次报价最低的谈判承包人为成交承包人。</w:t>
      </w:r>
    </w:p>
    <w:p>
      <w:pPr>
        <w:pStyle w:val="48"/>
        <w:numPr>
          <w:ilvl w:val="0"/>
          <w:numId w:val="0"/>
        </w:numPr>
        <w:spacing w:line="360" w:lineRule="auto"/>
      </w:pPr>
      <w:r>
        <w:t>21.3.2</w:t>
      </w:r>
      <w:r>
        <w:rPr>
          <w:rFonts w:hint="eastAsia"/>
        </w:rPr>
        <w:t>采购人将在谈判结束后五个工作日内将谈判纪要送采购人。采购人将在收到谈判纪要后五个工作日内按前款规定确定成交承包人。</w:t>
      </w:r>
    </w:p>
    <w:p>
      <w:pPr>
        <w:tabs>
          <w:tab w:val="left" w:pos="720"/>
        </w:tabs>
        <w:spacing w:line="360" w:lineRule="auto"/>
      </w:pPr>
    </w:p>
    <w:p>
      <w:pPr>
        <w:pStyle w:val="48"/>
        <w:tabs>
          <w:tab w:val="clear" w:pos="709"/>
        </w:tabs>
        <w:spacing w:line="360" w:lineRule="auto"/>
        <w:rPr>
          <w:b/>
        </w:rPr>
      </w:pPr>
      <w:r>
        <w:rPr>
          <w:rFonts w:hint="eastAsia"/>
          <w:b/>
        </w:rPr>
        <w:t>谈判、评审过程保密</w:t>
      </w:r>
    </w:p>
    <w:p>
      <w:pPr>
        <w:pStyle w:val="48"/>
        <w:numPr>
          <w:ilvl w:val="0"/>
          <w:numId w:val="0"/>
        </w:numPr>
        <w:spacing w:line="360" w:lineRule="auto"/>
      </w:pPr>
      <w:r>
        <w:t xml:space="preserve">22.1  </w:t>
      </w:r>
      <w:r>
        <w:rPr>
          <w:rFonts w:hint="eastAsia"/>
        </w:rPr>
        <w:t>谈判评审开始之后，直到授予谈判承包人合同止，凡是属于审查、澄清、评审的有关资料以及授标意向等，均不得向谈判承包人或谈判小组以外的其他人员透露。</w:t>
      </w:r>
    </w:p>
    <w:p>
      <w:pPr>
        <w:pStyle w:val="48"/>
        <w:numPr>
          <w:ilvl w:val="0"/>
          <w:numId w:val="0"/>
        </w:numPr>
        <w:spacing w:line="360" w:lineRule="auto"/>
      </w:pPr>
      <w:r>
        <w:t xml:space="preserve">22.2  </w:t>
      </w:r>
      <w:r>
        <w:rPr>
          <w:rFonts w:hint="eastAsia"/>
        </w:rPr>
        <w:t>在谈判评审期间，谈判承包人企图影响采购人或谈判小组的任何活动，将导致报价被拒绝，并由其承担相应的法律责任。</w:t>
      </w:r>
    </w:p>
    <w:p>
      <w:pPr>
        <w:pStyle w:val="47"/>
        <w:numPr>
          <w:ilvl w:val="0"/>
          <w:numId w:val="0"/>
        </w:numPr>
        <w:spacing w:line="360" w:lineRule="auto"/>
        <w:rPr>
          <w:color w:val="auto"/>
        </w:rPr>
      </w:pPr>
      <w:r>
        <w:rPr>
          <w:rFonts w:hint="eastAsia"/>
          <w:color w:val="auto"/>
        </w:rPr>
        <w:t>六、授予合同</w:t>
      </w:r>
    </w:p>
    <w:p>
      <w:pPr>
        <w:pStyle w:val="48"/>
        <w:tabs>
          <w:tab w:val="clear" w:pos="709"/>
        </w:tabs>
        <w:spacing w:line="360" w:lineRule="auto"/>
        <w:rPr>
          <w:b/>
        </w:rPr>
      </w:pPr>
      <w:r>
        <w:rPr>
          <w:rFonts w:hint="eastAsia"/>
          <w:b/>
        </w:rPr>
        <w:t>授予合同的顺序</w:t>
      </w:r>
    </w:p>
    <w:p>
      <w:pPr>
        <w:pStyle w:val="48"/>
        <w:numPr>
          <w:ilvl w:val="0"/>
          <w:numId w:val="0"/>
        </w:numPr>
        <w:spacing w:line="360" w:lineRule="auto"/>
      </w:pPr>
      <w:r>
        <w:t xml:space="preserve">23.1  </w:t>
      </w:r>
      <w:r>
        <w:rPr>
          <w:rFonts w:hint="eastAsia"/>
        </w:rPr>
        <w:t>谈判小组将根据最终审查的结果将合同授予排名第一的谈判承包人。排名第一的谈判承包人放弃成交、因不可抗力提出不能履行合同，采购人将把合同授予排名第二的谈判承包人。排名第二的谈判承包人因前款规定的同样原因不能签订合同的，采购人将把合同授予排名第三的谈判承包人。</w:t>
      </w:r>
    </w:p>
    <w:p>
      <w:pPr>
        <w:tabs>
          <w:tab w:val="left" w:pos="720"/>
        </w:tabs>
        <w:spacing w:line="360" w:lineRule="auto"/>
        <w:ind w:left="720" w:hanging="720"/>
      </w:pPr>
    </w:p>
    <w:p>
      <w:pPr>
        <w:pStyle w:val="48"/>
        <w:tabs>
          <w:tab w:val="clear" w:pos="709"/>
        </w:tabs>
        <w:spacing w:line="360" w:lineRule="auto"/>
        <w:rPr>
          <w:b/>
        </w:rPr>
      </w:pPr>
      <w:r>
        <w:rPr>
          <w:rFonts w:hint="eastAsia"/>
          <w:b/>
        </w:rPr>
        <w:t>采购人拒绝报价的权利</w:t>
      </w:r>
    </w:p>
    <w:p>
      <w:pPr>
        <w:pStyle w:val="48"/>
        <w:numPr>
          <w:ilvl w:val="0"/>
          <w:numId w:val="0"/>
        </w:numPr>
        <w:spacing w:line="360" w:lineRule="auto"/>
      </w:pPr>
      <w:r>
        <w:t xml:space="preserve">24.1  </w:t>
      </w:r>
      <w:r>
        <w:rPr>
          <w:rFonts w:hint="eastAsia"/>
        </w:rPr>
        <w:t>出现下列情况之一时，采购人有权拒绝所有报价，并将理由通知所有谈判承包人：</w:t>
      </w:r>
    </w:p>
    <w:p>
      <w:pPr>
        <w:numPr>
          <w:ilvl w:val="0"/>
          <w:numId w:val="22"/>
        </w:numPr>
        <w:spacing w:line="360" w:lineRule="auto"/>
      </w:pPr>
      <w:r>
        <w:rPr>
          <w:rFonts w:hint="eastAsia"/>
        </w:rPr>
        <w:t>出现影响采购公正的违法、违规行为的；</w:t>
      </w:r>
    </w:p>
    <w:p>
      <w:pPr>
        <w:numPr>
          <w:ilvl w:val="0"/>
          <w:numId w:val="22"/>
        </w:numPr>
        <w:spacing w:line="360" w:lineRule="auto"/>
        <w:rPr>
          <w:b/>
        </w:rPr>
      </w:pPr>
      <w:r>
        <w:rPr>
          <w:rFonts w:hint="eastAsia"/>
          <w:b/>
        </w:rPr>
        <w:t>谈判承包人的报价均超过了采购预算，采购人不能支付的；</w:t>
      </w:r>
    </w:p>
    <w:p>
      <w:pPr>
        <w:numPr>
          <w:ilvl w:val="0"/>
          <w:numId w:val="22"/>
        </w:numPr>
        <w:spacing w:line="360" w:lineRule="auto"/>
      </w:pPr>
      <w:r>
        <w:rPr>
          <w:rFonts w:hint="eastAsia"/>
        </w:rPr>
        <w:t>因重大变故，采购任务取消的。</w:t>
      </w:r>
    </w:p>
    <w:p>
      <w:pPr>
        <w:tabs>
          <w:tab w:val="left" w:pos="720"/>
        </w:tabs>
        <w:spacing w:line="360" w:lineRule="auto"/>
        <w:ind w:left="720" w:hanging="720"/>
      </w:pPr>
    </w:p>
    <w:p>
      <w:pPr>
        <w:pStyle w:val="48"/>
        <w:tabs>
          <w:tab w:val="clear" w:pos="709"/>
        </w:tabs>
        <w:spacing w:line="360" w:lineRule="auto"/>
        <w:rPr>
          <w:b/>
        </w:rPr>
      </w:pPr>
      <w:r>
        <w:rPr>
          <w:rFonts w:hint="eastAsia"/>
          <w:b/>
        </w:rPr>
        <w:t>成交通知</w:t>
      </w:r>
    </w:p>
    <w:p>
      <w:pPr>
        <w:pStyle w:val="48"/>
        <w:numPr>
          <w:ilvl w:val="0"/>
          <w:numId w:val="0"/>
        </w:numPr>
        <w:spacing w:line="360" w:lineRule="auto"/>
      </w:pPr>
      <w:r>
        <w:t xml:space="preserve">25.1  </w:t>
      </w:r>
      <w:r>
        <w:rPr>
          <w:rFonts w:hint="eastAsia"/>
        </w:rPr>
        <w:t>在确定成交承包人后三日内，</w:t>
      </w:r>
      <w:r>
        <w:rPr>
          <w:rFonts w:hint="eastAsia"/>
          <w:lang w:eastAsia="zh-CN"/>
        </w:rPr>
        <w:t>采购人</w:t>
      </w:r>
      <w:r>
        <w:rPr>
          <w:rFonts w:hint="eastAsia"/>
        </w:rPr>
        <w:t>将以邮寄或传真等书面形式通知选定的成交承包人。</w:t>
      </w:r>
    </w:p>
    <w:p>
      <w:pPr>
        <w:pStyle w:val="48"/>
        <w:numPr>
          <w:ilvl w:val="0"/>
          <w:numId w:val="0"/>
        </w:numPr>
        <w:spacing w:line="360" w:lineRule="auto"/>
      </w:pPr>
      <w:r>
        <w:t xml:space="preserve">25.2 </w:t>
      </w:r>
      <w:r>
        <w:rPr>
          <w:rFonts w:hint="eastAsia"/>
          <w:lang w:eastAsia="zh-CN"/>
        </w:rPr>
        <w:t>采购人</w:t>
      </w:r>
      <w:r>
        <w:rPr>
          <w:rFonts w:hint="eastAsia"/>
        </w:rPr>
        <w:t>同时向其他谈判承包人发出未成交通知。</w:t>
      </w:r>
      <w:r>
        <w:rPr>
          <w:rFonts w:hint="eastAsia"/>
          <w:lang w:eastAsia="zh-CN"/>
        </w:rPr>
        <w:t>采购人</w:t>
      </w:r>
      <w:r>
        <w:rPr>
          <w:rFonts w:hint="eastAsia"/>
        </w:rPr>
        <w:t>对未成交的谈判承包人不做未成交原因的解释。</w:t>
      </w:r>
    </w:p>
    <w:p>
      <w:pPr>
        <w:pStyle w:val="48"/>
        <w:numPr>
          <w:ilvl w:val="0"/>
          <w:numId w:val="0"/>
        </w:numPr>
        <w:spacing w:line="360" w:lineRule="auto"/>
      </w:pPr>
      <w:r>
        <w:t xml:space="preserve">25.3  </w:t>
      </w:r>
      <w:r>
        <w:rPr>
          <w:rFonts w:hint="eastAsia"/>
        </w:rPr>
        <w:t>成交通知书是合同的组成部分。</w:t>
      </w:r>
    </w:p>
    <w:p>
      <w:pPr>
        <w:tabs>
          <w:tab w:val="left" w:pos="720"/>
        </w:tabs>
        <w:spacing w:line="360" w:lineRule="auto"/>
        <w:ind w:left="720" w:hanging="720"/>
      </w:pPr>
    </w:p>
    <w:p>
      <w:pPr>
        <w:pStyle w:val="48"/>
        <w:tabs>
          <w:tab w:val="clear" w:pos="709"/>
        </w:tabs>
        <w:spacing w:line="360" w:lineRule="auto"/>
        <w:rPr>
          <w:b/>
        </w:rPr>
      </w:pPr>
      <w:r>
        <w:rPr>
          <w:rFonts w:hint="eastAsia"/>
          <w:b/>
        </w:rPr>
        <w:t>签订合同</w:t>
      </w:r>
    </w:p>
    <w:p>
      <w:pPr>
        <w:pStyle w:val="48"/>
        <w:numPr>
          <w:ilvl w:val="0"/>
          <w:numId w:val="0"/>
        </w:numPr>
        <w:spacing w:line="360" w:lineRule="auto"/>
      </w:pPr>
      <w:r>
        <w:t xml:space="preserve">26.1  </w:t>
      </w:r>
      <w:r>
        <w:rPr>
          <w:rFonts w:hint="eastAsia"/>
        </w:rPr>
        <w:t>成交承包人应按</w:t>
      </w:r>
      <w:r>
        <w:rPr>
          <w:rFonts w:hint="eastAsia"/>
          <w:lang w:eastAsia="zh-CN"/>
        </w:rPr>
        <w:t>采购人</w:t>
      </w:r>
      <w:r>
        <w:rPr>
          <w:rFonts w:hint="eastAsia"/>
        </w:rPr>
        <w:t>规定的时间、地点与采购人签订成交合同。成交承包人不得再与采购人签署订立背离合同实质性内容的其它协议或声明，否则按报价后撤回报价处理。</w:t>
      </w:r>
    </w:p>
    <w:p>
      <w:pPr>
        <w:pStyle w:val="48"/>
        <w:numPr>
          <w:ilvl w:val="0"/>
          <w:numId w:val="0"/>
        </w:numPr>
        <w:spacing w:line="360" w:lineRule="auto"/>
      </w:pPr>
      <w:r>
        <w:t xml:space="preserve">26.2  </w:t>
      </w:r>
      <w:r>
        <w:rPr>
          <w:rFonts w:hint="eastAsia"/>
        </w:rPr>
        <w:t>成交承包人应按照竞争性谈判文件、谈判响应文件及评审过程中有关的澄清说明或补正文件的内容与采购人签订合同。</w:t>
      </w:r>
    </w:p>
    <w:p>
      <w:pPr>
        <w:pStyle w:val="48"/>
        <w:numPr>
          <w:ilvl w:val="0"/>
          <w:numId w:val="0"/>
        </w:numPr>
        <w:spacing w:line="360" w:lineRule="auto"/>
      </w:pPr>
      <w:r>
        <w:t xml:space="preserve">26.3  </w:t>
      </w:r>
      <w:r>
        <w:rPr>
          <w:rFonts w:hint="eastAsia"/>
        </w:rPr>
        <w:t>谈判承包人一旦成交，签订合同后，未经采购人书面同意不得转包，否则将被视为成交后撤回报价处理。</w:t>
      </w:r>
    </w:p>
    <w:p>
      <w:pPr>
        <w:pStyle w:val="48"/>
        <w:numPr>
          <w:ilvl w:val="0"/>
          <w:numId w:val="0"/>
        </w:numPr>
        <w:spacing w:line="360" w:lineRule="auto"/>
      </w:pPr>
      <w:r>
        <w:t xml:space="preserve">26.4  </w:t>
      </w:r>
      <w:r>
        <w:rPr>
          <w:rFonts w:hint="eastAsia"/>
        </w:rPr>
        <w:t>不按约定签订或履行合同，给对方造成损失的，应承担赔偿责任。</w:t>
      </w:r>
    </w:p>
    <w:p>
      <w:pPr>
        <w:pStyle w:val="47"/>
        <w:numPr>
          <w:ilvl w:val="0"/>
          <w:numId w:val="0"/>
        </w:numPr>
        <w:spacing w:line="360" w:lineRule="auto"/>
        <w:rPr>
          <w:color w:val="auto"/>
        </w:rPr>
      </w:pPr>
      <w:r>
        <w:rPr>
          <w:rFonts w:hint="eastAsia"/>
          <w:color w:val="auto"/>
        </w:rPr>
        <w:t>七、成交服务费</w:t>
      </w:r>
    </w:p>
    <w:p>
      <w:pPr>
        <w:pStyle w:val="48"/>
        <w:numPr>
          <w:ilvl w:val="0"/>
          <w:numId w:val="0"/>
        </w:numPr>
        <w:spacing w:line="360" w:lineRule="auto"/>
      </w:pPr>
      <w:r>
        <w:rPr>
          <w:rFonts w:hint="eastAsia"/>
          <w:lang w:eastAsia="zh-CN"/>
        </w:rPr>
        <w:t>本次谈判不涉及成交服务费</w:t>
      </w:r>
      <w:r>
        <w:rPr>
          <w:rFonts w:hint="eastAsia"/>
        </w:rPr>
        <w:t>。</w:t>
      </w:r>
    </w:p>
    <w:p>
      <w:pPr>
        <w:pStyle w:val="47"/>
        <w:numPr>
          <w:ilvl w:val="0"/>
          <w:numId w:val="0"/>
        </w:numPr>
        <w:spacing w:line="360" w:lineRule="auto"/>
        <w:rPr>
          <w:color w:val="auto"/>
        </w:rPr>
      </w:pPr>
      <w:r>
        <w:rPr>
          <w:rFonts w:hint="eastAsia"/>
          <w:color w:val="auto"/>
        </w:rPr>
        <w:t>八、询问和质疑</w:t>
      </w:r>
    </w:p>
    <w:p>
      <w:pPr>
        <w:pStyle w:val="48"/>
        <w:tabs>
          <w:tab w:val="clear" w:pos="709"/>
        </w:tabs>
        <w:spacing w:line="360" w:lineRule="auto"/>
        <w:rPr>
          <w:b/>
        </w:rPr>
      </w:pPr>
      <w:r>
        <w:rPr>
          <w:rFonts w:hint="eastAsia"/>
          <w:b/>
        </w:rPr>
        <w:t>谈判承包人有权就谈判程序或签订合同的事宜提出质疑</w:t>
      </w:r>
    </w:p>
    <w:p>
      <w:pPr>
        <w:pStyle w:val="48"/>
        <w:numPr>
          <w:ilvl w:val="0"/>
          <w:numId w:val="0"/>
        </w:numPr>
        <w:spacing w:line="360" w:lineRule="auto"/>
      </w:pPr>
      <w:r>
        <w:t xml:space="preserve">27.1  </w:t>
      </w:r>
      <w:r>
        <w:rPr>
          <w:rFonts w:hint="eastAsia"/>
        </w:rPr>
        <w:t>谈判承包人对采购事项有疑问的，可以向采购人提出询问。</w:t>
      </w:r>
    </w:p>
    <w:p>
      <w:pPr>
        <w:pStyle w:val="48"/>
        <w:numPr>
          <w:ilvl w:val="0"/>
          <w:numId w:val="0"/>
        </w:numPr>
        <w:spacing w:line="360" w:lineRule="auto"/>
      </w:pPr>
      <w:r>
        <w:t xml:space="preserve">27.2  </w:t>
      </w:r>
      <w:r>
        <w:rPr>
          <w:rFonts w:hint="eastAsia"/>
        </w:rPr>
        <w:t>谈判程序受《中华人民共和国政府采购法》和相关法律法规的约束，并受到严格的内部监察，以确保授予合同过程的公平公正。</w:t>
      </w:r>
    </w:p>
    <w:p>
      <w:pPr>
        <w:pStyle w:val="48"/>
        <w:numPr>
          <w:ilvl w:val="0"/>
          <w:numId w:val="0"/>
        </w:numPr>
        <w:spacing w:line="360" w:lineRule="auto"/>
      </w:pPr>
      <w:r>
        <w:t>27.3</w:t>
      </w:r>
      <w:r>
        <w:rPr>
          <w:rFonts w:hint="eastAsia"/>
        </w:rPr>
        <w:t>采购人将在收到书面质疑后</w:t>
      </w:r>
      <w:r>
        <w:t>7</w:t>
      </w:r>
      <w:r>
        <w:rPr>
          <w:rFonts w:hint="eastAsia"/>
        </w:rPr>
        <w:t>个工作日内审查质疑事项，做出答复或相关处理决定，并以书面形式通知质疑谈判承包人和其他有关承包人，但答复的内容不涉及商业秘密。</w:t>
      </w:r>
    </w:p>
    <w:p>
      <w:pPr>
        <w:pStyle w:val="48"/>
        <w:numPr>
          <w:ilvl w:val="0"/>
          <w:numId w:val="0"/>
        </w:numPr>
        <w:spacing w:line="360" w:lineRule="auto"/>
      </w:pPr>
      <w:r>
        <w:t xml:space="preserve">27.4  </w:t>
      </w:r>
      <w:r>
        <w:rPr>
          <w:rFonts w:hint="eastAsia"/>
        </w:rPr>
        <w:t>质疑谈判承包人对采购人的答复不满意或采购人未在规定的时间内做出答复的，可以在答复期满后</w:t>
      </w:r>
      <w:r>
        <w:t>15</w:t>
      </w:r>
      <w:r>
        <w:rPr>
          <w:rFonts w:hint="eastAsia"/>
        </w:rPr>
        <w:t>个工作日内投诉。</w:t>
      </w:r>
    </w:p>
    <w:p>
      <w:pPr>
        <w:pStyle w:val="47"/>
        <w:numPr>
          <w:ilvl w:val="0"/>
          <w:numId w:val="0"/>
        </w:numPr>
        <w:spacing w:line="360" w:lineRule="auto"/>
        <w:rPr>
          <w:color w:val="auto"/>
        </w:rPr>
      </w:pPr>
      <w:r>
        <w:rPr>
          <w:rFonts w:hint="eastAsia"/>
          <w:color w:val="auto"/>
        </w:rPr>
        <w:t>九、保密和披露</w:t>
      </w:r>
    </w:p>
    <w:p>
      <w:pPr>
        <w:pStyle w:val="48"/>
        <w:tabs>
          <w:tab w:val="clear" w:pos="709"/>
        </w:tabs>
        <w:spacing w:line="360" w:lineRule="auto"/>
        <w:rPr>
          <w:b/>
        </w:rPr>
      </w:pPr>
      <w:r>
        <w:rPr>
          <w:rFonts w:hint="eastAsia"/>
          <w:b/>
        </w:rPr>
        <w:t>保密和披露</w:t>
      </w:r>
    </w:p>
    <w:p>
      <w:pPr>
        <w:pStyle w:val="48"/>
        <w:numPr>
          <w:ilvl w:val="0"/>
          <w:numId w:val="0"/>
        </w:numPr>
        <w:spacing w:line="360" w:lineRule="auto"/>
      </w:pPr>
      <w:r>
        <w:t xml:space="preserve">28.1  </w:t>
      </w:r>
      <w:r>
        <w:rPr>
          <w:rFonts w:hint="eastAsia"/>
        </w:rPr>
        <w:t>谈判承包人自领取竞争性谈判文件之日起，须承诺承担本谈判项目下保密义务，不得将因本次谈判获得的信息向第三人外传。</w:t>
      </w:r>
    </w:p>
    <w:p>
      <w:pPr>
        <w:pStyle w:val="48"/>
        <w:numPr>
          <w:ilvl w:val="0"/>
          <w:numId w:val="0"/>
        </w:numPr>
        <w:spacing w:line="360" w:lineRule="auto"/>
      </w:pPr>
      <w:r>
        <w:t xml:space="preserve">28.2  </w:t>
      </w:r>
      <w:r>
        <w:rPr>
          <w:rFonts w:hint="eastAsia"/>
          <w:lang w:eastAsia="zh-CN"/>
        </w:rPr>
        <w:t>采购人</w:t>
      </w:r>
      <w:r>
        <w:rPr>
          <w:rFonts w:hint="eastAsia"/>
        </w:rPr>
        <w:t>有权在认为适当时，或在任何第三人提出要求（书面或其他方式）时，无须事先征求成交承包人同意而披露关于已订立合同的资料、成交承包人的名称及地址、成交工程的有关信息以及合同条款等，，但须事先征得采购人同意。</w:t>
      </w:r>
    </w:p>
    <w:p>
      <w:pPr>
        <w:widowControl/>
        <w:spacing w:line="360" w:lineRule="auto"/>
        <w:rPr>
          <w:szCs w:val="21"/>
        </w:rPr>
        <w:sectPr>
          <w:pgSz w:w="11906" w:h="16838"/>
          <w:pgMar w:top="1440" w:right="1797" w:bottom="1440" w:left="1797" w:header="851" w:footer="992" w:gutter="0"/>
          <w:pgNumType w:fmt="numberInDash"/>
          <w:cols w:space="720" w:num="1"/>
          <w:docGrid w:linePitch="312" w:charSpace="0"/>
        </w:sectPr>
      </w:pPr>
    </w:p>
    <w:p>
      <w:pPr>
        <w:spacing w:line="360" w:lineRule="auto"/>
        <w:ind w:firstLine="2780" w:firstLineChars="989"/>
        <w:rPr>
          <w:b/>
          <w:bCs/>
          <w:kern w:val="44"/>
          <w:sz w:val="28"/>
          <w:szCs w:val="20"/>
        </w:rPr>
      </w:pPr>
      <w:r>
        <w:rPr>
          <w:rFonts w:hint="eastAsia"/>
          <w:b/>
          <w:bCs/>
          <w:kern w:val="44"/>
          <w:sz w:val="28"/>
          <w:szCs w:val="20"/>
        </w:rPr>
        <w:t>第四部分</w:t>
      </w:r>
      <w:r>
        <w:rPr>
          <w:b/>
          <w:bCs/>
          <w:kern w:val="44"/>
          <w:sz w:val="28"/>
          <w:szCs w:val="20"/>
        </w:rPr>
        <w:t xml:space="preserve">  </w:t>
      </w:r>
      <w:r>
        <w:rPr>
          <w:rFonts w:hint="eastAsia"/>
          <w:b/>
          <w:bCs/>
          <w:kern w:val="44"/>
          <w:sz w:val="28"/>
          <w:szCs w:val="20"/>
        </w:rPr>
        <w:t>评审办法及细则</w:t>
      </w:r>
    </w:p>
    <w:p>
      <w:pPr>
        <w:spacing w:line="360" w:lineRule="auto"/>
      </w:pPr>
      <w:r>
        <w:rPr>
          <w:rFonts w:hint="eastAsia"/>
        </w:rPr>
        <w:t>（一）</w:t>
      </w:r>
      <w:r>
        <w:t xml:space="preserve"> </w:t>
      </w:r>
      <w:r>
        <w:rPr>
          <w:rFonts w:hint="eastAsia"/>
        </w:rPr>
        <w:t>评审原则</w:t>
      </w:r>
    </w:p>
    <w:p>
      <w:pPr>
        <w:spacing w:line="360" w:lineRule="auto"/>
      </w:pPr>
      <w:r>
        <w:rPr>
          <w:rFonts w:hint="eastAsia"/>
        </w:rPr>
        <w:t>本项目采用评审办法为最低价评分法</w:t>
      </w:r>
      <w:r>
        <w:t>,</w:t>
      </w:r>
      <w:r>
        <w:rPr>
          <w:rFonts w:hint="eastAsia"/>
        </w:rPr>
        <w:t>谈判小组根据施工组织设计和相关技术服务情况，对谈判承包人进行符合性评价，确定通过符合性审查的最低报价的谈判承包人为成交承包人。</w:t>
      </w:r>
    </w:p>
    <w:p>
      <w:pPr>
        <w:spacing w:line="360" w:lineRule="auto"/>
      </w:pPr>
    </w:p>
    <w:p>
      <w:pPr>
        <w:spacing w:line="360" w:lineRule="auto"/>
      </w:pPr>
      <w:r>
        <w:rPr>
          <w:rFonts w:hint="eastAsia"/>
        </w:rPr>
        <w:t>（二）评审细则</w:t>
      </w:r>
    </w:p>
    <w:p>
      <w:pPr>
        <w:spacing w:line="360" w:lineRule="auto"/>
      </w:pPr>
      <w:r>
        <w:rPr>
          <w:rFonts w:hint="eastAsia"/>
        </w:rPr>
        <w:t>符合性审查表：（注：符合性审查需谈判小组集体讨论共同认定。）</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443"/>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pPr>
            <w:r>
              <w:rPr>
                <w:rFonts w:hint="eastAsia"/>
              </w:rPr>
              <w:t>序号</w:t>
            </w:r>
          </w:p>
        </w:tc>
        <w:tc>
          <w:tcPr>
            <w:tcW w:w="3443" w:type="dxa"/>
            <w:tcBorders>
              <w:tl2br w:val="single" w:color="auto" w:sz="4" w:space="0"/>
            </w:tcBorders>
          </w:tcPr>
          <w:p>
            <w:pPr>
              <w:spacing w:line="360" w:lineRule="auto"/>
            </w:pPr>
            <w:r>
              <w:t xml:space="preserve">                        </w:t>
            </w:r>
            <w:r>
              <w:rPr>
                <w:rFonts w:hint="eastAsia"/>
              </w:rPr>
              <w:t>档次</w:t>
            </w:r>
          </w:p>
          <w:p>
            <w:pPr>
              <w:spacing w:line="360" w:lineRule="auto"/>
            </w:pPr>
            <w:r>
              <w:rPr>
                <w:rFonts w:hint="eastAsia"/>
              </w:rPr>
              <w:t>评审因素</w:t>
            </w:r>
          </w:p>
        </w:tc>
        <w:tc>
          <w:tcPr>
            <w:tcW w:w="1260" w:type="dxa"/>
          </w:tcPr>
          <w:p>
            <w:pPr>
              <w:spacing w:line="360" w:lineRule="auto"/>
            </w:pPr>
            <w:r>
              <w:rPr>
                <w:rFonts w:hint="eastAsia"/>
              </w:rPr>
              <w:t>符合</w:t>
            </w:r>
          </w:p>
        </w:tc>
        <w:tc>
          <w:tcPr>
            <w:tcW w:w="1260" w:type="dxa"/>
          </w:tcPr>
          <w:p>
            <w:pPr>
              <w:spacing w:line="360" w:lineRule="auto"/>
            </w:pPr>
            <w:r>
              <w:rPr>
                <w:rFonts w:hint="eastAsia"/>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846" w:type="dxa"/>
            <w:vAlign w:val="center"/>
          </w:tcPr>
          <w:p>
            <w:pPr>
              <w:spacing w:line="360" w:lineRule="auto"/>
              <w:jc w:val="center"/>
            </w:pPr>
            <w:r>
              <w:t>1</w:t>
            </w:r>
          </w:p>
        </w:tc>
        <w:tc>
          <w:tcPr>
            <w:tcW w:w="3443" w:type="dxa"/>
            <w:vAlign w:val="center"/>
          </w:tcPr>
          <w:p>
            <w:pPr>
              <w:spacing w:line="360" w:lineRule="auto"/>
              <w:jc w:val="center"/>
            </w:pPr>
            <w:r>
              <w:rPr>
                <w:rFonts w:hint="eastAsia"/>
              </w:rPr>
              <w:t>报价函</w:t>
            </w:r>
          </w:p>
        </w:tc>
        <w:tc>
          <w:tcPr>
            <w:tcW w:w="1260" w:type="dxa"/>
          </w:tcPr>
          <w:p>
            <w:pPr>
              <w:spacing w:line="360" w:lineRule="auto"/>
            </w:pPr>
          </w:p>
        </w:tc>
        <w:tc>
          <w:tcPr>
            <w:tcW w:w="1260"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846" w:type="dxa"/>
            <w:vAlign w:val="center"/>
          </w:tcPr>
          <w:p>
            <w:pPr>
              <w:spacing w:line="360" w:lineRule="auto"/>
              <w:jc w:val="center"/>
            </w:pPr>
            <w:r>
              <w:t>2</w:t>
            </w:r>
          </w:p>
        </w:tc>
        <w:tc>
          <w:tcPr>
            <w:tcW w:w="3443" w:type="dxa"/>
            <w:vAlign w:val="center"/>
          </w:tcPr>
          <w:p>
            <w:pPr>
              <w:spacing w:line="360" w:lineRule="auto"/>
              <w:jc w:val="center"/>
            </w:pPr>
            <w:r>
              <w:rPr>
                <w:rFonts w:hint="eastAsia"/>
              </w:rPr>
              <w:t>法定代表人授权委托书</w:t>
            </w:r>
          </w:p>
        </w:tc>
        <w:tc>
          <w:tcPr>
            <w:tcW w:w="1260" w:type="dxa"/>
          </w:tcPr>
          <w:p>
            <w:pPr>
              <w:spacing w:line="360" w:lineRule="auto"/>
            </w:pPr>
          </w:p>
        </w:tc>
        <w:tc>
          <w:tcPr>
            <w:tcW w:w="1260"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846" w:type="dxa"/>
            <w:vAlign w:val="center"/>
          </w:tcPr>
          <w:p>
            <w:pPr>
              <w:spacing w:line="360" w:lineRule="auto"/>
              <w:jc w:val="center"/>
            </w:pPr>
            <w:r>
              <w:t>3</w:t>
            </w:r>
          </w:p>
        </w:tc>
        <w:tc>
          <w:tcPr>
            <w:tcW w:w="3443" w:type="dxa"/>
            <w:vAlign w:val="center"/>
          </w:tcPr>
          <w:p>
            <w:pPr>
              <w:spacing w:line="360" w:lineRule="auto"/>
              <w:jc w:val="center"/>
            </w:pPr>
            <w:r>
              <w:rPr>
                <w:rFonts w:hint="eastAsia"/>
              </w:rPr>
              <w:t>营业执照</w:t>
            </w:r>
          </w:p>
        </w:tc>
        <w:tc>
          <w:tcPr>
            <w:tcW w:w="1260" w:type="dxa"/>
          </w:tcPr>
          <w:p>
            <w:pPr>
              <w:spacing w:line="360" w:lineRule="auto"/>
            </w:pPr>
          </w:p>
        </w:tc>
        <w:tc>
          <w:tcPr>
            <w:tcW w:w="1260"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846" w:type="dxa"/>
            <w:vAlign w:val="center"/>
          </w:tcPr>
          <w:p>
            <w:pPr>
              <w:spacing w:line="360" w:lineRule="auto"/>
              <w:jc w:val="center"/>
            </w:pPr>
            <w:r>
              <w:t>4</w:t>
            </w:r>
          </w:p>
        </w:tc>
        <w:tc>
          <w:tcPr>
            <w:tcW w:w="3443" w:type="dxa"/>
            <w:vAlign w:val="center"/>
          </w:tcPr>
          <w:p>
            <w:pPr>
              <w:spacing w:line="360" w:lineRule="auto"/>
              <w:jc w:val="center"/>
            </w:pPr>
            <w:r>
              <w:rPr>
                <w:rFonts w:hint="eastAsia"/>
              </w:rPr>
              <w:t>安全生产许可证</w:t>
            </w:r>
          </w:p>
        </w:tc>
        <w:tc>
          <w:tcPr>
            <w:tcW w:w="1260" w:type="dxa"/>
          </w:tcPr>
          <w:p>
            <w:pPr>
              <w:spacing w:line="360" w:lineRule="auto"/>
            </w:pPr>
          </w:p>
        </w:tc>
        <w:tc>
          <w:tcPr>
            <w:tcW w:w="1260"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846" w:type="dxa"/>
            <w:vAlign w:val="center"/>
          </w:tcPr>
          <w:p>
            <w:pPr>
              <w:spacing w:line="360" w:lineRule="auto"/>
              <w:jc w:val="center"/>
            </w:pPr>
            <w:r>
              <w:t>5</w:t>
            </w:r>
          </w:p>
        </w:tc>
        <w:tc>
          <w:tcPr>
            <w:tcW w:w="3443" w:type="dxa"/>
            <w:vAlign w:val="center"/>
          </w:tcPr>
          <w:p>
            <w:pPr>
              <w:spacing w:line="360" w:lineRule="auto"/>
              <w:jc w:val="center"/>
            </w:pPr>
            <w:r>
              <w:rPr>
                <w:rFonts w:hint="eastAsia"/>
              </w:rPr>
              <w:t>按照“谈判承包人的资质要求”规定提交的相关证明文件</w:t>
            </w:r>
          </w:p>
        </w:tc>
        <w:tc>
          <w:tcPr>
            <w:tcW w:w="1260" w:type="dxa"/>
          </w:tcPr>
          <w:p>
            <w:pPr>
              <w:spacing w:line="360" w:lineRule="auto"/>
            </w:pPr>
          </w:p>
        </w:tc>
        <w:tc>
          <w:tcPr>
            <w:tcW w:w="1260"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846" w:type="dxa"/>
            <w:vAlign w:val="center"/>
          </w:tcPr>
          <w:p>
            <w:pPr>
              <w:spacing w:line="360" w:lineRule="auto"/>
              <w:jc w:val="center"/>
            </w:pPr>
            <w:r>
              <w:t>6</w:t>
            </w:r>
          </w:p>
        </w:tc>
        <w:tc>
          <w:tcPr>
            <w:tcW w:w="3443" w:type="dxa"/>
            <w:vAlign w:val="center"/>
          </w:tcPr>
          <w:p>
            <w:pPr>
              <w:snapToGrid w:val="0"/>
              <w:spacing w:line="360" w:lineRule="auto"/>
              <w:jc w:val="center"/>
              <w:rPr>
                <w:bCs/>
                <w:szCs w:val="28"/>
              </w:rPr>
            </w:pPr>
            <w:r>
              <w:rPr>
                <w:rFonts w:hint="eastAsia"/>
                <w:bCs/>
                <w:szCs w:val="28"/>
              </w:rPr>
              <w:t>谈判承包人应提交的</w:t>
            </w:r>
          </w:p>
          <w:p>
            <w:pPr>
              <w:spacing w:line="360" w:lineRule="auto"/>
              <w:jc w:val="center"/>
            </w:pPr>
            <w:r>
              <w:rPr>
                <w:rFonts w:hint="eastAsia"/>
                <w:bCs/>
                <w:szCs w:val="28"/>
              </w:rPr>
              <w:t>技术文件</w:t>
            </w:r>
          </w:p>
        </w:tc>
        <w:tc>
          <w:tcPr>
            <w:tcW w:w="1260" w:type="dxa"/>
          </w:tcPr>
          <w:p>
            <w:pPr>
              <w:spacing w:line="360" w:lineRule="auto"/>
            </w:pPr>
          </w:p>
        </w:tc>
        <w:tc>
          <w:tcPr>
            <w:tcW w:w="1260" w:type="dxa"/>
          </w:tcPr>
          <w:p>
            <w:pPr>
              <w:spacing w:line="360" w:lineRule="auto"/>
            </w:pPr>
          </w:p>
        </w:tc>
      </w:tr>
    </w:tbl>
    <w:p>
      <w:pPr>
        <w:spacing w:line="360" w:lineRule="auto"/>
      </w:pPr>
    </w:p>
    <w:p>
      <w:pPr>
        <w:spacing w:line="360" w:lineRule="auto"/>
      </w:pPr>
    </w:p>
    <w:p>
      <w:pPr>
        <w:spacing w:line="360" w:lineRule="auto"/>
        <w:rPr>
          <w:b/>
          <w:sz w:val="24"/>
        </w:rPr>
      </w:pPr>
      <w:r>
        <w:rPr>
          <w:rFonts w:hint="eastAsia"/>
          <w:b/>
          <w:sz w:val="24"/>
        </w:rPr>
        <w:t>注：此项目采购控制价为</w:t>
      </w:r>
      <w:r>
        <w:rPr>
          <w:b/>
          <w:sz w:val="24"/>
          <w:szCs w:val="24"/>
        </w:rPr>
        <w:t>671139.26</w:t>
      </w:r>
      <w:r>
        <w:rPr>
          <w:rFonts w:hint="eastAsia"/>
          <w:b/>
          <w:color w:val="000000"/>
          <w:sz w:val="24"/>
          <w:szCs w:val="24"/>
        </w:rPr>
        <w:t>元</w:t>
      </w:r>
      <w:r>
        <w:rPr>
          <w:rFonts w:hint="eastAsia"/>
          <w:b/>
          <w:sz w:val="24"/>
        </w:rPr>
        <w:t>，超出控制价的报价将废标。</w:t>
      </w:r>
    </w:p>
    <w:p>
      <w:pPr>
        <w:spacing w:afterLines="50" w:line="300" w:lineRule="auto"/>
        <w:jc w:val="center"/>
        <w:rPr>
          <w:rFonts w:ascii="黑体" w:eastAsia="黑体" w:cs="Arial"/>
          <w:bCs/>
          <w:sz w:val="28"/>
          <w:szCs w:val="28"/>
        </w:rPr>
      </w:pPr>
    </w:p>
    <w:p>
      <w:pPr>
        <w:spacing w:afterLines="50" w:line="300" w:lineRule="auto"/>
        <w:jc w:val="center"/>
        <w:rPr>
          <w:rFonts w:ascii="黑体" w:eastAsia="黑体" w:cs="Arial"/>
          <w:bCs/>
          <w:sz w:val="28"/>
          <w:szCs w:val="28"/>
        </w:rPr>
      </w:pPr>
    </w:p>
    <w:p>
      <w:pPr>
        <w:spacing w:afterLines="50" w:line="300" w:lineRule="auto"/>
        <w:jc w:val="center"/>
        <w:rPr>
          <w:rFonts w:ascii="黑体" w:eastAsia="黑体" w:cs="Arial"/>
          <w:bCs/>
          <w:sz w:val="28"/>
          <w:szCs w:val="28"/>
        </w:rPr>
      </w:pPr>
    </w:p>
    <w:p>
      <w:pPr>
        <w:spacing w:afterLines="50" w:line="300" w:lineRule="auto"/>
        <w:jc w:val="center"/>
        <w:rPr>
          <w:rFonts w:ascii="黑体" w:eastAsia="黑体" w:cs="Arial"/>
          <w:bCs/>
          <w:sz w:val="28"/>
          <w:szCs w:val="28"/>
        </w:rPr>
      </w:pPr>
    </w:p>
    <w:p>
      <w:pPr>
        <w:spacing w:afterLines="50" w:line="300" w:lineRule="auto"/>
        <w:jc w:val="center"/>
        <w:rPr>
          <w:rFonts w:ascii="黑体" w:eastAsia="黑体" w:cs="Arial"/>
          <w:bCs/>
          <w:sz w:val="28"/>
          <w:szCs w:val="28"/>
          <w:lang w:eastAsia="zh-CN"/>
        </w:rPr>
      </w:pPr>
    </w:p>
    <w:p>
      <w:pPr>
        <w:spacing w:afterLines="50" w:line="300" w:lineRule="auto"/>
        <w:jc w:val="center"/>
        <w:rPr>
          <w:rFonts w:ascii="黑体" w:eastAsia="黑体" w:cs="Arial"/>
          <w:bCs/>
          <w:sz w:val="28"/>
          <w:szCs w:val="28"/>
          <w:lang w:eastAsia="zh-CN"/>
        </w:rPr>
      </w:pPr>
    </w:p>
    <w:p>
      <w:pPr>
        <w:spacing w:afterLines="50" w:line="300" w:lineRule="auto"/>
        <w:jc w:val="center"/>
        <w:rPr>
          <w:rFonts w:ascii="黑体" w:eastAsia="黑体" w:cs="Arial"/>
          <w:bCs/>
          <w:sz w:val="28"/>
          <w:szCs w:val="28"/>
          <w:lang w:eastAsia="zh-CN"/>
        </w:rPr>
      </w:pPr>
    </w:p>
    <w:p>
      <w:pPr>
        <w:spacing w:afterLines="50" w:line="300" w:lineRule="auto"/>
        <w:jc w:val="center"/>
        <w:rPr>
          <w:rFonts w:ascii="黑体" w:eastAsia="黑体" w:cs="Arial"/>
          <w:bCs/>
          <w:sz w:val="28"/>
          <w:szCs w:val="28"/>
        </w:rPr>
      </w:pPr>
    </w:p>
    <w:p>
      <w:pPr>
        <w:spacing w:afterLines="50" w:line="300" w:lineRule="auto"/>
        <w:jc w:val="center"/>
        <w:rPr>
          <w:rFonts w:ascii="黑体" w:eastAsia="黑体" w:cs="Arial"/>
          <w:bCs/>
          <w:sz w:val="28"/>
          <w:szCs w:val="28"/>
        </w:rPr>
      </w:pPr>
    </w:p>
    <w:p>
      <w:pPr>
        <w:spacing w:afterLines="50" w:line="300" w:lineRule="auto"/>
        <w:jc w:val="center"/>
        <w:rPr>
          <w:rFonts w:ascii="黑体" w:eastAsia="黑体" w:cs="Arial"/>
          <w:bCs/>
          <w:sz w:val="28"/>
          <w:szCs w:val="28"/>
        </w:rPr>
      </w:pPr>
      <w:r>
        <w:rPr>
          <w:rFonts w:hint="eastAsia" w:ascii="黑体" w:eastAsia="黑体" w:cs="Arial"/>
          <w:bCs/>
          <w:sz w:val="28"/>
          <w:szCs w:val="28"/>
        </w:rPr>
        <w:t>废标条件</w:t>
      </w:r>
    </w:p>
    <w:p>
      <w:pPr>
        <w:spacing w:line="400" w:lineRule="exact"/>
        <w:outlineLvl w:val="0"/>
      </w:pPr>
      <w:bookmarkStart w:id="0" w:name="_Toc477964301"/>
      <w:r>
        <w:rPr>
          <w:rFonts w:hint="eastAsia"/>
          <w:b/>
        </w:rPr>
        <w:t>总</w:t>
      </w:r>
      <w:r>
        <w:rPr>
          <w:b/>
        </w:rPr>
        <w:t xml:space="preserve">  </w:t>
      </w:r>
      <w:r>
        <w:rPr>
          <w:rFonts w:hint="eastAsia"/>
          <w:b/>
        </w:rPr>
        <w:t>则</w:t>
      </w:r>
      <w:bookmarkEnd w:id="0"/>
    </w:p>
    <w:p>
      <w:pPr>
        <w:spacing w:line="400" w:lineRule="exact"/>
        <w:ind w:firstLine="440" w:firstLineChars="200"/>
        <w:rPr>
          <w:rFonts w:cs="Arial"/>
          <w:szCs w:val="21"/>
        </w:rPr>
      </w:pPr>
      <w:r>
        <w:rPr>
          <w:rFonts w:hint="eastAsia"/>
        </w:rPr>
        <w:t>本附件所集中列示的废标条件，是本章“评标办法”的组成部分，是对</w:t>
      </w:r>
      <w:r>
        <w:rPr>
          <w:rFonts w:hint="eastAsia" w:ascii="Arial" w:hAnsi="Arial" w:cs="Arial"/>
          <w:szCs w:val="21"/>
        </w:rPr>
        <w:t>第二章“谈判承包人须知”和本章正文部分所规定的废标条件的总结和补充，如果出现不一致的情况，按</w:t>
      </w:r>
      <w:r>
        <w:rPr>
          <w:rFonts w:hint="eastAsia" w:ascii="Arial" w:hAnsi="Arial" w:cs="Arial"/>
          <w:b/>
          <w:szCs w:val="21"/>
        </w:rPr>
        <w:t>本附件</w:t>
      </w:r>
      <w:r>
        <w:rPr>
          <w:rFonts w:hint="eastAsia" w:ascii="Arial" w:hAnsi="Arial" w:cs="Arial"/>
          <w:szCs w:val="21"/>
        </w:rPr>
        <w:t>的规定执行。</w:t>
      </w:r>
    </w:p>
    <w:p>
      <w:pPr>
        <w:spacing w:line="400" w:lineRule="exact"/>
        <w:outlineLvl w:val="0"/>
        <w:rPr>
          <w:b/>
          <w:bCs/>
        </w:rPr>
      </w:pPr>
      <w:bookmarkStart w:id="1" w:name="_Toc477964302"/>
      <w:r>
        <w:rPr>
          <w:b/>
          <w:bCs/>
        </w:rPr>
        <w:t xml:space="preserve"> </w:t>
      </w:r>
      <w:r>
        <w:rPr>
          <w:rFonts w:hint="eastAsia"/>
          <w:b/>
          <w:bCs/>
        </w:rPr>
        <w:t>废标条件</w:t>
      </w:r>
      <w:bookmarkEnd w:id="1"/>
    </w:p>
    <w:p>
      <w:pPr>
        <w:spacing w:line="400" w:lineRule="exact"/>
        <w:ind w:firstLine="440" w:firstLineChars="200"/>
      </w:pPr>
      <w:r>
        <w:t>1</w:t>
      </w:r>
      <w:r>
        <w:rPr>
          <w:rFonts w:hint="eastAsia"/>
        </w:rPr>
        <w:t>、谈判承包人或投标其报价文件有下列情形之一的，其作废标处理：</w:t>
      </w:r>
    </w:p>
    <w:p>
      <w:pPr>
        <w:numPr>
          <w:ilvl w:val="0"/>
          <w:numId w:val="23"/>
        </w:numPr>
        <w:spacing w:line="400" w:lineRule="exact"/>
        <w:rPr>
          <w:rFonts w:ascii="Arial" w:hAnsi="Arial" w:cs="Arial"/>
          <w:szCs w:val="21"/>
        </w:rPr>
      </w:pPr>
      <w:r>
        <w:rPr>
          <w:rFonts w:hint="eastAsia" w:ascii="Arial" w:hAnsi="Arial" w:cs="Arial"/>
          <w:szCs w:val="21"/>
        </w:rPr>
        <w:t>为谈判人不具有独立法人资格的附属机构（单位）；</w:t>
      </w:r>
      <w:r>
        <w:rPr>
          <w:rFonts w:ascii="Arial" w:hAnsi="Arial" w:cs="Arial"/>
          <w:szCs w:val="21"/>
        </w:rPr>
        <w:t xml:space="preserve"> </w:t>
      </w:r>
    </w:p>
    <w:p>
      <w:pPr>
        <w:numPr>
          <w:ilvl w:val="0"/>
          <w:numId w:val="23"/>
        </w:numPr>
        <w:spacing w:line="400" w:lineRule="exact"/>
        <w:rPr>
          <w:rFonts w:ascii="Arial" w:hAnsi="Arial" w:cs="Arial"/>
          <w:szCs w:val="21"/>
        </w:rPr>
      </w:pPr>
      <w:r>
        <w:rPr>
          <w:rFonts w:hint="eastAsia" w:ascii="Arial" w:hAnsi="Arial" w:cs="Arial"/>
          <w:szCs w:val="21"/>
        </w:rPr>
        <w:t>为本标段前期准备提供设计或咨询服务的，但设计施工总承包的除外；</w:t>
      </w:r>
      <w:r>
        <w:rPr>
          <w:rFonts w:ascii="Arial" w:hAnsi="Arial" w:cs="Arial"/>
          <w:szCs w:val="21"/>
        </w:rPr>
        <w:t xml:space="preserve"> </w:t>
      </w:r>
    </w:p>
    <w:p>
      <w:pPr>
        <w:numPr>
          <w:ilvl w:val="0"/>
          <w:numId w:val="23"/>
        </w:numPr>
        <w:spacing w:line="400" w:lineRule="exact"/>
        <w:rPr>
          <w:rFonts w:ascii="Arial" w:hAnsi="Arial" w:cs="Arial"/>
          <w:szCs w:val="21"/>
        </w:rPr>
      </w:pPr>
      <w:r>
        <w:rPr>
          <w:rFonts w:hint="eastAsia" w:ascii="Arial" w:hAnsi="Arial" w:cs="Arial"/>
          <w:szCs w:val="21"/>
        </w:rPr>
        <w:t>为本标段的监理人；</w:t>
      </w:r>
    </w:p>
    <w:p>
      <w:pPr>
        <w:numPr>
          <w:ilvl w:val="0"/>
          <w:numId w:val="23"/>
        </w:numPr>
        <w:spacing w:line="400" w:lineRule="exact"/>
        <w:rPr>
          <w:rFonts w:ascii="Arial" w:hAnsi="Arial" w:cs="Arial"/>
          <w:szCs w:val="21"/>
        </w:rPr>
      </w:pPr>
      <w:r>
        <w:rPr>
          <w:rFonts w:hint="eastAsia" w:ascii="Arial" w:hAnsi="Arial" w:cs="Arial"/>
          <w:szCs w:val="21"/>
        </w:rPr>
        <w:t>为本标段的代建人；</w:t>
      </w:r>
      <w:r>
        <w:rPr>
          <w:rFonts w:ascii="Arial" w:hAnsi="Arial" w:cs="Arial"/>
          <w:szCs w:val="21"/>
        </w:rPr>
        <w:t xml:space="preserve"> </w:t>
      </w:r>
    </w:p>
    <w:p>
      <w:pPr>
        <w:numPr>
          <w:ilvl w:val="0"/>
          <w:numId w:val="23"/>
        </w:numPr>
        <w:spacing w:line="400" w:lineRule="exact"/>
        <w:rPr>
          <w:rFonts w:ascii="Arial" w:hAnsi="Arial" w:cs="Arial"/>
          <w:szCs w:val="21"/>
        </w:rPr>
      </w:pPr>
      <w:r>
        <w:rPr>
          <w:rFonts w:hint="eastAsia" w:ascii="Arial" w:hAnsi="Arial" w:cs="Arial"/>
          <w:szCs w:val="21"/>
        </w:rPr>
        <w:t>为本标段提供谈判代理服务的；</w:t>
      </w:r>
      <w:r>
        <w:rPr>
          <w:rFonts w:ascii="Arial" w:hAnsi="Arial" w:cs="Arial"/>
          <w:szCs w:val="21"/>
        </w:rPr>
        <w:t xml:space="preserve"> </w:t>
      </w:r>
    </w:p>
    <w:p>
      <w:pPr>
        <w:numPr>
          <w:ilvl w:val="0"/>
          <w:numId w:val="23"/>
        </w:numPr>
        <w:spacing w:line="400" w:lineRule="exact"/>
        <w:rPr>
          <w:rFonts w:ascii="Arial" w:hAnsi="Arial" w:cs="Arial"/>
          <w:szCs w:val="21"/>
        </w:rPr>
      </w:pPr>
      <w:r>
        <w:rPr>
          <w:rFonts w:hint="eastAsia" w:ascii="Arial" w:hAnsi="Arial" w:cs="Arial"/>
          <w:szCs w:val="21"/>
        </w:rPr>
        <w:t>与本标段的监理人或代建人同为一个法定代表人的；</w:t>
      </w:r>
    </w:p>
    <w:p>
      <w:pPr>
        <w:numPr>
          <w:ilvl w:val="0"/>
          <w:numId w:val="23"/>
        </w:numPr>
        <w:spacing w:line="400" w:lineRule="exact"/>
        <w:rPr>
          <w:rFonts w:ascii="Arial" w:hAnsi="Arial" w:cs="Arial"/>
          <w:szCs w:val="21"/>
        </w:rPr>
      </w:pPr>
      <w:r>
        <w:rPr>
          <w:rFonts w:hint="eastAsia" w:ascii="Arial" w:hAnsi="Arial" w:cs="Arial"/>
          <w:szCs w:val="21"/>
        </w:rPr>
        <w:t>与本标段的监理人或代建人相互控股或参股的；</w:t>
      </w:r>
    </w:p>
    <w:p>
      <w:pPr>
        <w:numPr>
          <w:ilvl w:val="0"/>
          <w:numId w:val="23"/>
        </w:numPr>
        <w:spacing w:line="400" w:lineRule="exact"/>
        <w:rPr>
          <w:rFonts w:ascii="Arial" w:hAnsi="Arial" w:cs="Arial"/>
          <w:szCs w:val="21"/>
        </w:rPr>
      </w:pPr>
      <w:r>
        <w:rPr>
          <w:rFonts w:hint="eastAsia" w:ascii="Arial" w:hAnsi="Arial" w:cs="Arial"/>
          <w:szCs w:val="21"/>
        </w:rPr>
        <w:t>与本标段的监理人或代建人相互任职或工作的；</w:t>
      </w:r>
    </w:p>
    <w:p>
      <w:pPr>
        <w:numPr>
          <w:ilvl w:val="0"/>
          <w:numId w:val="23"/>
        </w:numPr>
        <w:spacing w:line="400" w:lineRule="exact"/>
        <w:rPr>
          <w:rFonts w:ascii="Arial" w:hAnsi="Arial" w:cs="Arial"/>
          <w:szCs w:val="21"/>
        </w:rPr>
      </w:pPr>
      <w:r>
        <w:rPr>
          <w:rFonts w:hint="eastAsia" w:ascii="Arial" w:hAnsi="Arial" w:cs="Arial"/>
          <w:szCs w:val="21"/>
        </w:rPr>
        <w:t>被责令停业的；</w:t>
      </w:r>
      <w:r>
        <w:rPr>
          <w:rFonts w:ascii="Arial" w:hAnsi="Arial" w:cs="Arial"/>
          <w:szCs w:val="21"/>
        </w:rPr>
        <w:t xml:space="preserve"> </w:t>
      </w:r>
    </w:p>
    <w:p>
      <w:pPr>
        <w:numPr>
          <w:ilvl w:val="0"/>
          <w:numId w:val="23"/>
        </w:numPr>
        <w:spacing w:line="400" w:lineRule="exact"/>
        <w:rPr>
          <w:rFonts w:ascii="Arial" w:hAnsi="Arial" w:cs="Arial"/>
          <w:szCs w:val="21"/>
        </w:rPr>
      </w:pPr>
      <w:r>
        <w:rPr>
          <w:rFonts w:hint="eastAsia" w:ascii="Arial" w:hAnsi="Arial" w:cs="Arial"/>
          <w:szCs w:val="21"/>
        </w:rPr>
        <w:t>被暂停或取消投标资格的；</w:t>
      </w:r>
      <w:r>
        <w:rPr>
          <w:rFonts w:ascii="Arial" w:hAnsi="Arial" w:cs="Arial"/>
          <w:szCs w:val="21"/>
        </w:rPr>
        <w:t xml:space="preserve"> </w:t>
      </w:r>
    </w:p>
    <w:p>
      <w:pPr>
        <w:numPr>
          <w:ilvl w:val="0"/>
          <w:numId w:val="23"/>
        </w:numPr>
        <w:spacing w:line="400" w:lineRule="exact"/>
        <w:rPr>
          <w:rFonts w:ascii="Arial" w:hAnsi="Arial" w:cs="Arial"/>
          <w:szCs w:val="21"/>
        </w:rPr>
      </w:pPr>
      <w:r>
        <w:rPr>
          <w:rFonts w:hint="eastAsia" w:ascii="Arial" w:hAnsi="Arial" w:cs="Arial"/>
          <w:szCs w:val="21"/>
        </w:rPr>
        <w:t>财产被接管或冻结的；</w:t>
      </w:r>
    </w:p>
    <w:p>
      <w:pPr>
        <w:numPr>
          <w:ilvl w:val="0"/>
          <w:numId w:val="23"/>
        </w:numPr>
        <w:spacing w:line="400" w:lineRule="exact"/>
        <w:rPr>
          <w:rFonts w:ascii="Arial" w:hAnsi="Arial" w:cs="Arial"/>
          <w:szCs w:val="21"/>
        </w:rPr>
      </w:pPr>
      <w:r>
        <w:rPr>
          <w:rFonts w:hint="eastAsia" w:ascii="Arial" w:hAnsi="Arial" w:cs="Arial"/>
          <w:szCs w:val="21"/>
        </w:rPr>
        <w:t>在最近三年内有骗取中标或严重违约或重大工程质量问题的。</w:t>
      </w:r>
    </w:p>
    <w:p>
      <w:pPr>
        <w:spacing w:line="400" w:lineRule="exact"/>
        <w:ind w:firstLine="440" w:firstLineChars="200"/>
      </w:pPr>
      <w:r>
        <w:t>2</w:t>
      </w:r>
      <w:r>
        <w:rPr>
          <w:rFonts w:hint="eastAsia"/>
        </w:rPr>
        <w:t>、与谈判人存在利害关系且影响谈判公正性的。</w:t>
      </w:r>
    </w:p>
    <w:p>
      <w:pPr>
        <w:spacing w:line="400" w:lineRule="exact"/>
        <w:ind w:left="426"/>
      </w:pPr>
      <w:r>
        <w:t>3</w:t>
      </w:r>
      <w:r>
        <w:rPr>
          <w:rFonts w:hint="eastAsia"/>
        </w:rPr>
        <w:t>、有串通投标或弄虚作假或有其他违法行为的，包括：</w:t>
      </w:r>
    </w:p>
    <w:p>
      <w:pPr>
        <w:spacing w:line="400" w:lineRule="exact"/>
        <w:ind w:firstLine="752" w:firstLineChars="342"/>
      </w:pPr>
      <w:r>
        <w:rPr>
          <w:rFonts w:hint="eastAsia"/>
        </w:rPr>
        <w:t>其中有下列情形之一的，视为谈判承包人相互串通投标：</w:t>
      </w:r>
    </w:p>
    <w:p>
      <w:pPr>
        <w:numPr>
          <w:ilvl w:val="0"/>
          <w:numId w:val="24"/>
        </w:numPr>
        <w:spacing w:line="400" w:lineRule="exact"/>
        <w:rPr>
          <w:rFonts w:ascii="Arial" w:hAnsi="Arial" w:cs="Arial"/>
          <w:szCs w:val="21"/>
        </w:rPr>
      </w:pPr>
      <w:r>
        <w:rPr>
          <w:rFonts w:hint="eastAsia" w:ascii="Arial" w:hAnsi="Arial" w:cs="Arial"/>
          <w:szCs w:val="21"/>
        </w:rPr>
        <w:t>不同谈判承包人的报价文件由同一单位或者个人编制的；</w:t>
      </w:r>
    </w:p>
    <w:p>
      <w:pPr>
        <w:numPr>
          <w:ilvl w:val="0"/>
          <w:numId w:val="24"/>
        </w:numPr>
        <w:spacing w:line="400" w:lineRule="exact"/>
        <w:rPr>
          <w:rFonts w:ascii="Arial" w:hAnsi="Arial" w:cs="Arial"/>
          <w:szCs w:val="21"/>
        </w:rPr>
      </w:pPr>
      <w:r>
        <w:rPr>
          <w:rFonts w:hint="eastAsia" w:ascii="Arial" w:hAnsi="Arial" w:cs="Arial"/>
          <w:szCs w:val="21"/>
        </w:rPr>
        <w:t>不同谈判承包人委托同一单位或者个人办理投标事宜的；</w:t>
      </w:r>
    </w:p>
    <w:p>
      <w:pPr>
        <w:numPr>
          <w:ilvl w:val="0"/>
          <w:numId w:val="24"/>
        </w:numPr>
        <w:spacing w:line="400" w:lineRule="exact"/>
        <w:rPr>
          <w:rFonts w:ascii="Arial" w:hAnsi="Arial" w:cs="Arial"/>
          <w:szCs w:val="21"/>
        </w:rPr>
      </w:pPr>
      <w:r>
        <w:rPr>
          <w:rFonts w:hint="eastAsia" w:ascii="Arial" w:hAnsi="Arial" w:cs="Arial"/>
          <w:szCs w:val="21"/>
        </w:rPr>
        <w:t>不同谈判承包人的报价文件载明的项目管理机构成员出现同一人的；</w:t>
      </w:r>
    </w:p>
    <w:p>
      <w:pPr>
        <w:numPr>
          <w:ilvl w:val="0"/>
          <w:numId w:val="24"/>
        </w:numPr>
        <w:spacing w:line="400" w:lineRule="exact"/>
        <w:rPr>
          <w:rFonts w:ascii="Arial" w:hAnsi="Arial" w:cs="Arial"/>
          <w:szCs w:val="21"/>
        </w:rPr>
      </w:pPr>
      <w:r>
        <w:rPr>
          <w:rFonts w:hint="eastAsia" w:ascii="Arial" w:hAnsi="Arial" w:cs="Arial"/>
          <w:szCs w:val="21"/>
        </w:rPr>
        <w:t>不同谈判承包人的报价文件异常一致或者投标报价呈规律性差异；</w:t>
      </w:r>
    </w:p>
    <w:p>
      <w:pPr>
        <w:numPr>
          <w:ilvl w:val="0"/>
          <w:numId w:val="24"/>
        </w:numPr>
        <w:spacing w:line="400" w:lineRule="exact"/>
        <w:rPr>
          <w:rFonts w:ascii="Arial" w:hAnsi="Arial" w:cs="Arial"/>
          <w:szCs w:val="21"/>
        </w:rPr>
      </w:pPr>
      <w:r>
        <w:rPr>
          <w:rFonts w:hint="eastAsia" w:ascii="Arial" w:hAnsi="Arial" w:cs="Arial"/>
          <w:szCs w:val="21"/>
        </w:rPr>
        <w:t>不同谈判承包人的报价文件相互混装的；</w:t>
      </w:r>
    </w:p>
    <w:p>
      <w:pPr>
        <w:numPr>
          <w:ilvl w:val="0"/>
          <w:numId w:val="24"/>
        </w:numPr>
      </w:pPr>
      <w:r>
        <w:rPr>
          <w:rFonts w:hint="eastAsia"/>
        </w:rPr>
        <w:t>不同谈判承包人委托在同一单位缴纳社会保险的人员编制报价文件、办理投标事宜的；</w:t>
      </w:r>
    </w:p>
    <w:p>
      <w:pPr>
        <w:numPr>
          <w:ilvl w:val="0"/>
          <w:numId w:val="24"/>
        </w:numPr>
      </w:pPr>
      <w:r>
        <w:rPr>
          <w:rFonts w:hint="eastAsia"/>
        </w:rPr>
        <w:t>不同谈判承包人的报价文件出自同一台电脑或同一单位电脑的；</w:t>
      </w:r>
    </w:p>
    <w:p>
      <w:pPr>
        <w:numPr>
          <w:ilvl w:val="0"/>
          <w:numId w:val="24"/>
        </w:numPr>
      </w:pPr>
      <w:r>
        <w:rPr>
          <w:rFonts w:hint="eastAsia"/>
        </w:rPr>
        <w:t>不同谈判承包人通过同一单位的</w:t>
      </w:r>
      <w:r>
        <w:t>IP</w:t>
      </w:r>
      <w:r>
        <w:rPr>
          <w:rFonts w:hint="eastAsia"/>
        </w:rPr>
        <w:t>地址下载竞争性谈判文件或上传报价文件的；</w:t>
      </w:r>
    </w:p>
    <w:p>
      <w:pPr>
        <w:numPr>
          <w:ilvl w:val="0"/>
          <w:numId w:val="24"/>
        </w:numPr>
      </w:pPr>
      <w:r>
        <w:rPr>
          <w:rFonts w:hint="eastAsia"/>
        </w:rPr>
        <w:t>不同谈判承包人的报价文件中（谈判承包人针对投标项目特点自行编制部分）出现整章节、整段落或错误异常一致的；</w:t>
      </w:r>
    </w:p>
    <w:p>
      <w:pPr>
        <w:numPr>
          <w:ilvl w:val="0"/>
          <w:numId w:val="24"/>
        </w:numPr>
      </w:pPr>
      <w:r>
        <w:rPr>
          <w:rFonts w:hint="eastAsia"/>
        </w:rPr>
        <w:t>不同谈判承包人的投标报价异常一致的（精确到人民币“元”）。</w:t>
      </w:r>
    </w:p>
    <w:p>
      <w:pPr>
        <w:spacing w:line="400" w:lineRule="exact"/>
        <w:rPr>
          <w:rFonts w:cs="Arial"/>
          <w:szCs w:val="21"/>
          <w:u w:val="single"/>
        </w:rPr>
      </w:pPr>
      <w:r>
        <w:rPr>
          <w:rFonts w:cs="Arial"/>
          <w:szCs w:val="21"/>
          <w:u w:val="single"/>
        </w:rPr>
        <w:t xml:space="preserve">                                                   </w:t>
      </w:r>
    </w:p>
    <w:p>
      <w:pPr>
        <w:spacing w:line="400" w:lineRule="exact"/>
        <w:ind w:left="426"/>
      </w:pPr>
      <w:r>
        <w:t>4</w:t>
      </w:r>
      <w:r>
        <w:rPr>
          <w:rFonts w:hint="eastAsia"/>
        </w:rPr>
        <w:t>、使用通过受让或者租借等方式获取的资格、资质证书投标，或以其他方式弄虚作假的。</w:t>
      </w:r>
    </w:p>
    <w:p>
      <w:pPr>
        <w:spacing w:line="400" w:lineRule="exact"/>
        <w:ind w:left="426"/>
      </w:pPr>
      <w:r>
        <w:t>5</w:t>
      </w:r>
      <w:r>
        <w:rPr>
          <w:rFonts w:hint="eastAsia"/>
        </w:rPr>
        <w:t>、不按评标委员会要求澄清、说明或补正的。</w:t>
      </w:r>
    </w:p>
    <w:p>
      <w:pPr>
        <w:spacing w:line="400" w:lineRule="exact"/>
        <w:ind w:left="426"/>
      </w:pPr>
      <w:r>
        <w:rPr>
          <w:lang w:eastAsia="zh-CN"/>
        </w:rPr>
        <w:t>6</w:t>
      </w:r>
      <w:r>
        <w:rPr>
          <w:rFonts w:hint="eastAsia"/>
        </w:rPr>
        <w:t>、未披露或未真实披露谈判承包人与其关联单位的关系的相关情况的。</w:t>
      </w:r>
    </w:p>
    <w:p>
      <w:pPr>
        <w:spacing w:line="400" w:lineRule="exact"/>
        <w:ind w:left="420"/>
      </w:pPr>
      <w:r>
        <w:rPr>
          <w:lang w:eastAsia="zh-CN"/>
        </w:rPr>
        <w:t>7</w:t>
      </w:r>
      <w:r>
        <w:rPr>
          <w:rFonts w:hint="eastAsia"/>
        </w:rPr>
        <w:t>、当谈判承包人资格预审申请文件的内容发生下列重大变化时，未在报价文件提交截止时间前取得谈判人的书面同意的，或者其在报价文件中更新的资料不符合资格预审文件中规定的审查标准的或者其投标影响谈判公正性的。</w:t>
      </w:r>
    </w:p>
    <w:p>
      <w:pPr>
        <w:numPr>
          <w:ilvl w:val="0"/>
          <w:numId w:val="25"/>
        </w:numPr>
        <w:spacing w:line="400" w:lineRule="exact"/>
        <w:rPr>
          <w:rFonts w:ascii="Arial" w:hAnsi="Arial" w:cs="Arial"/>
          <w:szCs w:val="21"/>
        </w:rPr>
      </w:pPr>
      <w:r>
        <w:rPr>
          <w:rFonts w:hint="eastAsia" w:ascii="Arial" w:hAnsi="Arial" w:cs="Arial"/>
          <w:szCs w:val="21"/>
        </w:rPr>
        <w:t>谈判承包人名称变化；</w:t>
      </w:r>
    </w:p>
    <w:p>
      <w:pPr>
        <w:numPr>
          <w:ilvl w:val="0"/>
          <w:numId w:val="25"/>
        </w:numPr>
        <w:spacing w:line="400" w:lineRule="exact"/>
        <w:rPr>
          <w:rFonts w:ascii="Arial" w:hAnsi="Arial" w:cs="Arial"/>
          <w:szCs w:val="21"/>
        </w:rPr>
      </w:pPr>
      <w:r>
        <w:rPr>
          <w:rFonts w:hint="eastAsia" w:ascii="Arial" w:hAnsi="Arial" w:cs="Arial"/>
          <w:szCs w:val="21"/>
        </w:rPr>
        <w:t>谈判承包人发生合并、分立、破产等重大变化；</w:t>
      </w:r>
    </w:p>
    <w:p>
      <w:pPr>
        <w:numPr>
          <w:ilvl w:val="0"/>
          <w:numId w:val="25"/>
        </w:numPr>
        <w:spacing w:line="400" w:lineRule="exact"/>
        <w:rPr>
          <w:rFonts w:ascii="Arial" w:hAnsi="Arial" w:cs="Arial"/>
          <w:szCs w:val="21"/>
        </w:rPr>
      </w:pPr>
      <w:r>
        <w:rPr>
          <w:rFonts w:hint="eastAsia" w:ascii="Arial" w:hAnsi="Arial" w:cs="Arial"/>
          <w:szCs w:val="21"/>
        </w:rPr>
        <w:t>谈判承包人财务状况、经营状况发生重大变化；</w:t>
      </w:r>
    </w:p>
    <w:p>
      <w:pPr>
        <w:numPr>
          <w:ilvl w:val="0"/>
          <w:numId w:val="25"/>
        </w:numPr>
        <w:spacing w:line="400" w:lineRule="exact"/>
        <w:rPr>
          <w:rFonts w:ascii="Arial" w:hAnsi="Arial" w:cs="Arial"/>
          <w:szCs w:val="21"/>
        </w:rPr>
      </w:pPr>
      <w:r>
        <w:rPr>
          <w:rFonts w:hint="eastAsia" w:ascii="Arial" w:hAnsi="Arial" w:cs="Arial"/>
          <w:szCs w:val="21"/>
        </w:rPr>
        <w:t>更换项目经理；</w:t>
      </w:r>
    </w:p>
    <w:p>
      <w:pPr>
        <w:numPr>
          <w:ilvl w:val="0"/>
          <w:numId w:val="25"/>
        </w:numPr>
        <w:spacing w:line="400" w:lineRule="exact"/>
        <w:rPr>
          <w:rFonts w:ascii="Arial" w:hAnsi="Arial" w:cs="Arial"/>
          <w:szCs w:val="21"/>
        </w:rPr>
      </w:pPr>
      <w:r>
        <w:rPr>
          <w:rFonts w:hint="eastAsia" w:ascii="Arial" w:hAnsi="Arial" w:cs="Arial"/>
          <w:szCs w:val="21"/>
        </w:rPr>
        <w:t>联合体分工比例变化；</w:t>
      </w:r>
    </w:p>
    <w:p>
      <w:pPr>
        <w:numPr>
          <w:ilvl w:val="0"/>
          <w:numId w:val="25"/>
        </w:numPr>
        <w:spacing w:line="400" w:lineRule="exact"/>
        <w:rPr>
          <w:rFonts w:ascii="Arial" w:hAnsi="Arial" w:cs="Arial"/>
          <w:szCs w:val="21"/>
          <w:u w:val="single"/>
        </w:rPr>
      </w:pPr>
      <w:r>
        <w:rPr>
          <w:rFonts w:ascii="Arial" w:hAnsi="Arial" w:cs="Arial"/>
          <w:szCs w:val="21"/>
          <w:u w:val="single"/>
        </w:rPr>
        <w:t xml:space="preserve">       /                                       </w:t>
      </w:r>
    </w:p>
    <w:p>
      <w:pPr>
        <w:spacing w:line="400" w:lineRule="exact"/>
        <w:ind w:left="420"/>
      </w:pPr>
      <w:r>
        <w:rPr>
          <w:lang w:eastAsia="zh-CN"/>
        </w:rPr>
        <w:t>8</w:t>
      </w:r>
      <w:r>
        <w:rPr>
          <w:rFonts w:hint="eastAsia"/>
        </w:rPr>
        <w:t>、投标报价中包含的专业工程暂估价或材料和工程设备暂估单价或暂列金额与竞争性谈判文件中给定的不一致的。</w:t>
      </w:r>
    </w:p>
    <w:p>
      <w:pPr>
        <w:spacing w:line="400" w:lineRule="exact"/>
        <w:ind w:left="420"/>
      </w:pPr>
      <w:r>
        <w:rPr>
          <w:lang w:eastAsia="zh-CN"/>
        </w:rPr>
        <w:t>9</w:t>
      </w:r>
      <w:r>
        <w:rPr>
          <w:rFonts w:hint="eastAsia"/>
        </w:rPr>
        <w:t>、报价文件内容不全或关键字迹模糊、无法辨认。</w:t>
      </w:r>
    </w:p>
    <w:p>
      <w:pPr>
        <w:spacing w:line="400" w:lineRule="exact"/>
        <w:ind w:left="420"/>
      </w:pPr>
      <w:r>
        <w:t>1</w:t>
      </w:r>
      <w:r>
        <w:rPr>
          <w:lang w:eastAsia="zh-CN"/>
        </w:rPr>
        <w:t>0</w:t>
      </w:r>
      <w:r>
        <w:rPr>
          <w:rFonts w:hint="eastAsia"/>
        </w:rPr>
        <w:t>、未按照竞争性谈判文件要求制定相应的安全文明施工措施的。</w:t>
      </w:r>
    </w:p>
    <w:p>
      <w:pPr>
        <w:spacing w:line="400" w:lineRule="exact"/>
        <w:ind w:left="420"/>
      </w:pPr>
      <w:r>
        <w:t>1</w:t>
      </w:r>
      <w:r>
        <w:rPr>
          <w:lang w:eastAsia="zh-CN"/>
        </w:rPr>
        <w:t>1</w:t>
      </w:r>
      <w:r>
        <w:rPr>
          <w:rFonts w:hint="eastAsia"/>
        </w:rPr>
        <w:t>、未按照竞争性谈判文件要求对安全文明施工费单独列项计价，或其报价低于竞争性谈判文件有关规定和要求的。</w:t>
      </w:r>
    </w:p>
    <w:p>
      <w:pPr>
        <w:spacing w:line="400" w:lineRule="exact"/>
        <w:ind w:left="420"/>
      </w:pPr>
      <w:r>
        <w:t>1</w:t>
      </w:r>
      <w:r>
        <w:rPr>
          <w:lang w:eastAsia="zh-CN"/>
        </w:rPr>
        <w:t>2</w:t>
      </w:r>
      <w:r>
        <w:rPr>
          <w:rFonts w:hint="eastAsia"/>
        </w:rPr>
        <w:t>、单位负责人为同一人或者存在控股、管理关系的不同单位，参加同一标段投标或者未划分标段的同一谈判项目投标的。</w:t>
      </w:r>
    </w:p>
    <w:p>
      <w:pPr>
        <w:spacing w:line="400" w:lineRule="exact"/>
        <w:ind w:left="420"/>
      </w:pPr>
      <w:r>
        <w:t>1</w:t>
      </w:r>
      <w:r>
        <w:rPr>
          <w:lang w:eastAsia="zh-CN"/>
        </w:rPr>
        <w:t>3</w:t>
      </w:r>
      <w:r>
        <w:rPr>
          <w:rFonts w:hint="eastAsia"/>
        </w:rPr>
        <w:t>、谈判承包人提交两份或多份内容不同的报价文件，或在一份报价文件中对本谈判工程报有两个或多个报价，但未声明哪一个有效的；</w:t>
      </w:r>
    </w:p>
    <w:p>
      <w:pPr>
        <w:spacing w:line="400" w:lineRule="exact"/>
        <w:ind w:left="420"/>
      </w:pPr>
      <w:r>
        <w:t>1</w:t>
      </w:r>
      <w:r>
        <w:rPr>
          <w:lang w:eastAsia="zh-CN"/>
        </w:rPr>
        <w:t>4</w:t>
      </w:r>
      <w:r>
        <w:rPr>
          <w:rFonts w:hint="eastAsia"/>
        </w:rPr>
        <w:t>、未按规定的格式填写，内容不全或投标函及其附录中关键字迹模糊、无法辨认的；</w:t>
      </w:r>
    </w:p>
    <w:p>
      <w:pPr>
        <w:spacing w:line="400" w:lineRule="exact"/>
        <w:ind w:left="420"/>
      </w:pPr>
      <w:r>
        <w:t>1</w:t>
      </w:r>
      <w:r>
        <w:rPr>
          <w:lang w:eastAsia="zh-CN"/>
        </w:rPr>
        <w:t>5</w:t>
      </w:r>
      <w:r>
        <w:rPr>
          <w:rFonts w:hint="eastAsia"/>
        </w:rPr>
        <w:t>、报价函没有加盖谈判承包人公章的，或没有法定代表人或其委托代理人签字；</w:t>
      </w:r>
    </w:p>
    <w:p>
      <w:pPr>
        <w:spacing w:line="400" w:lineRule="exact"/>
        <w:ind w:left="420"/>
      </w:pPr>
      <w:r>
        <w:t>1</w:t>
      </w:r>
      <w:r>
        <w:rPr>
          <w:lang w:eastAsia="zh-CN"/>
        </w:rPr>
        <w:t>6</w:t>
      </w:r>
      <w:r>
        <w:rPr>
          <w:rFonts w:hint="eastAsia"/>
        </w:rPr>
        <w:t>、竞争性谈判文件中设立最高投标限价（或谈判控制价）时投标报价超出最高投标限价（或谈判控制价）的（不含等于）；</w:t>
      </w:r>
    </w:p>
    <w:p>
      <w:pPr>
        <w:spacing w:line="400" w:lineRule="exact"/>
        <w:ind w:left="420"/>
      </w:pPr>
      <w:r>
        <w:t>1</w:t>
      </w:r>
      <w:r>
        <w:rPr>
          <w:lang w:eastAsia="zh-CN"/>
        </w:rPr>
        <w:t>7</w:t>
      </w:r>
      <w:r>
        <w:rPr>
          <w:rFonts w:hint="eastAsia"/>
        </w:rPr>
        <w:t>、评标过程中，评标委员会发现房屋建设工程谈判承包人的投标报价低于标底</w:t>
      </w:r>
      <w:r>
        <w:t>6%</w:t>
      </w:r>
      <w:r>
        <w:rPr>
          <w:rFonts w:hint="eastAsia"/>
        </w:rPr>
        <w:t>或谈判控制价</w:t>
      </w:r>
      <w:r>
        <w:t>6%</w:t>
      </w:r>
      <w:r>
        <w:rPr>
          <w:rFonts w:hint="eastAsia"/>
        </w:rPr>
        <w:t>，或者市政工程谈判承包人的投标报价低于标底</w:t>
      </w:r>
      <w:r>
        <w:t>6%</w:t>
      </w:r>
      <w:r>
        <w:rPr>
          <w:rFonts w:hint="eastAsia"/>
        </w:rPr>
        <w:t>或谈判控制价</w:t>
      </w:r>
      <w:r>
        <w:t>8%</w:t>
      </w:r>
      <w:r>
        <w:rPr>
          <w:rFonts w:hint="eastAsia"/>
        </w:rPr>
        <w:t>，启动质疑程序后谈判承包人不能按评标委员会要求进行合理说明或补正或不能提供相关证明材料的；</w:t>
      </w:r>
    </w:p>
    <w:p>
      <w:pPr>
        <w:ind w:left="420"/>
      </w:pPr>
      <w:r>
        <w:rPr>
          <w:lang w:eastAsia="zh-CN"/>
        </w:rPr>
        <w:t>18</w:t>
      </w:r>
      <w:r>
        <w:rPr>
          <w:rFonts w:hint="eastAsia"/>
        </w:rPr>
        <w:t>、报价文件载明的谈判工程完成期限超过竞争性谈判文件规定的期限的；</w:t>
      </w:r>
    </w:p>
    <w:p>
      <w:pPr>
        <w:ind w:left="420"/>
      </w:pPr>
      <w:r>
        <w:t>1</w:t>
      </w:r>
      <w:r>
        <w:rPr>
          <w:lang w:eastAsia="zh-CN"/>
        </w:rPr>
        <w:t>9</w:t>
      </w:r>
      <w:r>
        <w:rPr>
          <w:rFonts w:hint="eastAsia"/>
        </w:rPr>
        <w:t>、报价文件中载明的质量标准达不到竞争性谈判文件规定的质量标准的；</w:t>
      </w:r>
    </w:p>
    <w:p>
      <w:pPr>
        <w:ind w:left="420"/>
      </w:pPr>
      <w:r>
        <w:t>2</w:t>
      </w:r>
      <w:r>
        <w:rPr>
          <w:lang w:eastAsia="zh-CN"/>
        </w:rPr>
        <w:t>0</w:t>
      </w:r>
      <w:r>
        <w:rPr>
          <w:rFonts w:hint="eastAsia"/>
        </w:rPr>
        <w:t>、实质性不响应竞争性谈判文件中规定的技术标准和要求的；</w:t>
      </w:r>
    </w:p>
    <w:p>
      <w:pPr>
        <w:ind w:left="440" w:leftChars="200"/>
      </w:pPr>
      <w:r>
        <w:t>2</w:t>
      </w:r>
      <w:r>
        <w:rPr>
          <w:lang w:eastAsia="zh-CN"/>
        </w:rPr>
        <w:t>1</w:t>
      </w:r>
      <w:r>
        <w:rPr>
          <w:rFonts w:hint="eastAsia"/>
        </w:rPr>
        <w:t>、报价文件附有谈判人不能接受的条件的。</w:t>
      </w:r>
    </w:p>
    <w:p>
      <w:pPr>
        <w:spacing w:line="360" w:lineRule="auto"/>
      </w:pPr>
      <w:r>
        <w:br w:type="page"/>
      </w:r>
      <w:r>
        <w:rPr>
          <w:rFonts w:hint="eastAsia"/>
        </w:rPr>
        <w:t>谈判记录表：</w:t>
      </w:r>
    </w:p>
    <w:p>
      <w:pPr>
        <w:jc w:val="center"/>
        <w:rPr>
          <w:rFonts w:ascii="黑体" w:hAnsi="黑体" w:eastAsia="黑体"/>
          <w:sz w:val="32"/>
          <w:szCs w:val="32"/>
        </w:rPr>
      </w:pPr>
      <w:r>
        <w:rPr>
          <w:rFonts w:hint="eastAsia" w:ascii="黑体" w:hAnsi="黑体" w:eastAsia="黑体"/>
          <w:sz w:val="32"/>
          <w:szCs w:val="32"/>
        </w:rPr>
        <w:t>谈判纪要</w:t>
      </w:r>
    </w:p>
    <w:p>
      <w:pPr>
        <w:rPr>
          <w:sz w:val="24"/>
        </w:rPr>
      </w:pPr>
      <w:r>
        <w:rPr>
          <w:rFonts w:hint="eastAsia"/>
          <w:sz w:val="24"/>
        </w:rPr>
        <w:t>项目名称：</w:t>
      </w:r>
    </w:p>
    <w:p>
      <w:pPr>
        <w:rPr>
          <w:sz w:val="24"/>
        </w:rPr>
      </w:pPr>
      <w:r>
        <w:rPr>
          <w:rFonts w:hint="eastAsia"/>
          <w:sz w:val="24"/>
        </w:rPr>
        <w:t>项目编号：</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3"/>
        <w:gridCol w:w="936"/>
        <w:gridCol w:w="6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3" w:hRule="atLeast"/>
        </w:trPr>
        <w:tc>
          <w:tcPr>
            <w:tcW w:w="1473" w:type="dxa"/>
            <w:vAlign w:val="center"/>
          </w:tcPr>
          <w:p>
            <w:pPr>
              <w:jc w:val="center"/>
              <w:rPr>
                <w:sz w:val="24"/>
              </w:rPr>
            </w:pPr>
            <w:r>
              <w:rPr>
                <w:rFonts w:hint="eastAsia"/>
                <w:sz w:val="24"/>
              </w:rPr>
              <w:t>谈判承包人</w:t>
            </w:r>
          </w:p>
        </w:tc>
        <w:tc>
          <w:tcPr>
            <w:tcW w:w="7627" w:type="dxa"/>
            <w:gridSpan w:val="2"/>
            <w:vAlign w:val="center"/>
          </w:tcPr>
          <w:p>
            <w:pPr>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2" w:hRule="atLeast"/>
        </w:trPr>
        <w:tc>
          <w:tcPr>
            <w:tcW w:w="9100" w:type="dxa"/>
            <w:gridSpan w:val="3"/>
          </w:tcPr>
          <w:p>
            <w:pPr>
              <w:rPr>
                <w:sz w:val="24"/>
              </w:rPr>
            </w:pPr>
            <w:r>
              <w:rPr>
                <w:rFonts w:hint="eastAsia"/>
                <w:sz w:val="24"/>
              </w:rPr>
              <w:t>需澄清的问题：</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5" w:hRule="atLeast"/>
        </w:trPr>
        <w:tc>
          <w:tcPr>
            <w:tcW w:w="9100" w:type="dxa"/>
            <w:gridSpan w:val="3"/>
          </w:tcPr>
          <w:p>
            <w:pPr>
              <w:rPr>
                <w:sz w:val="24"/>
              </w:rPr>
            </w:pPr>
            <w:r>
              <w:rPr>
                <w:rFonts w:hint="eastAsia"/>
                <w:sz w:val="24"/>
              </w:rPr>
              <w:t>承包人的答复：</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3" w:hRule="atLeast"/>
        </w:trPr>
        <w:tc>
          <w:tcPr>
            <w:tcW w:w="2409" w:type="dxa"/>
            <w:gridSpan w:val="2"/>
          </w:tcPr>
          <w:p>
            <w:pPr>
              <w:rPr>
                <w:sz w:val="24"/>
              </w:rPr>
            </w:pPr>
            <w:r>
              <w:rPr>
                <w:rFonts w:hint="eastAsia"/>
                <w:sz w:val="24"/>
              </w:rPr>
              <w:t>谈判承包人</w:t>
            </w:r>
          </w:p>
          <w:p>
            <w:pPr>
              <w:rPr>
                <w:sz w:val="24"/>
              </w:rPr>
            </w:pPr>
            <w:r>
              <w:rPr>
                <w:rFonts w:hint="eastAsia"/>
                <w:sz w:val="24"/>
              </w:rPr>
              <w:t>代表签字：</w:t>
            </w:r>
          </w:p>
        </w:tc>
        <w:tc>
          <w:tcPr>
            <w:tcW w:w="6691" w:type="dxa"/>
          </w:tcPr>
          <w:p>
            <w:pPr>
              <w:rPr>
                <w:sz w:val="24"/>
              </w:rPr>
            </w:pPr>
            <w:r>
              <w:rPr>
                <w:rFonts w:hint="eastAsia"/>
                <w:sz w:val="24"/>
              </w:rPr>
              <w:t>谈判小组签字：</w:t>
            </w:r>
          </w:p>
        </w:tc>
      </w:tr>
    </w:tbl>
    <w:p>
      <w:pPr>
        <w:spacing w:line="360" w:lineRule="auto"/>
      </w:pPr>
    </w:p>
    <w:p>
      <w:pPr>
        <w:spacing w:line="360" w:lineRule="auto"/>
        <w:jc w:val="center"/>
        <w:rPr>
          <w:b/>
          <w:bCs/>
          <w:kern w:val="44"/>
          <w:sz w:val="28"/>
          <w:szCs w:val="20"/>
        </w:rPr>
      </w:pPr>
    </w:p>
    <w:p>
      <w:pPr>
        <w:spacing w:line="360" w:lineRule="auto"/>
        <w:jc w:val="center"/>
        <w:rPr>
          <w:b/>
          <w:bCs/>
          <w:kern w:val="44"/>
          <w:sz w:val="28"/>
          <w:szCs w:val="20"/>
        </w:rPr>
      </w:pPr>
    </w:p>
    <w:p>
      <w:pPr>
        <w:spacing w:line="360" w:lineRule="auto"/>
        <w:jc w:val="center"/>
        <w:rPr>
          <w:b/>
          <w:bCs/>
          <w:kern w:val="44"/>
          <w:sz w:val="28"/>
          <w:szCs w:val="20"/>
        </w:rPr>
      </w:pPr>
      <w:r>
        <w:rPr>
          <w:rFonts w:hint="eastAsia"/>
          <w:b/>
          <w:bCs/>
          <w:kern w:val="44"/>
          <w:sz w:val="28"/>
          <w:szCs w:val="20"/>
        </w:rPr>
        <w:t>第</w:t>
      </w:r>
      <w:r>
        <w:rPr>
          <w:rFonts w:hint="eastAsia"/>
          <w:b/>
          <w:bCs/>
          <w:kern w:val="44"/>
          <w:sz w:val="28"/>
          <w:szCs w:val="20"/>
          <w:lang w:val="en-US" w:eastAsia="zh-CN"/>
        </w:rPr>
        <w:t>五</w:t>
      </w:r>
      <w:r>
        <w:rPr>
          <w:rFonts w:hint="eastAsia"/>
          <w:b/>
          <w:bCs/>
          <w:kern w:val="44"/>
          <w:sz w:val="28"/>
          <w:szCs w:val="20"/>
        </w:rPr>
        <w:t>部分</w:t>
      </w:r>
      <w:r>
        <w:rPr>
          <w:b/>
          <w:bCs/>
          <w:kern w:val="44"/>
          <w:sz w:val="28"/>
          <w:szCs w:val="20"/>
        </w:rPr>
        <w:t xml:space="preserve">  </w:t>
      </w:r>
      <w:bookmarkStart w:id="2" w:name="_Toc202600973"/>
      <w:bookmarkStart w:id="3" w:name="_Toc202601134"/>
      <w:r>
        <w:rPr>
          <w:rFonts w:hint="eastAsia"/>
          <w:b/>
          <w:bCs/>
          <w:kern w:val="44"/>
          <w:sz w:val="28"/>
          <w:szCs w:val="20"/>
        </w:rPr>
        <w:t>技术标准和要求</w:t>
      </w:r>
    </w:p>
    <w:bookmarkEnd w:id="2"/>
    <w:bookmarkEnd w:id="3"/>
    <w:p>
      <w:pPr>
        <w:spacing w:line="360" w:lineRule="auto"/>
        <w:ind w:firstLine="433" w:firstLineChars="196"/>
        <w:rPr>
          <w:b/>
          <w:szCs w:val="21"/>
        </w:rPr>
      </w:pPr>
    </w:p>
    <w:p>
      <w:pPr>
        <w:spacing w:line="360" w:lineRule="auto"/>
        <w:ind w:firstLine="433" w:firstLineChars="196"/>
        <w:rPr>
          <w:b/>
          <w:szCs w:val="21"/>
        </w:rPr>
      </w:pPr>
      <w:r>
        <w:rPr>
          <w:rFonts w:hint="eastAsia"/>
          <w:b/>
          <w:szCs w:val="21"/>
        </w:rPr>
        <w:t>第一节</w:t>
      </w:r>
      <w:r>
        <w:rPr>
          <w:b/>
          <w:szCs w:val="21"/>
        </w:rPr>
        <w:t xml:space="preserve">  </w:t>
      </w:r>
      <w:r>
        <w:rPr>
          <w:rFonts w:hint="eastAsia"/>
          <w:b/>
          <w:szCs w:val="21"/>
        </w:rPr>
        <w:t>一般要求</w:t>
      </w:r>
    </w:p>
    <w:p>
      <w:pPr>
        <w:spacing w:line="360" w:lineRule="auto"/>
        <w:ind w:firstLine="433" w:firstLineChars="196"/>
        <w:rPr>
          <w:rFonts w:cs="Arial"/>
          <w:b/>
          <w:szCs w:val="21"/>
        </w:rPr>
      </w:pPr>
      <w:r>
        <w:rPr>
          <w:b/>
          <w:szCs w:val="21"/>
        </w:rPr>
        <w:t>1.</w:t>
      </w:r>
      <w:r>
        <w:rPr>
          <w:rFonts w:cs="Arial"/>
          <w:b/>
          <w:szCs w:val="21"/>
        </w:rPr>
        <w:t xml:space="preserve"> </w:t>
      </w:r>
      <w:r>
        <w:rPr>
          <w:rFonts w:hint="eastAsia" w:cs="Arial"/>
          <w:b/>
          <w:szCs w:val="21"/>
        </w:rPr>
        <w:t>现场条件和周围环境</w:t>
      </w:r>
    </w:p>
    <w:p>
      <w:pPr>
        <w:spacing w:line="360" w:lineRule="auto"/>
        <w:ind w:firstLine="431" w:firstLineChars="196"/>
        <w:rPr>
          <w:color w:val="000000"/>
          <w:szCs w:val="21"/>
        </w:rPr>
      </w:pPr>
      <w:r>
        <w:rPr>
          <w:rFonts w:cs="Arial"/>
          <w:szCs w:val="21"/>
        </w:rPr>
        <w:t>1.1</w:t>
      </w:r>
      <w:r>
        <w:rPr>
          <w:rFonts w:hint="eastAsia" w:cs="Arial"/>
          <w:bCs/>
          <w:szCs w:val="21"/>
        </w:rPr>
        <w:t>现场的具体地理位置：</w:t>
      </w:r>
      <w:r>
        <w:rPr>
          <w:rFonts w:hint="eastAsia"/>
          <w:color w:val="000000"/>
          <w:szCs w:val="21"/>
          <w:lang w:val="en-US" w:eastAsia="zh-CN"/>
        </w:rPr>
        <w:t>北京市海淀区</w:t>
      </w:r>
      <w:r>
        <w:rPr>
          <w:rFonts w:hint="eastAsia" w:cs="Arial"/>
          <w:bCs/>
          <w:szCs w:val="21"/>
        </w:rPr>
        <w:t>。</w:t>
      </w:r>
      <w:r>
        <w:rPr>
          <w:rFonts w:cs="Arial"/>
          <w:bCs/>
          <w:szCs w:val="21"/>
        </w:rPr>
        <w:t xml:space="preserve"> </w:t>
      </w:r>
      <w:r>
        <w:rPr>
          <w:rFonts w:cs="Arial"/>
          <w:szCs w:val="21"/>
        </w:rPr>
        <w:t xml:space="preserve"> </w:t>
      </w:r>
    </w:p>
    <w:p>
      <w:pPr>
        <w:spacing w:line="360" w:lineRule="auto"/>
        <w:ind w:firstLine="440" w:firstLineChars="200"/>
        <w:rPr>
          <w:rFonts w:cs="Arial"/>
          <w:szCs w:val="21"/>
        </w:rPr>
      </w:pPr>
      <w:r>
        <w:rPr>
          <w:rFonts w:cs="Arial"/>
          <w:szCs w:val="21"/>
        </w:rPr>
        <w:t>1.2</w:t>
      </w:r>
      <w:r>
        <w:rPr>
          <w:rFonts w:hint="eastAsia" w:cs="Arial"/>
          <w:szCs w:val="21"/>
        </w:rPr>
        <w:t>本采购工程施工现场已经具备施工条件。</w:t>
      </w:r>
      <w:r>
        <w:rPr>
          <w:rFonts w:hint="eastAsia" w:ascii="Arial" w:hAnsi="Arial" w:cs="Arial"/>
          <w:szCs w:val="21"/>
        </w:rPr>
        <w:t>采购人提供水源、电源接口，施工现场水源接口位置、电源接口位置、排污口位置、道路交通和出入口、以及施工现场和周围环境等情况由采购人组织现场踏勘予以明确。</w:t>
      </w:r>
    </w:p>
    <w:p>
      <w:pPr>
        <w:spacing w:line="360" w:lineRule="auto"/>
        <w:ind w:firstLine="440" w:firstLineChars="200"/>
        <w:rPr>
          <w:rFonts w:cs="Arial"/>
          <w:szCs w:val="21"/>
        </w:rPr>
      </w:pPr>
      <w:r>
        <w:rPr>
          <w:rFonts w:cs="Arial"/>
          <w:szCs w:val="21"/>
        </w:rPr>
        <w:t>1.3</w:t>
      </w:r>
      <w:r>
        <w:rPr>
          <w:rFonts w:hint="eastAsia" w:cs="Arial"/>
          <w:szCs w:val="21"/>
        </w:rPr>
        <w:t>禁止工人在施工现场住宿，住宿问题由成交承包人自行解决。谈判承包人在谈判报价中充分考虑上述条件给谈判承包人带来的场地租赁、施工人员的交通费等额外支出，谈判承包人一旦成交，采购人不会再向成交承包人支付任何性质的相关费用，成交承包人也不得以此为理由进行费用和工期索赔。</w:t>
      </w:r>
    </w:p>
    <w:p>
      <w:pPr>
        <w:spacing w:line="360" w:lineRule="auto"/>
        <w:ind w:firstLine="440" w:firstLineChars="200"/>
        <w:rPr>
          <w:rFonts w:cs="Arial"/>
          <w:szCs w:val="21"/>
        </w:rPr>
      </w:pPr>
      <w:r>
        <w:rPr>
          <w:rFonts w:cs="Arial"/>
          <w:szCs w:val="21"/>
        </w:rPr>
        <w:t>1.4</w:t>
      </w:r>
      <w:r>
        <w:rPr>
          <w:rFonts w:hint="eastAsia" w:cs="Arial"/>
          <w:szCs w:val="21"/>
        </w:rPr>
        <w:t>谈判承包人应在踏勘现场时充分了解本采购工程现场条件和周围环境，并在编制竞争性谈判文件时对此作出相应的、恰当和充分的考虑。</w:t>
      </w:r>
    </w:p>
    <w:p>
      <w:pPr>
        <w:spacing w:line="360" w:lineRule="auto"/>
        <w:ind w:firstLine="440" w:firstLineChars="200"/>
        <w:rPr>
          <w:rFonts w:cs="Arial"/>
          <w:szCs w:val="21"/>
        </w:rPr>
      </w:pPr>
      <w:r>
        <w:rPr>
          <w:rFonts w:cs="Arial"/>
          <w:szCs w:val="21"/>
        </w:rPr>
        <w:t>1.5</w:t>
      </w:r>
      <w:r>
        <w:rPr>
          <w:rFonts w:hint="eastAsia" w:cs="Arial"/>
          <w:szCs w:val="21"/>
        </w:rPr>
        <w:t>采购文件中反映涉及本工程现场条件和周围环境等情况的资料和信息数据，是采购人现有的和客观的，采购人保证有关资料和信息数据的真实、准确。谈判承包人据此作出的判断和决策，由谈判承包人自行负责。</w:t>
      </w:r>
    </w:p>
    <w:p>
      <w:pPr>
        <w:spacing w:line="360" w:lineRule="auto"/>
        <w:ind w:firstLine="440" w:firstLineChars="200"/>
        <w:rPr>
          <w:rFonts w:cs="Arial"/>
          <w:szCs w:val="21"/>
        </w:rPr>
      </w:pPr>
    </w:p>
    <w:p>
      <w:pPr>
        <w:spacing w:line="360" w:lineRule="auto"/>
        <w:ind w:firstLine="442" w:firstLineChars="200"/>
        <w:rPr>
          <w:rFonts w:cs="Arial"/>
          <w:szCs w:val="21"/>
        </w:rPr>
      </w:pPr>
      <w:r>
        <w:rPr>
          <w:rFonts w:cs="Arial"/>
          <w:b/>
          <w:szCs w:val="21"/>
        </w:rPr>
        <w:t xml:space="preserve">2. </w:t>
      </w:r>
      <w:r>
        <w:rPr>
          <w:rFonts w:hint="eastAsia" w:cs="Arial"/>
          <w:b/>
          <w:szCs w:val="21"/>
        </w:rPr>
        <w:t>采购范围（具体详见本章后附工程量清单）</w:t>
      </w:r>
    </w:p>
    <w:p>
      <w:pPr>
        <w:spacing w:line="360" w:lineRule="auto"/>
        <w:ind w:firstLine="440" w:firstLineChars="200"/>
        <w:rPr>
          <w:b/>
          <w:szCs w:val="21"/>
          <w:highlight w:val="red"/>
        </w:rPr>
      </w:pPr>
      <w:r>
        <w:rPr>
          <w:rFonts w:hint="eastAsia" w:cs="Arial"/>
          <w:szCs w:val="21"/>
        </w:rPr>
        <w:t>本项目图纸范围内的全部工程。</w:t>
      </w:r>
      <w:r>
        <w:rPr>
          <w:rFonts w:cs="Arial"/>
          <w:szCs w:val="21"/>
        </w:rPr>
        <w:t xml:space="preserve"> </w:t>
      </w:r>
    </w:p>
    <w:p>
      <w:pPr>
        <w:spacing w:line="360" w:lineRule="auto"/>
        <w:ind w:firstLine="433" w:firstLineChars="196"/>
        <w:rPr>
          <w:b/>
          <w:szCs w:val="21"/>
        </w:rPr>
      </w:pPr>
    </w:p>
    <w:p>
      <w:pPr>
        <w:spacing w:line="360" w:lineRule="auto"/>
        <w:ind w:firstLine="433" w:firstLineChars="196"/>
        <w:rPr>
          <w:b/>
          <w:szCs w:val="21"/>
        </w:rPr>
      </w:pPr>
      <w:r>
        <w:rPr>
          <w:b/>
          <w:szCs w:val="21"/>
        </w:rPr>
        <w:t>3.</w:t>
      </w:r>
      <w:r>
        <w:rPr>
          <w:rFonts w:cs="Arial"/>
          <w:b/>
          <w:szCs w:val="21"/>
        </w:rPr>
        <w:t xml:space="preserve"> </w:t>
      </w:r>
      <w:r>
        <w:rPr>
          <w:rFonts w:hint="eastAsia" w:cs="Arial"/>
          <w:b/>
          <w:szCs w:val="21"/>
        </w:rPr>
        <w:t>工期要求</w:t>
      </w:r>
    </w:p>
    <w:p>
      <w:pPr>
        <w:spacing w:line="360" w:lineRule="auto"/>
        <w:ind w:firstLine="440" w:firstLineChars="200"/>
        <w:rPr>
          <w:rFonts w:cs="Arial"/>
          <w:szCs w:val="21"/>
        </w:rPr>
      </w:pPr>
      <w:r>
        <w:rPr>
          <w:rFonts w:cs="Arial"/>
          <w:szCs w:val="21"/>
        </w:rPr>
        <w:t>3.1</w:t>
      </w:r>
      <w:r>
        <w:rPr>
          <w:rFonts w:hint="eastAsia" w:cs="Arial"/>
          <w:szCs w:val="21"/>
        </w:rPr>
        <w:t>对于本采购工程，采购人要求的工期：</w:t>
      </w:r>
      <w:r>
        <w:rPr>
          <w:rFonts w:cs="Arial"/>
          <w:szCs w:val="21"/>
          <w:u w:val="single"/>
        </w:rPr>
        <w:t xml:space="preserve"> </w:t>
      </w:r>
      <w:r>
        <w:rPr>
          <w:rFonts w:cs="Arial"/>
          <w:szCs w:val="21"/>
          <w:u w:val="single"/>
          <w:lang w:val="en-US" w:eastAsia="zh-CN"/>
        </w:rPr>
        <w:t>80</w:t>
      </w:r>
      <w:r>
        <w:rPr>
          <w:rFonts w:cs="Arial"/>
          <w:szCs w:val="21"/>
          <w:u w:val="single"/>
        </w:rPr>
        <w:t xml:space="preserve"> </w:t>
      </w:r>
      <w:r>
        <w:rPr>
          <w:rFonts w:hint="eastAsia" w:cs="Arial"/>
          <w:szCs w:val="21"/>
        </w:rPr>
        <w:t>日历天。</w:t>
      </w:r>
    </w:p>
    <w:p>
      <w:pPr>
        <w:spacing w:line="360" w:lineRule="auto"/>
        <w:ind w:firstLine="440" w:firstLineChars="200"/>
        <w:rPr>
          <w:rFonts w:cs="Arial"/>
          <w:szCs w:val="21"/>
        </w:rPr>
      </w:pPr>
      <w:r>
        <w:rPr>
          <w:rFonts w:cs="Arial"/>
          <w:szCs w:val="21"/>
        </w:rPr>
        <w:t>3.2</w:t>
      </w:r>
      <w:r>
        <w:rPr>
          <w:rFonts w:hint="eastAsia" w:cs="Arial"/>
          <w:szCs w:val="21"/>
        </w:rPr>
        <w:t>本采购工程计划开工日期为</w:t>
      </w:r>
      <w:r>
        <w:rPr>
          <w:rFonts w:cs="Arial"/>
          <w:szCs w:val="21"/>
          <w:u w:val="single"/>
        </w:rPr>
        <w:t>20</w:t>
      </w:r>
      <w:r>
        <w:rPr>
          <w:rFonts w:cs="Arial"/>
          <w:szCs w:val="21"/>
          <w:u w:val="single"/>
          <w:lang w:val="en-US" w:eastAsia="zh-CN"/>
        </w:rPr>
        <w:t>21</w:t>
      </w:r>
      <w:r>
        <w:rPr>
          <w:rFonts w:hint="eastAsia" w:cs="Arial"/>
          <w:szCs w:val="21"/>
        </w:rPr>
        <w:t>年</w:t>
      </w:r>
      <w:r>
        <w:rPr>
          <w:rFonts w:cs="Arial"/>
          <w:szCs w:val="21"/>
          <w:u w:val="single"/>
          <w:lang w:val="en-US" w:eastAsia="zh-CN"/>
        </w:rPr>
        <w:t xml:space="preserve">   </w:t>
      </w:r>
      <w:r>
        <w:rPr>
          <w:rFonts w:cs="Arial"/>
          <w:szCs w:val="21"/>
          <w:u w:val="single"/>
        </w:rPr>
        <w:t xml:space="preserve"> </w:t>
      </w:r>
      <w:r>
        <w:rPr>
          <w:rFonts w:hint="eastAsia" w:cs="Arial"/>
          <w:szCs w:val="21"/>
        </w:rPr>
        <w:t>月</w:t>
      </w:r>
      <w:r>
        <w:rPr>
          <w:rFonts w:cs="Arial"/>
          <w:szCs w:val="21"/>
          <w:u w:val="single"/>
        </w:rPr>
        <w:t xml:space="preserve"> </w:t>
      </w:r>
      <w:r>
        <w:rPr>
          <w:rFonts w:cs="Arial"/>
          <w:szCs w:val="21"/>
          <w:u w:val="single"/>
          <w:lang w:val="en-US" w:eastAsia="zh-CN"/>
        </w:rPr>
        <w:t xml:space="preserve">  </w:t>
      </w:r>
      <w:r>
        <w:rPr>
          <w:rFonts w:cs="Arial"/>
          <w:szCs w:val="21"/>
          <w:u w:val="single"/>
        </w:rPr>
        <w:t xml:space="preserve"> </w:t>
      </w:r>
      <w:r>
        <w:rPr>
          <w:rFonts w:hint="eastAsia" w:cs="Arial"/>
          <w:szCs w:val="21"/>
        </w:rPr>
        <w:t>日；计划竣工日期为</w:t>
      </w:r>
      <w:r>
        <w:rPr>
          <w:rFonts w:cs="Arial"/>
          <w:szCs w:val="21"/>
        </w:rPr>
        <w:t xml:space="preserve"> </w:t>
      </w:r>
      <w:r>
        <w:rPr>
          <w:rFonts w:cs="Arial"/>
          <w:szCs w:val="21"/>
          <w:u w:val="single"/>
        </w:rPr>
        <w:t>20</w:t>
      </w:r>
      <w:r>
        <w:rPr>
          <w:rFonts w:cs="Arial"/>
          <w:szCs w:val="21"/>
          <w:u w:val="single"/>
          <w:lang w:val="en-US" w:eastAsia="zh-CN"/>
        </w:rPr>
        <w:t>21</w:t>
      </w:r>
      <w:r>
        <w:rPr>
          <w:rFonts w:hint="eastAsia" w:cs="Arial"/>
          <w:szCs w:val="21"/>
        </w:rPr>
        <w:t>年</w:t>
      </w:r>
      <w:r>
        <w:rPr>
          <w:rFonts w:cs="Arial"/>
          <w:szCs w:val="21"/>
          <w:u w:val="single"/>
        </w:rPr>
        <w:t xml:space="preserve"> </w:t>
      </w:r>
      <w:r>
        <w:rPr>
          <w:rFonts w:cs="Arial"/>
          <w:szCs w:val="21"/>
          <w:u w:val="single"/>
          <w:lang w:val="en-US" w:eastAsia="zh-CN"/>
        </w:rPr>
        <w:t xml:space="preserve"> </w:t>
      </w:r>
      <w:r>
        <w:rPr>
          <w:rFonts w:cs="Arial"/>
          <w:szCs w:val="21"/>
          <w:u w:val="single"/>
        </w:rPr>
        <w:t xml:space="preserve"> </w:t>
      </w:r>
      <w:r>
        <w:rPr>
          <w:rFonts w:hint="eastAsia" w:cs="Arial"/>
          <w:szCs w:val="21"/>
        </w:rPr>
        <w:t>月</w:t>
      </w:r>
      <w:r>
        <w:rPr>
          <w:rFonts w:cs="Arial"/>
          <w:szCs w:val="21"/>
          <w:u w:val="single"/>
          <w:lang w:val="en-US" w:eastAsia="zh-CN"/>
        </w:rPr>
        <w:t xml:space="preserve">  </w:t>
      </w:r>
      <w:r>
        <w:rPr>
          <w:rFonts w:hint="eastAsia" w:cs="Arial"/>
          <w:szCs w:val="21"/>
        </w:rPr>
        <w:t>日。</w:t>
      </w:r>
    </w:p>
    <w:p>
      <w:pPr>
        <w:spacing w:line="360" w:lineRule="auto"/>
        <w:ind w:firstLine="440" w:firstLineChars="200"/>
        <w:rPr>
          <w:rFonts w:cs="Arial"/>
          <w:szCs w:val="21"/>
        </w:rPr>
      </w:pPr>
      <w:r>
        <w:rPr>
          <w:rFonts w:cs="Arial"/>
          <w:szCs w:val="21"/>
        </w:rPr>
        <w:t>3.3</w:t>
      </w:r>
      <w:r>
        <w:rPr>
          <w:rFonts w:hint="eastAsia" w:cs="Arial"/>
          <w:szCs w:val="21"/>
        </w:rPr>
        <w:t>对工期的响应</w:t>
      </w:r>
    </w:p>
    <w:p>
      <w:pPr>
        <w:spacing w:line="360" w:lineRule="auto"/>
        <w:ind w:firstLine="440" w:firstLineChars="200"/>
        <w:rPr>
          <w:rFonts w:cs="Arial"/>
          <w:szCs w:val="21"/>
        </w:rPr>
      </w:pPr>
      <w:r>
        <w:rPr>
          <w:rFonts w:cs="Arial"/>
          <w:szCs w:val="21"/>
        </w:rPr>
        <w:t>3.3.1</w:t>
      </w:r>
      <w:r>
        <w:rPr>
          <w:rFonts w:hint="eastAsia" w:cs="Arial"/>
          <w:szCs w:val="21"/>
        </w:rPr>
        <w:t>对于采购人要求的最终的竣工日期，谈判承包人必须完全响应。如果承包人谈判时所报工期提前于采购人要求的工期，谈判承包人在施工组织设计中必须制定切实可行的保证措施，在谈判报价中计取由此而增加的相关费用。除非合同文件另有约定，合同履约过程中发包人不会再向承包人支付任何性质的技术措施费用、赶工费用或其他任何性质的提前完工奖励等费用。</w:t>
      </w:r>
    </w:p>
    <w:p>
      <w:pPr>
        <w:spacing w:line="360" w:lineRule="auto"/>
        <w:ind w:firstLine="440" w:firstLineChars="200"/>
        <w:rPr>
          <w:rFonts w:cs="Arial"/>
          <w:szCs w:val="21"/>
        </w:rPr>
      </w:pPr>
      <w:r>
        <w:rPr>
          <w:rFonts w:cs="Arial"/>
          <w:szCs w:val="21"/>
        </w:rPr>
        <w:t>3.3.2</w:t>
      </w:r>
      <w:r>
        <w:rPr>
          <w:rFonts w:hint="eastAsia" w:cs="Arial"/>
          <w:szCs w:val="21"/>
        </w:rPr>
        <w:t>谈判承包人所报的施工工期应当包括实施并完成整项暂估价工程、暂估价的材料和工程设备在内的所有工作的工期。</w:t>
      </w:r>
    </w:p>
    <w:p>
      <w:pPr>
        <w:spacing w:line="360" w:lineRule="auto"/>
        <w:ind w:firstLine="440" w:firstLineChars="200"/>
        <w:rPr>
          <w:rFonts w:cs="Arial"/>
          <w:szCs w:val="21"/>
        </w:rPr>
      </w:pPr>
    </w:p>
    <w:p>
      <w:pPr>
        <w:spacing w:line="360" w:lineRule="auto"/>
        <w:ind w:firstLine="433" w:firstLineChars="196"/>
        <w:rPr>
          <w:b/>
          <w:szCs w:val="21"/>
        </w:rPr>
      </w:pPr>
      <w:r>
        <w:rPr>
          <w:b/>
          <w:szCs w:val="21"/>
        </w:rPr>
        <w:t>4.</w:t>
      </w:r>
      <w:r>
        <w:rPr>
          <w:rFonts w:cs="Arial"/>
          <w:b/>
          <w:szCs w:val="21"/>
        </w:rPr>
        <w:t xml:space="preserve"> </w:t>
      </w:r>
      <w:r>
        <w:rPr>
          <w:rFonts w:hint="eastAsia" w:cs="Arial"/>
          <w:b/>
          <w:szCs w:val="21"/>
        </w:rPr>
        <w:t>质量要求</w:t>
      </w:r>
    </w:p>
    <w:p>
      <w:pPr>
        <w:spacing w:line="360" w:lineRule="auto"/>
        <w:ind w:firstLine="440" w:firstLineChars="200"/>
        <w:rPr>
          <w:rFonts w:cs="Arial"/>
          <w:szCs w:val="21"/>
        </w:rPr>
      </w:pPr>
      <w:r>
        <w:rPr>
          <w:rFonts w:cs="Arial"/>
          <w:szCs w:val="21"/>
        </w:rPr>
        <w:t>4.1</w:t>
      </w:r>
      <w:r>
        <w:rPr>
          <w:rFonts w:hint="eastAsia" w:cs="Arial"/>
          <w:szCs w:val="21"/>
        </w:rPr>
        <w:t>本采购工程要求的质量等级为：</w:t>
      </w:r>
      <w:r>
        <w:rPr>
          <w:rFonts w:hint="eastAsia" w:cs="Arial"/>
          <w:szCs w:val="21"/>
          <w:u w:val="single"/>
        </w:rPr>
        <w:t>合格</w:t>
      </w:r>
      <w:r>
        <w:rPr>
          <w:rFonts w:hint="eastAsia" w:cs="Arial"/>
          <w:szCs w:val="21"/>
        </w:rPr>
        <w:t>。</w:t>
      </w:r>
    </w:p>
    <w:p>
      <w:pPr>
        <w:spacing w:line="360" w:lineRule="auto"/>
        <w:ind w:firstLine="433" w:firstLineChars="196"/>
        <w:rPr>
          <w:b/>
          <w:szCs w:val="21"/>
        </w:rPr>
      </w:pPr>
    </w:p>
    <w:p>
      <w:pPr>
        <w:spacing w:line="360" w:lineRule="auto"/>
        <w:ind w:firstLine="433" w:firstLineChars="196"/>
        <w:rPr>
          <w:b/>
          <w:szCs w:val="21"/>
        </w:rPr>
      </w:pPr>
      <w:r>
        <w:rPr>
          <w:b/>
          <w:szCs w:val="21"/>
        </w:rPr>
        <w:t>5.</w:t>
      </w:r>
      <w:r>
        <w:rPr>
          <w:rFonts w:cs="Arial"/>
          <w:b/>
          <w:szCs w:val="21"/>
        </w:rPr>
        <w:t xml:space="preserve"> </w:t>
      </w:r>
      <w:r>
        <w:rPr>
          <w:rFonts w:hint="eastAsia" w:cs="Arial"/>
          <w:b/>
          <w:szCs w:val="21"/>
        </w:rPr>
        <w:t>安全文明施工措施及要求</w:t>
      </w:r>
    </w:p>
    <w:p>
      <w:pPr>
        <w:spacing w:line="360" w:lineRule="auto"/>
        <w:ind w:firstLine="440" w:firstLineChars="200"/>
        <w:rPr>
          <w:rFonts w:cs="Arial"/>
          <w:szCs w:val="21"/>
        </w:rPr>
      </w:pPr>
      <w:r>
        <w:rPr>
          <w:rFonts w:cs="Arial"/>
          <w:szCs w:val="21"/>
        </w:rPr>
        <w:t>5.1</w:t>
      </w:r>
      <w:r>
        <w:rPr>
          <w:rFonts w:hint="eastAsia" w:cs="Arial"/>
          <w:szCs w:val="21"/>
        </w:rPr>
        <w:t>根据建设部《建设工程安全防护、文明施工措施费用及使用管理规定》（建办</w:t>
      </w:r>
      <w:r>
        <w:rPr>
          <w:rFonts w:cs="Arial"/>
          <w:szCs w:val="21"/>
        </w:rPr>
        <w:t>[2005]89</w:t>
      </w:r>
      <w:r>
        <w:rPr>
          <w:rFonts w:hint="eastAsia" w:cs="Arial"/>
          <w:szCs w:val="21"/>
        </w:rPr>
        <w:t>号文件），以及北京市建委关于安全防护、文明施工措施方面有关文件的规定，谈判承包人结合本工程特点、工程场地、周围环境、工期进度和作业环境要求及自身的技术装备和管理水平，制定切实可行的施工措施，确保安全施工、文明施工。</w:t>
      </w:r>
    </w:p>
    <w:p>
      <w:pPr>
        <w:spacing w:line="360" w:lineRule="auto"/>
        <w:ind w:firstLine="433" w:firstLineChars="196"/>
        <w:rPr>
          <w:b/>
          <w:szCs w:val="21"/>
        </w:rPr>
      </w:pPr>
    </w:p>
    <w:p>
      <w:pPr>
        <w:spacing w:line="360" w:lineRule="auto"/>
        <w:ind w:firstLine="433" w:firstLineChars="196"/>
        <w:rPr>
          <w:b/>
          <w:szCs w:val="21"/>
        </w:rPr>
      </w:pPr>
      <w:r>
        <w:rPr>
          <w:b/>
          <w:szCs w:val="21"/>
        </w:rPr>
        <w:t>6.</w:t>
      </w:r>
      <w:r>
        <w:rPr>
          <w:rFonts w:cs="Arial"/>
          <w:b/>
          <w:szCs w:val="21"/>
        </w:rPr>
        <w:t xml:space="preserve"> </w:t>
      </w:r>
      <w:r>
        <w:rPr>
          <w:rFonts w:hint="eastAsia" w:cs="Arial"/>
          <w:b/>
          <w:szCs w:val="21"/>
        </w:rPr>
        <w:t>适用规范</w:t>
      </w:r>
    </w:p>
    <w:p>
      <w:pPr>
        <w:widowControl/>
        <w:spacing w:line="360" w:lineRule="auto"/>
        <w:ind w:firstLine="440" w:firstLineChars="200"/>
        <w:rPr>
          <w:color w:val="000000"/>
          <w:szCs w:val="21"/>
        </w:rPr>
      </w:pPr>
      <w:r>
        <w:rPr>
          <w:rFonts w:hint="eastAsia"/>
          <w:color w:val="000000"/>
          <w:szCs w:val="21"/>
        </w:rPr>
        <w:t>除非另有说明，本工程适用所有现行有效的相关国家、行业以及地方规范、规程和标准，上述规范、规程和标准均指明它们各自的最新版本，如果上述规范、规程和标准之间出现矛盾或与合同其他内容存在不一致，承包人应书面请求发包人澄清，发包人未予澄清者，按其中最高的要求或最严格的标准执行。适用本工程的上述规范、规程和标准的具体编号和名称则在本文件中有意空缺，由承包人依据上述原则自行收集。</w:t>
      </w:r>
    </w:p>
    <w:p>
      <w:pPr>
        <w:spacing w:line="360" w:lineRule="auto"/>
        <w:ind w:firstLine="440" w:firstLineChars="200"/>
        <w:rPr>
          <w:rFonts w:cs="Arial"/>
          <w:szCs w:val="21"/>
        </w:rPr>
      </w:pPr>
    </w:p>
    <w:p>
      <w:pPr>
        <w:pStyle w:val="5"/>
        <w:keepNext w:val="0"/>
        <w:keepLines w:val="0"/>
        <w:numPr>
          <w:ilvl w:val="0"/>
          <w:numId w:val="0"/>
        </w:numPr>
        <w:spacing w:before="0" w:after="0" w:line="360" w:lineRule="auto"/>
        <w:ind w:left="422"/>
        <w:rPr>
          <w:rFonts w:ascii="宋体" w:hAnsi="宋体" w:eastAsia="宋体"/>
          <w:sz w:val="21"/>
          <w:szCs w:val="21"/>
        </w:rPr>
      </w:pPr>
      <w:r>
        <w:rPr>
          <w:rFonts w:ascii="宋体" w:hAnsi="宋体" w:eastAsia="宋体"/>
          <w:sz w:val="21"/>
          <w:szCs w:val="21"/>
        </w:rPr>
        <w:t>7.</w:t>
      </w:r>
      <w:r>
        <w:rPr>
          <w:rFonts w:hint="eastAsia" w:ascii="宋体" w:hAnsi="宋体" w:eastAsia="宋体"/>
          <w:sz w:val="21"/>
          <w:szCs w:val="21"/>
        </w:rPr>
        <w:t>技术要求</w:t>
      </w:r>
    </w:p>
    <w:p>
      <w:pPr>
        <w:pStyle w:val="5"/>
        <w:keepNext w:val="0"/>
        <w:keepLines w:val="0"/>
        <w:numPr>
          <w:ilvl w:val="0"/>
          <w:numId w:val="0"/>
        </w:numPr>
        <w:spacing w:before="0" w:after="0" w:line="360" w:lineRule="auto"/>
        <w:ind w:left="440" w:leftChars="200"/>
        <w:rPr>
          <w:rFonts w:ascii="宋体" w:hAnsi="宋体" w:eastAsia="宋体"/>
          <w:b w:val="0"/>
          <w:sz w:val="21"/>
          <w:szCs w:val="21"/>
          <w:u w:val="single"/>
        </w:rPr>
      </w:pPr>
      <w:r>
        <w:rPr>
          <w:rFonts w:ascii="宋体" w:hAnsi="宋体" w:eastAsia="宋体"/>
          <w:b w:val="0"/>
          <w:sz w:val="21"/>
          <w:szCs w:val="21"/>
        </w:rPr>
        <w:t>7.1</w:t>
      </w:r>
      <w:r>
        <w:rPr>
          <w:rFonts w:hint="eastAsia" w:ascii="宋体" w:hAnsi="宋体" w:eastAsia="宋体"/>
          <w:b w:val="0"/>
          <w:sz w:val="21"/>
          <w:szCs w:val="21"/>
        </w:rPr>
        <w:t>适用于本采购工程的特殊技术要求如下：</w:t>
      </w:r>
      <w:r>
        <w:rPr>
          <w:rFonts w:ascii="宋体" w:hAnsi="宋体" w:eastAsia="宋体"/>
          <w:b w:val="0"/>
          <w:sz w:val="21"/>
          <w:szCs w:val="21"/>
          <w:u w:val="single"/>
        </w:rPr>
        <w:t xml:space="preserve"> </w:t>
      </w:r>
      <w:r>
        <w:rPr>
          <w:rFonts w:hint="eastAsia" w:ascii="宋体" w:hAnsi="宋体" w:eastAsia="宋体"/>
          <w:b w:val="0"/>
          <w:sz w:val="21"/>
          <w:szCs w:val="21"/>
          <w:u w:val="single"/>
        </w:rPr>
        <w:t>无。</w:t>
      </w:r>
      <w:r>
        <w:rPr>
          <w:rFonts w:ascii="宋体" w:hAnsi="宋体" w:eastAsia="宋体"/>
          <w:b w:val="0"/>
          <w:sz w:val="21"/>
          <w:szCs w:val="21"/>
          <w:u w:val="single"/>
        </w:rPr>
        <w:t xml:space="preserve">                                                       </w:t>
      </w:r>
    </w:p>
    <w:p>
      <w:pPr>
        <w:pStyle w:val="5"/>
        <w:keepNext w:val="0"/>
        <w:keepLines w:val="0"/>
        <w:numPr>
          <w:ilvl w:val="0"/>
          <w:numId w:val="0"/>
        </w:numPr>
        <w:spacing w:before="0" w:after="0" w:line="360" w:lineRule="auto"/>
        <w:ind w:left="440" w:leftChars="200"/>
        <w:rPr>
          <w:rFonts w:ascii="宋体" w:hAnsi="宋体" w:eastAsia="宋体"/>
          <w:b w:val="0"/>
          <w:sz w:val="21"/>
          <w:szCs w:val="21"/>
        </w:rPr>
      </w:pPr>
      <w:r>
        <w:rPr>
          <w:rFonts w:ascii="宋体" w:hAnsi="宋体" w:eastAsia="宋体"/>
          <w:b w:val="0"/>
          <w:sz w:val="21"/>
          <w:szCs w:val="21"/>
        </w:rPr>
        <w:t>7.2</w:t>
      </w:r>
      <w:r>
        <w:rPr>
          <w:rFonts w:hint="eastAsia" w:ascii="宋体" w:hAnsi="宋体" w:eastAsia="宋体"/>
          <w:b w:val="0"/>
          <w:sz w:val="21"/>
          <w:szCs w:val="21"/>
        </w:rPr>
        <w:t>本采购工程施工现场所用砼或砂浆的供应方式为</w:t>
      </w:r>
      <w:r>
        <w:rPr>
          <w:rFonts w:ascii="宋体" w:hAnsi="宋体" w:eastAsia="宋体"/>
          <w:b w:val="0"/>
          <w:sz w:val="21"/>
          <w:szCs w:val="21"/>
          <w:u w:val="single"/>
        </w:rPr>
        <w:t xml:space="preserve">  </w:t>
      </w:r>
      <w:r>
        <w:rPr>
          <w:rFonts w:hint="eastAsia" w:ascii="宋体" w:hAnsi="宋体" w:eastAsia="宋体"/>
          <w:b w:val="0"/>
          <w:sz w:val="21"/>
          <w:szCs w:val="21"/>
          <w:u w:val="single"/>
        </w:rPr>
        <w:t>预拌。</w:t>
      </w:r>
      <w:r>
        <w:rPr>
          <w:rFonts w:ascii="宋体" w:hAnsi="宋体" w:eastAsia="宋体"/>
          <w:b w:val="0"/>
          <w:sz w:val="21"/>
          <w:szCs w:val="21"/>
          <w:u w:val="single"/>
        </w:rPr>
        <w:t xml:space="preserve">  </w:t>
      </w:r>
    </w:p>
    <w:p>
      <w:pPr>
        <w:spacing w:line="360" w:lineRule="auto"/>
        <w:ind w:firstLine="440" w:firstLineChars="200"/>
        <w:rPr>
          <w:rFonts w:cs="Arial"/>
          <w:szCs w:val="21"/>
        </w:rPr>
      </w:pPr>
    </w:p>
    <w:p>
      <w:pPr>
        <w:numPr>
          <w:ilvl w:val="0"/>
          <w:numId w:val="26"/>
        </w:numPr>
        <w:tabs>
          <w:tab w:val="left" w:pos="2727"/>
        </w:tabs>
        <w:spacing w:line="360" w:lineRule="auto"/>
        <w:ind w:firstLine="433" w:firstLineChars="196"/>
        <w:rPr>
          <w:rFonts w:cs="Arial"/>
          <w:b/>
          <w:szCs w:val="21"/>
        </w:rPr>
      </w:pPr>
      <w:r>
        <w:rPr>
          <w:rFonts w:hint="eastAsia" w:cs="Times New Roman"/>
          <w:b/>
          <w:szCs w:val="21"/>
        </w:rPr>
        <w:t>计价依据和原则</w:t>
      </w:r>
      <w:r>
        <w:rPr>
          <w:rFonts w:cs="Arial"/>
          <w:b/>
          <w:szCs w:val="21"/>
        </w:rPr>
        <w:tab/>
      </w:r>
    </w:p>
    <w:p>
      <w:pPr>
        <w:pStyle w:val="5"/>
        <w:keepNext w:val="0"/>
        <w:keepLines w:val="0"/>
        <w:numPr>
          <w:ilvl w:val="3"/>
          <w:numId w:val="0"/>
        </w:numPr>
        <w:spacing w:before="0" w:after="0" w:line="360" w:lineRule="auto"/>
        <w:ind w:left="440" w:leftChars="200"/>
        <w:rPr>
          <w:rFonts w:ascii="宋体" w:hAnsi="宋体" w:eastAsia="宋体"/>
          <w:b w:val="0"/>
          <w:bCs w:val="0"/>
          <w:sz w:val="21"/>
          <w:szCs w:val="21"/>
        </w:rPr>
      </w:pPr>
      <w:r>
        <w:rPr>
          <w:rFonts w:ascii="宋体" w:hAnsi="宋体" w:eastAsia="宋体"/>
          <w:b w:val="0"/>
          <w:bCs w:val="0"/>
          <w:sz w:val="21"/>
          <w:szCs w:val="21"/>
        </w:rPr>
        <w:t>8.1</w:t>
      </w:r>
      <w:r>
        <w:rPr>
          <w:rFonts w:hint="eastAsia" w:ascii="宋体" w:hAnsi="宋体" w:eastAsia="宋体"/>
          <w:b w:val="0"/>
          <w:bCs w:val="0"/>
          <w:sz w:val="21"/>
          <w:szCs w:val="21"/>
        </w:rPr>
        <w:t>本采购工程的计价依据为：</w:t>
      </w:r>
    </w:p>
    <w:p>
      <w:pPr>
        <w:ind w:firstLine="420"/>
        <w:rPr>
          <w:sz w:val="21"/>
          <w:szCs w:val="21"/>
          <w:lang w:eastAsia="zh-CN"/>
        </w:rPr>
      </w:pPr>
      <w:r>
        <w:rPr>
          <w:sz w:val="21"/>
          <w:szCs w:val="21"/>
        </w:rPr>
        <w:t>8.1.1.</w:t>
      </w:r>
      <w:r>
        <w:rPr>
          <w:rFonts w:hint="eastAsia"/>
          <w:sz w:val="21"/>
          <w:szCs w:val="21"/>
        </w:rPr>
        <w:t>工程量清单项目计量规范</w:t>
      </w:r>
      <w:r>
        <w:rPr>
          <w:sz w:val="21"/>
          <w:szCs w:val="21"/>
        </w:rPr>
        <w:t>(2013-</w:t>
      </w:r>
      <w:r>
        <w:rPr>
          <w:rFonts w:hint="eastAsia"/>
          <w:sz w:val="21"/>
          <w:szCs w:val="21"/>
        </w:rPr>
        <w:t>北京</w:t>
      </w:r>
      <w:r>
        <w:rPr>
          <w:sz w:val="21"/>
          <w:szCs w:val="21"/>
        </w:rPr>
        <w:t>)</w:t>
      </w:r>
      <w:r>
        <w:rPr>
          <w:rFonts w:hint="eastAsia"/>
          <w:sz w:val="21"/>
          <w:szCs w:val="21"/>
        </w:rPr>
        <w:t>及《房屋修缮工程工程量清单计价规范》（</w:t>
      </w:r>
      <w:r>
        <w:rPr>
          <w:sz w:val="21"/>
          <w:szCs w:val="21"/>
        </w:rPr>
        <w:t>2016-</w:t>
      </w:r>
      <w:r>
        <w:rPr>
          <w:rFonts w:hint="eastAsia"/>
          <w:sz w:val="21"/>
          <w:szCs w:val="21"/>
        </w:rPr>
        <w:t>北京）</w:t>
      </w:r>
    </w:p>
    <w:p>
      <w:pPr>
        <w:ind w:firstLine="420"/>
        <w:rPr>
          <w:sz w:val="21"/>
          <w:szCs w:val="21"/>
        </w:rPr>
      </w:pPr>
      <w:r>
        <w:rPr>
          <w:rFonts w:hint="eastAsia"/>
          <w:sz w:val="21"/>
          <w:szCs w:val="21"/>
          <w:lang w:eastAsia="zh-CN"/>
        </w:rPr>
        <w:t>和</w:t>
      </w:r>
      <w:r>
        <w:rPr>
          <w:rFonts w:hint="eastAsia"/>
          <w:sz w:val="21"/>
          <w:szCs w:val="21"/>
        </w:rPr>
        <w:t>其他相关规定；</w:t>
      </w:r>
    </w:p>
    <w:p>
      <w:pPr>
        <w:pStyle w:val="5"/>
        <w:keepNext w:val="0"/>
        <w:keepLines w:val="0"/>
        <w:numPr>
          <w:ilvl w:val="3"/>
          <w:numId w:val="0"/>
        </w:numPr>
        <w:spacing w:before="0" w:after="0" w:line="360" w:lineRule="auto"/>
        <w:ind w:left="440" w:leftChars="200"/>
        <w:rPr>
          <w:rFonts w:ascii="宋体" w:hAnsi="宋体" w:eastAsia="宋体"/>
          <w:b w:val="0"/>
          <w:bCs w:val="0"/>
          <w:sz w:val="21"/>
          <w:szCs w:val="21"/>
        </w:rPr>
      </w:pPr>
      <w:r>
        <w:rPr>
          <w:rFonts w:ascii="宋体" w:hAnsi="宋体" w:eastAsia="宋体"/>
          <w:b w:val="0"/>
          <w:bCs w:val="0"/>
          <w:sz w:val="21"/>
          <w:szCs w:val="21"/>
        </w:rPr>
        <w:t>8.1.2.</w:t>
      </w:r>
      <w:r>
        <w:rPr>
          <w:rFonts w:hint="eastAsia" w:ascii="宋体" w:hAnsi="宋体" w:eastAsia="宋体"/>
          <w:b w:val="0"/>
          <w:bCs w:val="0"/>
          <w:sz w:val="21"/>
          <w:szCs w:val="21"/>
        </w:rPr>
        <w:t>北京市建设工程预算定额</w:t>
      </w:r>
      <w:r>
        <w:rPr>
          <w:rFonts w:ascii="宋体" w:hAnsi="宋体" w:eastAsia="宋体"/>
          <w:b w:val="0"/>
          <w:bCs w:val="0"/>
          <w:sz w:val="21"/>
          <w:szCs w:val="21"/>
        </w:rPr>
        <w:t xml:space="preserve">(2012) </w:t>
      </w:r>
      <w:r>
        <w:rPr>
          <w:rFonts w:hint="eastAsia" w:ascii="宋体" w:hAnsi="宋体" w:eastAsia="宋体"/>
          <w:b w:val="0"/>
          <w:bCs w:val="0"/>
          <w:sz w:val="21"/>
          <w:szCs w:val="21"/>
        </w:rPr>
        <w:t>和《北京市房屋修缮工程预算定额（</w:t>
      </w:r>
      <w:r>
        <w:rPr>
          <w:rFonts w:ascii="宋体" w:hAnsi="宋体" w:eastAsia="宋体"/>
          <w:b w:val="0"/>
          <w:bCs w:val="0"/>
          <w:sz w:val="21"/>
          <w:szCs w:val="21"/>
        </w:rPr>
        <w:t>2012</w:t>
      </w:r>
      <w:r>
        <w:rPr>
          <w:rFonts w:hint="eastAsia" w:ascii="宋体" w:hAnsi="宋体" w:eastAsia="宋体"/>
          <w:b w:val="0"/>
          <w:bCs w:val="0"/>
          <w:sz w:val="21"/>
          <w:szCs w:val="21"/>
        </w:rPr>
        <w:t>）》及相关造价文件；</w:t>
      </w:r>
    </w:p>
    <w:p>
      <w:pPr>
        <w:pStyle w:val="5"/>
        <w:keepNext w:val="0"/>
        <w:keepLines w:val="0"/>
        <w:numPr>
          <w:ilvl w:val="3"/>
          <w:numId w:val="0"/>
        </w:numPr>
        <w:spacing w:before="0" w:after="0" w:line="360" w:lineRule="auto"/>
        <w:ind w:left="440" w:leftChars="200"/>
        <w:rPr>
          <w:rFonts w:ascii="宋体" w:hAnsi="宋体" w:eastAsia="宋体"/>
          <w:b w:val="0"/>
          <w:bCs w:val="0"/>
          <w:sz w:val="21"/>
          <w:szCs w:val="21"/>
        </w:rPr>
      </w:pPr>
      <w:r>
        <w:rPr>
          <w:rFonts w:ascii="宋体" w:hAnsi="宋体" w:eastAsia="宋体"/>
          <w:b w:val="0"/>
          <w:bCs w:val="0"/>
          <w:sz w:val="21"/>
          <w:szCs w:val="21"/>
        </w:rPr>
        <w:t>8.1.3.20</w:t>
      </w:r>
      <w:r>
        <w:rPr>
          <w:rFonts w:ascii="宋体" w:hAnsi="宋体" w:eastAsia="宋体"/>
          <w:b w:val="0"/>
          <w:bCs w:val="0"/>
          <w:sz w:val="21"/>
          <w:szCs w:val="21"/>
          <w:lang w:eastAsia="zh-CN"/>
        </w:rPr>
        <w:t>20</w:t>
      </w:r>
      <w:r>
        <w:rPr>
          <w:rFonts w:hint="eastAsia" w:ascii="宋体" w:hAnsi="宋体" w:eastAsia="宋体"/>
          <w:b w:val="0"/>
          <w:bCs w:val="0"/>
          <w:sz w:val="21"/>
          <w:szCs w:val="21"/>
        </w:rPr>
        <w:t>年第</w:t>
      </w:r>
      <w:r>
        <w:rPr>
          <w:rFonts w:ascii="宋体" w:hAnsi="宋体" w:eastAsia="宋体"/>
          <w:b w:val="0"/>
          <w:bCs w:val="0"/>
          <w:sz w:val="21"/>
          <w:szCs w:val="21"/>
          <w:lang w:eastAsia="zh-CN"/>
        </w:rPr>
        <w:t>5</w:t>
      </w:r>
      <w:r>
        <w:rPr>
          <w:rFonts w:hint="eastAsia" w:ascii="宋体" w:hAnsi="宋体" w:eastAsia="宋体"/>
          <w:b w:val="0"/>
          <w:bCs w:val="0"/>
          <w:sz w:val="21"/>
          <w:szCs w:val="21"/>
        </w:rPr>
        <w:t>期《北京工程造价信息》；</w:t>
      </w:r>
    </w:p>
    <w:p>
      <w:pPr>
        <w:pStyle w:val="5"/>
        <w:keepNext w:val="0"/>
        <w:keepLines w:val="0"/>
        <w:numPr>
          <w:ilvl w:val="3"/>
          <w:numId w:val="0"/>
        </w:numPr>
        <w:spacing w:before="0" w:after="0" w:line="360" w:lineRule="auto"/>
        <w:ind w:left="440" w:leftChars="200"/>
        <w:rPr>
          <w:rFonts w:ascii="宋体" w:hAnsi="宋体" w:eastAsia="宋体"/>
          <w:b w:val="0"/>
          <w:bCs w:val="0"/>
          <w:sz w:val="21"/>
          <w:szCs w:val="21"/>
        </w:rPr>
      </w:pPr>
      <w:r>
        <w:rPr>
          <w:rFonts w:ascii="宋体" w:hAnsi="宋体" w:eastAsia="宋体"/>
          <w:b w:val="0"/>
          <w:bCs w:val="0"/>
          <w:sz w:val="21"/>
          <w:szCs w:val="21"/>
        </w:rPr>
        <w:t>8.1.4.</w:t>
      </w:r>
      <w:r>
        <w:rPr>
          <w:rFonts w:hint="eastAsia" w:ascii="宋体" w:hAnsi="宋体" w:eastAsia="宋体"/>
          <w:b w:val="0"/>
          <w:bCs w:val="0"/>
          <w:sz w:val="21"/>
          <w:szCs w:val="21"/>
        </w:rPr>
        <w:t>市场询价；</w:t>
      </w:r>
    </w:p>
    <w:p>
      <w:pPr>
        <w:pStyle w:val="5"/>
        <w:keepNext w:val="0"/>
        <w:keepLines w:val="0"/>
        <w:numPr>
          <w:ilvl w:val="3"/>
          <w:numId w:val="0"/>
        </w:numPr>
        <w:spacing w:before="0" w:after="0" w:line="360" w:lineRule="auto"/>
        <w:ind w:left="440" w:leftChars="200"/>
        <w:rPr>
          <w:rFonts w:ascii="宋体" w:hAnsi="宋体" w:eastAsia="宋体"/>
          <w:b w:val="0"/>
          <w:bCs w:val="0"/>
          <w:sz w:val="21"/>
          <w:szCs w:val="21"/>
        </w:rPr>
      </w:pPr>
      <w:r>
        <w:rPr>
          <w:rFonts w:ascii="宋体" w:hAnsi="宋体" w:eastAsia="宋体"/>
          <w:b w:val="0"/>
          <w:bCs w:val="0"/>
          <w:sz w:val="21"/>
          <w:szCs w:val="21"/>
        </w:rPr>
        <w:t>8.1.5.</w:t>
      </w:r>
      <w:r>
        <w:rPr>
          <w:rFonts w:hint="eastAsia" w:ascii="宋体" w:hAnsi="宋体" w:eastAsia="宋体"/>
          <w:b w:val="0"/>
          <w:bCs w:val="0"/>
          <w:sz w:val="21"/>
          <w:szCs w:val="21"/>
        </w:rPr>
        <w:t>工程设计图纸；</w:t>
      </w:r>
    </w:p>
    <w:p>
      <w:pPr>
        <w:pStyle w:val="5"/>
        <w:keepNext w:val="0"/>
        <w:keepLines w:val="0"/>
        <w:numPr>
          <w:ilvl w:val="3"/>
          <w:numId w:val="0"/>
        </w:numPr>
        <w:spacing w:before="0" w:after="0" w:line="360" w:lineRule="auto"/>
        <w:ind w:left="440" w:leftChars="200"/>
        <w:rPr>
          <w:rFonts w:ascii="宋体" w:hAnsi="宋体" w:eastAsia="宋体"/>
          <w:b w:val="0"/>
          <w:bCs w:val="0"/>
          <w:sz w:val="21"/>
          <w:szCs w:val="21"/>
        </w:rPr>
      </w:pPr>
      <w:r>
        <w:rPr>
          <w:rFonts w:ascii="宋体" w:hAnsi="宋体" w:eastAsia="宋体"/>
          <w:b w:val="0"/>
          <w:bCs w:val="0"/>
          <w:sz w:val="21"/>
          <w:szCs w:val="21"/>
        </w:rPr>
        <w:t>8.1.6.</w:t>
      </w:r>
      <w:r>
        <w:rPr>
          <w:rFonts w:hint="eastAsia" w:ascii="宋体" w:hAnsi="宋体" w:eastAsia="宋体"/>
          <w:b w:val="0"/>
          <w:bCs w:val="0"/>
          <w:sz w:val="21"/>
          <w:szCs w:val="21"/>
        </w:rPr>
        <w:t>其他图集等相关资料。</w:t>
      </w:r>
    </w:p>
    <w:p>
      <w:pPr>
        <w:spacing w:line="360" w:lineRule="auto"/>
        <w:ind w:firstLine="440" w:firstLineChars="200"/>
        <w:rPr>
          <w:rFonts w:cs="Arial"/>
          <w:szCs w:val="21"/>
        </w:rPr>
      </w:pPr>
      <w:r>
        <w:rPr>
          <w:rFonts w:cs="Arial"/>
          <w:szCs w:val="21"/>
        </w:rPr>
        <w:t>8.2</w:t>
      </w:r>
      <w:r>
        <w:rPr>
          <w:rFonts w:hint="eastAsia" w:cs="Arial"/>
          <w:szCs w:val="21"/>
        </w:rPr>
        <w:t>本采购工程的计价活动（包括工程量清单和采购控制价编制及谈判报价编制）遵循客观、公正、公平、诚实信用的原则；同时还应符合国家相关法律、法规、规章规范性文件、规范和标准的规定。</w:t>
      </w:r>
    </w:p>
    <w:p>
      <w:pPr>
        <w:spacing w:line="360" w:lineRule="auto"/>
        <w:ind w:firstLine="433" w:firstLineChars="196"/>
        <w:rPr>
          <w:b/>
          <w:szCs w:val="21"/>
        </w:rPr>
      </w:pPr>
    </w:p>
    <w:p>
      <w:pPr>
        <w:spacing w:line="360" w:lineRule="auto"/>
        <w:ind w:firstLine="433" w:firstLineChars="196"/>
        <w:rPr>
          <w:b/>
          <w:szCs w:val="21"/>
        </w:rPr>
      </w:pPr>
      <w:r>
        <w:rPr>
          <w:b/>
          <w:szCs w:val="21"/>
        </w:rPr>
        <w:t>9.</w:t>
      </w:r>
      <w:r>
        <w:rPr>
          <w:rFonts w:cs="Arial"/>
          <w:b/>
          <w:szCs w:val="21"/>
        </w:rPr>
        <w:t xml:space="preserve"> </w:t>
      </w:r>
      <w:r>
        <w:rPr>
          <w:rFonts w:hint="eastAsia" w:cs="Arial"/>
          <w:b/>
          <w:szCs w:val="21"/>
        </w:rPr>
        <w:t>工程量计算规则</w:t>
      </w:r>
    </w:p>
    <w:p>
      <w:pPr>
        <w:pStyle w:val="5"/>
        <w:keepNext w:val="0"/>
        <w:keepLines w:val="0"/>
        <w:numPr>
          <w:ilvl w:val="3"/>
          <w:numId w:val="0"/>
        </w:numPr>
        <w:spacing w:before="0" w:after="0" w:line="360" w:lineRule="auto"/>
        <w:ind w:left="440" w:leftChars="200"/>
        <w:rPr>
          <w:rFonts w:ascii="宋体" w:hAnsi="宋体" w:eastAsia="宋体"/>
          <w:b w:val="0"/>
          <w:bCs w:val="0"/>
          <w:sz w:val="21"/>
          <w:szCs w:val="21"/>
        </w:rPr>
      </w:pPr>
      <w:r>
        <w:rPr>
          <w:rFonts w:ascii="宋体" w:hAnsi="宋体" w:eastAsia="宋体"/>
          <w:b w:val="0"/>
          <w:bCs w:val="0"/>
          <w:sz w:val="21"/>
          <w:szCs w:val="21"/>
        </w:rPr>
        <w:t>9.1</w:t>
      </w:r>
      <w:r>
        <w:rPr>
          <w:rFonts w:hint="eastAsia" w:ascii="宋体" w:hAnsi="宋体" w:eastAsia="宋体"/>
          <w:b w:val="0"/>
          <w:bCs w:val="0"/>
          <w:sz w:val="21"/>
          <w:szCs w:val="21"/>
        </w:rPr>
        <w:t>本采购工程工程量计算规则应当遵循《房屋修缮工程工程量清单计价规范》（</w:t>
      </w:r>
      <w:r>
        <w:rPr>
          <w:rFonts w:ascii="宋体" w:hAnsi="宋体" w:eastAsia="宋体"/>
          <w:b w:val="0"/>
          <w:bCs w:val="0"/>
          <w:sz w:val="21"/>
          <w:szCs w:val="21"/>
        </w:rPr>
        <w:t>2016-</w:t>
      </w:r>
      <w:r>
        <w:rPr>
          <w:rFonts w:hint="eastAsia" w:ascii="宋体" w:hAnsi="宋体" w:eastAsia="宋体"/>
          <w:b w:val="0"/>
          <w:bCs w:val="0"/>
          <w:sz w:val="21"/>
          <w:szCs w:val="21"/>
        </w:rPr>
        <w:t>北京）；</w:t>
      </w:r>
    </w:p>
    <w:p>
      <w:pPr>
        <w:pStyle w:val="5"/>
        <w:keepNext w:val="0"/>
        <w:keepLines w:val="0"/>
        <w:numPr>
          <w:ilvl w:val="3"/>
          <w:numId w:val="0"/>
        </w:numPr>
        <w:spacing w:before="0" w:after="0" w:line="360" w:lineRule="auto"/>
        <w:ind w:left="440" w:leftChars="200"/>
        <w:rPr>
          <w:rFonts w:ascii="宋体" w:hAnsi="宋体" w:eastAsia="宋体"/>
          <w:b w:val="0"/>
          <w:bCs w:val="0"/>
          <w:sz w:val="21"/>
          <w:szCs w:val="21"/>
        </w:rPr>
      </w:pPr>
      <w:r>
        <w:rPr>
          <w:rFonts w:hint="eastAsia" w:ascii="宋体" w:hAnsi="宋体" w:eastAsia="宋体"/>
          <w:b w:val="0"/>
          <w:bCs w:val="0"/>
          <w:sz w:val="21"/>
          <w:szCs w:val="21"/>
        </w:rPr>
        <w:t>及工程量清单项目计量规范</w:t>
      </w:r>
      <w:r>
        <w:rPr>
          <w:rFonts w:ascii="宋体" w:hAnsi="宋体" w:eastAsia="宋体"/>
          <w:b w:val="0"/>
          <w:bCs w:val="0"/>
          <w:sz w:val="21"/>
          <w:szCs w:val="21"/>
        </w:rPr>
        <w:t>(2013-</w:t>
      </w:r>
      <w:r>
        <w:rPr>
          <w:rFonts w:hint="eastAsia" w:ascii="宋体" w:hAnsi="宋体" w:eastAsia="宋体"/>
          <w:b w:val="0"/>
          <w:bCs w:val="0"/>
          <w:sz w:val="21"/>
          <w:szCs w:val="21"/>
        </w:rPr>
        <w:t>北京</w:t>
      </w:r>
      <w:r>
        <w:rPr>
          <w:rFonts w:ascii="宋体" w:hAnsi="宋体" w:eastAsia="宋体"/>
          <w:b w:val="0"/>
          <w:bCs w:val="0"/>
          <w:sz w:val="21"/>
          <w:szCs w:val="21"/>
        </w:rPr>
        <w:t>)</w:t>
      </w:r>
      <w:r>
        <w:rPr>
          <w:rFonts w:hint="eastAsia" w:ascii="宋体" w:hAnsi="宋体" w:eastAsia="宋体"/>
          <w:b w:val="0"/>
          <w:bCs w:val="0"/>
          <w:sz w:val="21"/>
          <w:szCs w:val="21"/>
          <w:lang w:eastAsia="zh-CN"/>
        </w:rPr>
        <w:t>与</w:t>
      </w:r>
      <w:r>
        <w:rPr>
          <w:rFonts w:hint="eastAsia" w:ascii="宋体" w:hAnsi="宋体" w:eastAsia="宋体"/>
          <w:b w:val="0"/>
          <w:bCs w:val="0"/>
          <w:sz w:val="21"/>
          <w:szCs w:val="21"/>
        </w:rPr>
        <w:t>其他相关规定和《北京市房屋修缮工程预算定额（</w:t>
      </w:r>
      <w:r>
        <w:rPr>
          <w:rFonts w:ascii="宋体" w:hAnsi="宋体" w:eastAsia="宋体"/>
          <w:b w:val="0"/>
          <w:bCs w:val="0"/>
          <w:sz w:val="21"/>
          <w:szCs w:val="21"/>
        </w:rPr>
        <w:t>2012</w:t>
      </w:r>
      <w:r>
        <w:rPr>
          <w:rFonts w:hint="eastAsia" w:ascii="宋体" w:hAnsi="宋体" w:eastAsia="宋体"/>
          <w:b w:val="0"/>
          <w:bCs w:val="0"/>
          <w:sz w:val="21"/>
          <w:szCs w:val="21"/>
        </w:rPr>
        <w:t>）》</w:t>
      </w:r>
      <w:r>
        <w:rPr>
          <w:rFonts w:hint="eastAsia" w:ascii="宋体" w:hAnsi="宋体" w:eastAsia="宋体"/>
          <w:b w:val="0"/>
          <w:bCs w:val="0"/>
          <w:sz w:val="21"/>
          <w:szCs w:val="21"/>
          <w:lang w:eastAsia="zh-CN"/>
        </w:rPr>
        <w:t>与</w:t>
      </w:r>
      <w:r>
        <w:rPr>
          <w:rFonts w:hint="eastAsia" w:ascii="宋体" w:hAnsi="宋体" w:eastAsia="宋体"/>
          <w:b w:val="0"/>
          <w:bCs w:val="0"/>
          <w:sz w:val="21"/>
          <w:szCs w:val="21"/>
        </w:rPr>
        <w:t>北京市建设工程预算定额</w:t>
      </w:r>
      <w:r>
        <w:rPr>
          <w:rFonts w:ascii="宋体" w:hAnsi="宋体" w:eastAsia="宋体"/>
          <w:b w:val="0"/>
          <w:bCs w:val="0"/>
          <w:sz w:val="21"/>
          <w:szCs w:val="21"/>
        </w:rPr>
        <w:t>(2012)</w:t>
      </w:r>
      <w:r>
        <w:rPr>
          <w:rFonts w:hint="eastAsia" w:ascii="宋体" w:hAnsi="宋体" w:eastAsia="宋体"/>
          <w:b w:val="0"/>
          <w:bCs w:val="0"/>
          <w:sz w:val="21"/>
          <w:szCs w:val="21"/>
        </w:rPr>
        <w:t>及相关造价文件相关造价文件中规定的规则。</w:t>
      </w:r>
    </w:p>
    <w:p>
      <w:pPr>
        <w:spacing w:line="360" w:lineRule="auto"/>
        <w:ind w:firstLine="440" w:firstLineChars="200"/>
        <w:rPr>
          <w:rFonts w:cs="Arial"/>
          <w:szCs w:val="21"/>
        </w:rPr>
      </w:pPr>
      <w:r>
        <w:rPr>
          <w:rFonts w:cs="Arial"/>
          <w:szCs w:val="21"/>
        </w:rPr>
        <w:t>9.2</w:t>
      </w:r>
      <w:r>
        <w:rPr>
          <w:rFonts w:hint="eastAsia" w:cs="Arial"/>
          <w:szCs w:val="21"/>
        </w:rPr>
        <w:t>如果规范中明确的工程量计算规则中缺少（或不适用）相应的计量规则，则执行按图纸标示的理论净量进行相应工程量计算的原则。</w:t>
      </w:r>
    </w:p>
    <w:p>
      <w:pPr>
        <w:spacing w:line="360" w:lineRule="auto"/>
        <w:ind w:firstLine="440" w:firstLineChars="200"/>
        <w:rPr>
          <w:rFonts w:cs="Arial"/>
          <w:szCs w:val="21"/>
        </w:rPr>
      </w:pPr>
      <w:r>
        <w:rPr>
          <w:rFonts w:cs="Arial"/>
          <w:szCs w:val="21"/>
        </w:rPr>
        <w:t>9.3</w:t>
      </w:r>
      <w:r>
        <w:rPr>
          <w:rFonts w:hint="eastAsia" w:cs="Arial"/>
          <w:szCs w:val="21"/>
        </w:rPr>
        <w:t>第</w:t>
      </w:r>
      <w:r>
        <w:rPr>
          <w:rFonts w:cs="Arial"/>
          <w:szCs w:val="21"/>
        </w:rPr>
        <w:t>9.1</w:t>
      </w:r>
      <w:r>
        <w:rPr>
          <w:rFonts w:hint="eastAsia" w:cs="Arial"/>
          <w:szCs w:val="21"/>
        </w:rPr>
        <w:t>款、</w:t>
      </w:r>
      <w:r>
        <w:rPr>
          <w:rFonts w:cs="Arial"/>
          <w:szCs w:val="21"/>
        </w:rPr>
        <w:t>9.2</w:t>
      </w:r>
      <w:r>
        <w:rPr>
          <w:rFonts w:hint="eastAsia" w:cs="Arial"/>
          <w:szCs w:val="21"/>
        </w:rPr>
        <w:t>款中明确的工程量计算规则同样适用于合同履约过程中工程量计量与价款支付、工程量变更及洽商处理等合同价款调整、工程结算时的工程量计量。</w:t>
      </w:r>
    </w:p>
    <w:p>
      <w:pPr>
        <w:spacing w:line="360" w:lineRule="auto"/>
        <w:ind w:firstLine="440" w:firstLineChars="200"/>
        <w:rPr>
          <w:rFonts w:cs="Arial"/>
          <w:szCs w:val="21"/>
        </w:rPr>
      </w:pPr>
    </w:p>
    <w:p>
      <w:pPr>
        <w:spacing w:line="360" w:lineRule="auto"/>
        <w:rPr>
          <w:b/>
          <w:szCs w:val="21"/>
        </w:rPr>
      </w:pPr>
      <w:r>
        <w:rPr>
          <w:b/>
          <w:sz w:val="32"/>
          <w:szCs w:val="32"/>
        </w:rPr>
        <w:tab/>
      </w:r>
      <w:r>
        <w:rPr>
          <w:b/>
          <w:szCs w:val="21"/>
        </w:rPr>
        <w:t>10.</w:t>
      </w:r>
      <w:r>
        <w:rPr>
          <w:rFonts w:cs="Arial"/>
          <w:b/>
          <w:szCs w:val="21"/>
        </w:rPr>
        <w:t xml:space="preserve"> </w:t>
      </w:r>
      <w:r>
        <w:rPr>
          <w:rFonts w:hint="eastAsia" w:cs="Arial"/>
          <w:b/>
          <w:szCs w:val="21"/>
        </w:rPr>
        <w:t>谈判报价</w:t>
      </w:r>
    </w:p>
    <w:p>
      <w:pPr>
        <w:tabs>
          <w:tab w:val="left" w:pos="630"/>
        </w:tabs>
        <w:spacing w:line="360" w:lineRule="auto"/>
        <w:ind w:firstLine="442" w:firstLineChars="200"/>
        <w:rPr>
          <w:rFonts w:cs="Arial"/>
          <w:b/>
          <w:szCs w:val="21"/>
        </w:rPr>
      </w:pPr>
      <w:r>
        <w:rPr>
          <w:rFonts w:cs="Arial"/>
          <w:b/>
          <w:szCs w:val="21"/>
        </w:rPr>
        <w:t>10.1</w:t>
      </w:r>
      <w:r>
        <w:rPr>
          <w:rFonts w:hint="eastAsia" w:cs="Arial"/>
          <w:b/>
          <w:szCs w:val="21"/>
        </w:rPr>
        <w:t>谈判报价组成</w:t>
      </w:r>
    </w:p>
    <w:p>
      <w:pPr>
        <w:tabs>
          <w:tab w:val="left" w:pos="630"/>
        </w:tabs>
        <w:spacing w:line="360" w:lineRule="auto"/>
        <w:ind w:firstLine="440" w:firstLineChars="200"/>
        <w:rPr>
          <w:b/>
          <w:sz w:val="32"/>
          <w:szCs w:val="32"/>
        </w:rPr>
      </w:pPr>
      <w:r>
        <w:rPr>
          <w:rFonts w:cs="Arial"/>
          <w:szCs w:val="21"/>
        </w:rPr>
        <w:t>10.1.1</w:t>
      </w:r>
      <w:r>
        <w:rPr>
          <w:rFonts w:hint="eastAsia" w:cs="Arial"/>
          <w:szCs w:val="21"/>
        </w:rPr>
        <w:t>根据国家现行建设工程工程量清单计价规范，谈判报价由分部分项工程费、措施项目费、其他项目费、规费和税金组成。</w:t>
      </w:r>
    </w:p>
    <w:p>
      <w:pPr>
        <w:tabs>
          <w:tab w:val="left" w:pos="630"/>
        </w:tabs>
        <w:spacing w:line="360" w:lineRule="auto"/>
        <w:ind w:firstLine="442" w:firstLineChars="200"/>
        <w:rPr>
          <w:rFonts w:cs="Arial"/>
          <w:b/>
          <w:szCs w:val="21"/>
        </w:rPr>
      </w:pPr>
      <w:r>
        <w:rPr>
          <w:rFonts w:cs="Arial"/>
          <w:b/>
          <w:szCs w:val="21"/>
        </w:rPr>
        <w:t>10.2</w:t>
      </w:r>
      <w:r>
        <w:rPr>
          <w:rFonts w:hint="eastAsia" w:cs="Arial"/>
          <w:b/>
          <w:szCs w:val="21"/>
        </w:rPr>
        <w:t>分部分项工程量清单计价</w:t>
      </w:r>
    </w:p>
    <w:p>
      <w:pPr>
        <w:tabs>
          <w:tab w:val="left" w:pos="630"/>
        </w:tabs>
        <w:spacing w:line="360" w:lineRule="auto"/>
        <w:ind w:firstLine="440" w:firstLineChars="200"/>
        <w:rPr>
          <w:b/>
          <w:sz w:val="32"/>
          <w:szCs w:val="32"/>
        </w:rPr>
      </w:pPr>
      <w:r>
        <w:rPr>
          <w:rFonts w:cs="Arial"/>
          <w:szCs w:val="21"/>
        </w:rPr>
        <w:t>10.2.1</w:t>
      </w:r>
      <w:r>
        <w:rPr>
          <w:rFonts w:hint="eastAsia" w:cs="Arial"/>
          <w:szCs w:val="21"/>
        </w:rPr>
        <w:t>采购人随采购文件提供的分部分项工程量清单是按照国家现行建设工程工程量清单计价规范的要求编制的，谈判承包人应严格按照计价规范相关规定和本采购文件的要求，理解分部分项工程量清单中各子目的项目编码、项目名称及其对应的工作内容、计量单位以及工程量计算规则，并据此进行报价。</w:t>
      </w:r>
    </w:p>
    <w:p>
      <w:pPr>
        <w:tabs>
          <w:tab w:val="left" w:pos="630"/>
        </w:tabs>
        <w:spacing w:line="360" w:lineRule="auto"/>
        <w:ind w:firstLine="440" w:firstLineChars="200"/>
        <w:rPr>
          <w:rFonts w:cs="Arial"/>
          <w:szCs w:val="21"/>
        </w:rPr>
      </w:pPr>
      <w:r>
        <w:rPr>
          <w:rFonts w:cs="Arial"/>
          <w:szCs w:val="21"/>
        </w:rPr>
        <w:t>10.2.2</w:t>
      </w:r>
      <w:r>
        <w:rPr>
          <w:rFonts w:hint="eastAsia" w:cs="Arial"/>
          <w:szCs w:val="21"/>
        </w:rPr>
        <w:t>任何情况下，谈判承包人应在采购人提供的分部分项工程量清单（或修正版工程量清单，若有）的基础上进行报价，不得修改（包括任何形式的增加、删除、修改文字或数字）采购人提供的分部分项工程的工程量清单。</w:t>
      </w:r>
    </w:p>
    <w:p>
      <w:pPr>
        <w:tabs>
          <w:tab w:val="left" w:pos="630"/>
        </w:tabs>
        <w:spacing w:line="360" w:lineRule="auto"/>
        <w:ind w:firstLine="440" w:firstLineChars="200"/>
        <w:rPr>
          <w:rFonts w:cs="Arial"/>
          <w:szCs w:val="21"/>
        </w:rPr>
      </w:pPr>
      <w:r>
        <w:rPr>
          <w:rFonts w:cs="Arial"/>
          <w:szCs w:val="21"/>
        </w:rPr>
        <w:t>10.2.3</w:t>
      </w:r>
      <w:r>
        <w:rPr>
          <w:rFonts w:hint="eastAsia" w:cs="Arial"/>
          <w:szCs w:val="21"/>
        </w:rPr>
        <w:t>谈判承包人可以根据图纸以及采购文件中其他相关内容对采购人提供的工程量清单进行复核。这种复核包括但不限于对采购人提供的工程量清单中的项目编码、项目名称、清单工作子目特征描述、计量单位的准确性以及可能存在的任何书写、打印错误进行检查和复核。特别是对分部分项工程量清单中每个工作子目的工程量进行重新计算和校核。谈判承包人经过复核后，认为采购人提供的工程量清单中的工程量存在差异，则谈判承包人应将此类差异的详细情况连同需要采购人答疑的其他问题，按照谈判须知中关于提交答疑问题时间和方式的规定一并提交采购人，采购人据此将对工程量清单进行核算，并根据实际情况决定是否修正已发出的工程量清单。如果需要颁发修正版工程量清单，采购人将书面通知谈判承包人。</w:t>
      </w:r>
    </w:p>
    <w:p>
      <w:pPr>
        <w:tabs>
          <w:tab w:val="left" w:pos="630"/>
        </w:tabs>
        <w:spacing w:line="360" w:lineRule="auto"/>
        <w:ind w:firstLine="442" w:firstLineChars="200"/>
        <w:rPr>
          <w:rFonts w:cs="Arial"/>
          <w:szCs w:val="21"/>
        </w:rPr>
      </w:pPr>
      <w:r>
        <w:rPr>
          <w:rFonts w:hint="eastAsia" w:cs="Arial"/>
          <w:b/>
          <w:szCs w:val="21"/>
        </w:rPr>
        <w:t>特别提醒：</w:t>
      </w:r>
      <w:r>
        <w:rPr>
          <w:rFonts w:hint="eastAsia" w:cs="Arial"/>
          <w:szCs w:val="21"/>
        </w:rPr>
        <w:t>复核的目的是为了方便谈判承包人更加准确地进行材料设备的询价、施工组织设计的编制和准确预计风险，谈判承包人不得依据自己重新计算和复核的结果来直接修改采购人提供的工程量清单。</w:t>
      </w:r>
    </w:p>
    <w:p>
      <w:pPr>
        <w:tabs>
          <w:tab w:val="left" w:pos="630"/>
        </w:tabs>
        <w:spacing w:line="360" w:lineRule="auto"/>
        <w:ind w:firstLine="440" w:firstLineChars="200"/>
        <w:rPr>
          <w:rFonts w:cs="Arial"/>
          <w:b/>
          <w:szCs w:val="21"/>
          <w:u w:val="single"/>
        </w:rPr>
      </w:pPr>
      <w:r>
        <w:rPr>
          <w:rFonts w:hint="eastAsia" w:cs="Arial"/>
          <w:szCs w:val="21"/>
        </w:rPr>
        <w:t>谈判时不能通过调整综合单价的方式来修正采购人提供的工程量清单与图纸相比存在的差异，不允许谈判承包人以此为借口进行任何形式的不平衡报价。</w:t>
      </w:r>
    </w:p>
    <w:p>
      <w:pPr>
        <w:tabs>
          <w:tab w:val="left" w:pos="630"/>
        </w:tabs>
        <w:spacing w:line="360" w:lineRule="auto"/>
        <w:ind w:firstLine="442" w:firstLineChars="200"/>
        <w:rPr>
          <w:rFonts w:cs="Arial"/>
          <w:b/>
          <w:szCs w:val="21"/>
        </w:rPr>
      </w:pPr>
      <w:r>
        <w:rPr>
          <w:rFonts w:cs="Arial"/>
          <w:b/>
          <w:szCs w:val="21"/>
        </w:rPr>
        <w:t>10.3</w:t>
      </w:r>
      <w:r>
        <w:rPr>
          <w:rFonts w:hint="eastAsia" w:cs="Arial"/>
          <w:b/>
          <w:szCs w:val="21"/>
        </w:rPr>
        <w:t>措施项目清单计价</w:t>
      </w:r>
    </w:p>
    <w:p>
      <w:pPr>
        <w:tabs>
          <w:tab w:val="left" w:pos="630"/>
        </w:tabs>
        <w:spacing w:line="360" w:lineRule="auto"/>
        <w:ind w:firstLine="440" w:firstLineChars="200"/>
        <w:rPr>
          <w:b/>
          <w:sz w:val="32"/>
          <w:szCs w:val="32"/>
        </w:rPr>
      </w:pPr>
      <w:r>
        <w:rPr>
          <w:rFonts w:cs="Arial"/>
          <w:szCs w:val="21"/>
        </w:rPr>
        <w:t>10.3.1</w:t>
      </w:r>
      <w:r>
        <w:rPr>
          <w:rFonts w:hint="eastAsia" w:cs="Arial"/>
          <w:szCs w:val="21"/>
        </w:rPr>
        <w:t>采购人提供的措施项目清单中所列项目仅指一般的通用项目，谈判承包人在报价时应充分、全面地阅读和理解采购文件的全部内容，详实了解工程场地及其周围环境，充分考虑本工程特点及拟定的施工组织设计，对上述措施项目清单的内容进行细化、补充和增加。</w:t>
      </w:r>
    </w:p>
    <w:p>
      <w:pPr>
        <w:tabs>
          <w:tab w:val="left" w:pos="630"/>
        </w:tabs>
        <w:spacing w:line="360" w:lineRule="auto"/>
        <w:ind w:firstLine="440" w:firstLineChars="200"/>
        <w:rPr>
          <w:rFonts w:cs="Arial"/>
          <w:szCs w:val="21"/>
        </w:rPr>
      </w:pPr>
      <w:r>
        <w:rPr>
          <w:rFonts w:cs="Arial"/>
          <w:szCs w:val="21"/>
        </w:rPr>
        <w:t>10.3.2</w:t>
      </w:r>
      <w:r>
        <w:rPr>
          <w:rFonts w:hint="eastAsia" w:cs="Arial"/>
          <w:szCs w:val="21"/>
        </w:rPr>
        <w:t>措施项目清单计价表中所填写的报价金额，应涵盖合同文件约定谈判承包人成交后实施、完成本工程并修补缺陷所需要的措施项目费用。</w:t>
      </w:r>
    </w:p>
    <w:p>
      <w:pPr>
        <w:tabs>
          <w:tab w:val="left" w:pos="630"/>
        </w:tabs>
        <w:spacing w:line="360" w:lineRule="auto"/>
        <w:ind w:firstLine="440" w:firstLineChars="200"/>
        <w:rPr>
          <w:rFonts w:cs="Arial"/>
          <w:szCs w:val="21"/>
        </w:rPr>
      </w:pPr>
      <w:r>
        <w:rPr>
          <w:rFonts w:cs="Arial"/>
          <w:szCs w:val="21"/>
        </w:rPr>
        <w:t>10.3.3</w:t>
      </w:r>
      <w:r>
        <w:rPr>
          <w:rFonts w:hint="eastAsia" w:cs="Arial"/>
          <w:szCs w:val="21"/>
        </w:rPr>
        <w:t>所有措施项目费应根据竞争性谈判文件中的施工组织设计、各种资源和生产要素等进行报价，并按照工程量清单计价格式在措施项目分析表中对措施项目费用的组成进行详细的列项和分析。</w:t>
      </w:r>
    </w:p>
    <w:p>
      <w:pPr>
        <w:tabs>
          <w:tab w:val="left" w:pos="630"/>
        </w:tabs>
        <w:spacing w:line="360" w:lineRule="auto"/>
        <w:ind w:firstLine="442" w:firstLineChars="200"/>
        <w:rPr>
          <w:rFonts w:cs="Arial"/>
          <w:b/>
          <w:szCs w:val="21"/>
        </w:rPr>
      </w:pPr>
      <w:r>
        <w:rPr>
          <w:rFonts w:cs="Arial"/>
          <w:b/>
          <w:szCs w:val="21"/>
        </w:rPr>
        <w:t>10.4</w:t>
      </w:r>
      <w:r>
        <w:rPr>
          <w:rFonts w:hint="eastAsia" w:cs="Arial"/>
          <w:b/>
          <w:szCs w:val="21"/>
        </w:rPr>
        <w:t>其他项目清单计价</w:t>
      </w:r>
    </w:p>
    <w:p>
      <w:pPr>
        <w:spacing w:line="360" w:lineRule="auto"/>
        <w:ind w:firstLine="440" w:firstLineChars="200"/>
        <w:rPr>
          <w:rFonts w:cs="Arial"/>
          <w:szCs w:val="21"/>
        </w:rPr>
      </w:pPr>
      <w:r>
        <w:rPr>
          <w:rFonts w:cs="Arial"/>
          <w:szCs w:val="21"/>
        </w:rPr>
        <w:t>10.4.1</w:t>
      </w:r>
      <w:r>
        <w:rPr>
          <w:rFonts w:hint="eastAsia" w:cs="Arial"/>
          <w:szCs w:val="21"/>
        </w:rPr>
        <w:t>其他项目清单中包括暂列金额、暂估价（包括整项暂估价、材料和工程设备的暂估价）、计日工和协调配合费。</w:t>
      </w:r>
    </w:p>
    <w:p>
      <w:pPr>
        <w:spacing w:line="360" w:lineRule="auto"/>
        <w:ind w:firstLine="440" w:firstLineChars="200"/>
        <w:rPr>
          <w:rFonts w:cs="Arial"/>
          <w:szCs w:val="21"/>
        </w:rPr>
      </w:pPr>
      <w:r>
        <w:rPr>
          <w:rFonts w:hint="eastAsia" w:cs="Arial"/>
          <w:szCs w:val="21"/>
        </w:rPr>
        <w:t>⑴暂列金额：详见：第四部分</w:t>
      </w:r>
      <w:r>
        <w:rPr>
          <w:rFonts w:cs="Arial"/>
          <w:szCs w:val="21"/>
        </w:rPr>
        <w:t xml:space="preserve"> </w:t>
      </w:r>
      <w:r>
        <w:rPr>
          <w:rFonts w:hint="eastAsia" w:cs="Arial"/>
          <w:szCs w:val="21"/>
        </w:rPr>
        <w:t>暂列金额明细表；</w:t>
      </w:r>
    </w:p>
    <w:p>
      <w:pPr>
        <w:spacing w:line="360" w:lineRule="auto"/>
        <w:ind w:firstLine="440" w:firstLineChars="200"/>
        <w:rPr>
          <w:rFonts w:cs="Arial"/>
          <w:szCs w:val="21"/>
        </w:rPr>
      </w:pPr>
      <w:r>
        <w:rPr>
          <w:rFonts w:hint="eastAsia" w:cs="Arial"/>
          <w:szCs w:val="21"/>
        </w:rPr>
        <w:t>⑵整项暂估价工程：详见：第四部分</w:t>
      </w:r>
      <w:r>
        <w:rPr>
          <w:rFonts w:cs="Arial"/>
          <w:szCs w:val="21"/>
        </w:rPr>
        <w:t xml:space="preserve"> </w:t>
      </w:r>
      <w:r>
        <w:rPr>
          <w:rFonts w:hint="eastAsia" w:cs="Arial"/>
          <w:szCs w:val="21"/>
        </w:rPr>
        <w:t>专业工程暂估价表；</w:t>
      </w:r>
    </w:p>
    <w:p>
      <w:pPr>
        <w:spacing w:line="360" w:lineRule="auto"/>
        <w:ind w:firstLine="440" w:firstLineChars="200"/>
        <w:rPr>
          <w:rFonts w:cs="Arial"/>
          <w:szCs w:val="21"/>
        </w:rPr>
      </w:pPr>
      <w:r>
        <w:rPr>
          <w:rFonts w:hint="eastAsia" w:cs="Arial"/>
          <w:szCs w:val="21"/>
        </w:rPr>
        <w:t>⑶暂估价的材料和工程设备：详见：第四部分</w:t>
      </w:r>
      <w:r>
        <w:rPr>
          <w:rFonts w:cs="Arial"/>
          <w:szCs w:val="21"/>
        </w:rPr>
        <w:t xml:space="preserve"> </w:t>
      </w:r>
      <w:r>
        <w:rPr>
          <w:rFonts w:hint="eastAsia" w:cs="Arial"/>
          <w:szCs w:val="21"/>
        </w:rPr>
        <w:t>材料和工程设备暂估价表；</w:t>
      </w:r>
    </w:p>
    <w:p>
      <w:pPr>
        <w:spacing w:line="360" w:lineRule="auto"/>
        <w:ind w:firstLine="440" w:firstLineChars="200"/>
        <w:rPr>
          <w:rFonts w:cs="Arial"/>
          <w:szCs w:val="21"/>
        </w:rPr>
      </w:pPr>
      <w:r>
        <w:rPr>
          <w:rFonts w:hint="eastAsia" w:cs="Arial"/>
          <w:szCs w:val="21"/>
        </w:rPr>
        <w:t>⑷根据采购人提供的发包人发包专业工程一览表中所列的项目承包人自行报价，该项费用包干计取，结算不做调整。</w:t>
      </w:r>
    </w:p>
    <w:p>
      <w:pPr>
        <w:tabs>
          <w:tab w:val="left" w:pos="630"/>
        </w:tabs>
        <w:spacing w:line="360" w:lineRule="auto"/>
        <w:ind w:firstLine="440" w:firstLineChars="200"/>
        <w:rPr>
          <w:rFonts w:cs="Arial"/>
          <w:szCs w:val="21"/>
        </w:rPr>
      </w:pPr>
      <w:r>
        <w:rPr>
          <w:rFonts w:hint="eastAsia" w:cs="Arial"/>
          <w:szCs w:val="21"/>
        </w:rPr>
        <w:t>⑸计日工：本采购工程计日工为</w:t>
      </w:r>
      <w:r>
        <w:rPr>
          <w:rFonts w:cs="Arial"/>
          <w:szCs w:val="21"/>
        </w:rPr>
        <w:t>0</w:t>
      </w:r>
      <w:r>
        <w:rPr>
          <w:rFonts w:hint="eastAsia" w:cs="Arial"/>
          <w:szCs w:val="21"/>
        </w:rPr>
        <w:t>。</w:t>
      </w:r>
    </w:p>
    <w:p>
      <w:pPr>
        <w:tabs>
          <w:tab w:val="left" w:pos="630"/>
        </w:tabs>
        <w:spacing w:line="360" w:lineRule="auto"/>
        <w:ind w:firstLine="442" w:firstLineChars="200"/>
        <w:rPr>
          <w:rFonts w:cs="Arial"/>
          <w:szCs w:val="21"/>
        </w:rPr>
      </w:pPr>
      <w:r>
        <w:rPr>
          <w:rFonts w:cs="Arial"/>
          <w:b/>
          <w:bCs/>
          <w:szCs w:val="21"/>
        </w:rPr>
        <w:t>10.5</w:t>
      </w:r>
      <w:r>
        <w:rPr>
          <w:rFonts w:hint="eastAsia" w:cs="Arial"/>
          <w:b/>
          <w:bCs/>
          <w:szCs w:val="21"/>
        </w:rPr>
        <w:t>规费和税金计价</w:t>
      </w:r>
    </w:p>
    <w:p>
      <w:pPr>
        <w:tabs>
          <w:tab w:val="left" w:pos="630"/>
        </w:tabs>
        <w:spacing w:line="360" w:lineRule="auto"/>
        <w:ind w:firstLine="440" w:firstLineChars="200"/>
        <w:rPr>
          <w:rFonts w:cs="Arial"/>
          <w:szCs w:val="21"/>
        </w:rPr>
      </w:pPr>
      <w:r>
        <w:rPr>
          <w:rFonts w:cs="Arial"/>
          <w:szCs w:val="21"/>
        </w:rPr>
        <w:t>10.5.1</w:t>
      </w:r>
      <w:r>
        <w:rPr>
          <w:rFonts w:hint="eastAsia" w:cs="Arial"/>
          <w:szCs w:val="21"/>
        </w:rPr>
        <w:t>规费和税金应按国家或省级、行业建设主管部门的规定计算，不得作为竞争性费用。</w:t>
      </w:r>
    </w:p>
    <w:p>
      <w:pPr>
        <w:spacing w:line="360" w:lineRule="auto"/>
        <w:ind w:firstLine="431" w:firstLineChars="196"/>
        <w:rPr>
          <w:b/>
          <w:szCs w:val="21"/>
        </w:rPr>
      </w:pPr>
      <w:r>
        <w:rPr>
          <w:rFonts w:cs="Arial"/>
          <w:szCs w:val="21"/>
        </w:rPr>
        <w:t>10.5.2</w:t>
      </w:r>
      <w:r>
        <w:rPr>
          <w:rFonts w:hint="eastAsia" w:cs="Arial"/>
          <w:szCs w:val="21"/>
        </w:rPr>
        <w:t>规费和税金应在谈判价格汇总表中单独列项。</w:t>
      </w:r>
    </w:p>
    <w:p>
      <w:pPr>
        <w:tabs>
          <w:tab w:val="left" w:pos="630"/>
        </w:tabs>
        <w:spacing w:line="360" w:lineRule="auto"/>
        <w:ind w:firstLine="442" w:firstLineChars="200"/>
        <w:rPr>
          <w:b/>
          <w:szCs w:val="21"/>
        </w:rPr>
      </w:pPr>
    </w:p>
    <w:p>
      <w:pPr>
        <w:spacing w:line="360" w:lineRule="auto"/>
        <w:ind w:firstLine="433" w:firstLineChars="196"/>
        <w:rPr>
          <w:rFonts w:cs="Arial"/>
          <w:b/>
          <w:szCs w:val="21"/>
        </w:rPr>
      </w:pPr>
      <w:r>
        <w:rPr>
          <w:rFonts w:cs="Arial"/>
          <w:b/>
          <w:szCs w:val="21"/>
        </w:rPr>
        <w:t xml:space="preserve">11. </w:t>
      </w:r>
      <w:r>
        <w:rPr>
          <w:rFonts w:hint="eastAsia" w:cs="Arial"/>
          <w:b/>
          <w:szCs w:val="21"/>
        </w:rPr>
        <w:t>谈判报价相关事项</w:t>
      </w:r>
    </w:p>
    <w:p>
      <w:pPr>
        <w:tabs>
          <w:tab w:val="left" w:pos="630"/>
        </w:tabs>
        <w:spacing w:line="360" w:lineRule="auto"/>
        <w:ind w:firstLine="440" w:firstLineChars="200"/>
        <w:rPr>
          <w:rFonts w:cs="Arial"/>
          <w:szCs w:val="21"/>
        </w:rPr>
      </w:pPr>
      <w:r>
        <w:rPr>
          <w:rFonts w:cs="Arial"/>
          <w:szCs w:val="21"/>
        </w:rPr>
        <w:t>11.1</w:t>
      </w:r>
      <w:r>
        <w:rPr>
          <w:rFonts w:hint="eastAsia" w:cs="Arial"/>
          <w:szCs w:val="21"/>
        </w:rPr>
        <w:t>安全防护、文明施工措施费用：</w:t>
      </w:r>
    </w:p>
    <w:p>
      <w:pPr>
        <w:tabs>
          <w:tab w:val="left" w:pos="630"/>
        </w:tabs>
        <w:spacing w:line="360" w:lineRule="auto"/>
        <w:ind w:firstLine="440" w:firstLineChars="200"/>
        <w:rPr>
          <w:rFonts w:cs="Arial"/>
          <w:szCs w:val="21"/>
        </w:rPr>
      </w:pPr>
      <w:r>
        <w:rPr>
          <w:rFonts w:hint="eastAsia" w:cs="Arial"/>
          <w:szCs w:val="21"/>
        </w:rPr>
        <w:t>谈判承包人应根据“技术标准和要求”中明确的安全防护、文明施工措施要求和项目内容，施工组织设计中制定的具体措施以及北京市建设委员会关于安全防护、文明施工措施费用计取标准的规定，结合自身的技术装备和管理水平，计取安全防护、文明施工措施费用。安全防护、文明施工措施费用应计入措施项目费中，并单独列项。</w:t>
      </w:r>
      <w:r>
        <w:rPr>
          <w:rFonts w:hint="eastAsia"/>
          <w:b/>
        </w:rPr>
        <w:t>安全文明施工费的标准是达标</w:t>
      </w:r>
      <w:r>
        <w:rPr>
          <w:rFonts w:hint="eastAsia"/>
          <w:lang w:eastAsia="zh-CN"/>
        </w:rPr>
        <w:t>。</w:t>
      </w:r>
    </w:p>
    <w:p>
      <w:pPr>
        <w:tabs>
          <w:tab w:val="left" w:pos="630"/>
        </w:tabs>
        <w:spacing w:line="360" w:lineRule="auto"/>
        <w:ind w:firstLine="440" w:firstLineChars="200"/>
        <w:rPr>
          <w:rFonts w:cs="Arial"/>
          <w:szCs w:val="21"/>
        </w:rPr>
      </w:pPr>
      <w:r>
        <w:rPr>
          <w:rFonts w:cs="Arial"/>
          <w:szCs w:val="21"/>
        </w:rPr>
        <w:t xml:space="preserve">11.2 </w:t>
      </w:r>
      <w:r>
        <w:rPr>
          <w:rFonts w:hint="eastAsia" w:cs="Arial"/>
          <w:szCs w:val="21"/>
        </w:rPr>
        <w:t>农民工工伤保险费用：</w:t>
      </w:r>
    </w:p>
    <w:p>
      <w:pPr>
        <w:tabs>
          <w:tab w:val="left" w:pos="630"/>
        </w:tabs>
        <w:spacing w:line="360" w:lineRule="auto"/>
        <w:ind w:firstLine="440" w:firstLineChars="200"/>
        <w:rPr>
          <w:rFonts w:cs="Arial"/>
          <w:szCs w:val="21"/>
        </w:rPr>
      </w:pPr>
      <w:r>
        <w:rPr>
          <w:rFonts w:hint="eastAsia" w:cs="Arial"/>
          <w:szCs w:val="21"/>
        </w:rPr>
        <w:t>谈判承包人应根据北京市相关文件规定、现行标准和合同文件关于农民工工伤保险的约定，计取农民工工伤保险费用。农民工工伤保险费用应计入规费中，并单独列项。</w:t>
      </w:r>
    </w:p>
    <w:p>
      <w:pPr>
        <w:tabs>
          <w:tab w:val="left" w:pos="630"/>
        </w:tabs>
        <w:spacing w:line="360" w:lineRule="auto"/>
        <w:ind w:firstLine="440" w:firstLineChars="200"/>
        <w:rPr>
          <w:rFonts w:cs="Arial"/>
          <w:szCs w:val="21"/>
        </w:rPr>
      </w:pPr>
      <w:r>
        <w:rPr>
          <w:rFonts w:cs="Arial"/>
          <w:szCs w:val="21"/>
        </w:rPr>
        <w:t>11.3</w:t>
      </w:r>
      <w:r>
        <w:rPr>
          <w:rFonts w:hint="eastAsia" w:cs="Arial"/>
          <w:szCs w:val="21"/>
        </w:rPr>
        <w:t>谈判报价的充分性：</w:t>
      </w:r>
    </w:p>
    <w:p>
      <w:pPr>
        <w:tabs>
          <w:tab w:val="left" w:pos="630"/>
        </w:tabs>
        <w:spacing w:line="360" w:lineRule="auto"/>
        <w:ind w:firstLine="440" w:firstLineChars="200"/>
        <w:rPr>
          <w:rFonts w:cs="Arial"/>
          <w:szCs w:val="21"/>
        </w:rPr>
      </w:pPr>
      <w:r>
        <w:rPr>
          <w:rFonts w:hint="eastAsia" w:cs="Arial"/>
          <w:szCs w:val="21"/>
        </w:rPr>
        <w:t>谈判报价为谈判承包人在竞争性谈判文件中提出的各项支付金额的总和，为所报施工工期内完成承包（采购）范围所有工作的全部费用。除非合同文件另有约定，在采购人提供的工程量清单、施工采购图纸、技术标准和要求以及合同条件的基础上，谈判承包人的谈判报价应当包括以下费用：</w:t>
      </w:r>
    </w:p>
    <w:p>
      <w:pPr>
        <w:tabs>
          <w:tab w:val="left" w:pos="630"/>
        </w:tabs>
        <w:spacing w:line="360" w:lineRule="auto"/>
        <w:ind w:firstLine="376" w:firstLineChars="171"/>
        <w:rPr>
          <w:rFonts w:cs="Arial"/>
          <w:szCs w:val="21"/>
        </w:rPr>
      </w:pPr>
      <w:r>
        <w:rPr>
          <w:rFonts w:hint="eastAsia" w:cs="Arial"/>
          <w:szCs w:val="21"/>
        </w:rPr>
        <w:t>（</w:t>
      </w:r>
      <w:r>
        <w:rPr>
          <w:rFonts w:cs="Arial"/>
          <w:szCs w:val="21"/>
        </w:rPr>
        <w:t>1</w:t>
      </w:r>
      <w:r>
        <w:rPr>
          <w:rFonts w:hint="eastAsia" w:cs="Arial"/>
          <w:szCs w:val="21"/>
        </w:rPr>
        <w:t>）分部分项工程的施工费用；</w:t>
      </w:r>
    </w:p>
    <w:p>
      <w:pPr>
        <w:tabs>
          <w:tab w:val="left" w:pos="630"/>
        </w:tabs>
        <w:spacing w:line="360" w:lineRule="auto"/>
        <w:ind w:firstLine="376" w:firstLineChars="171"/>
        <w:rPr>
          <w:rFonts w:cs="Arial"/>
          <w:szCs w:val="21"/>
        </w:rPr>
      </w:pPr>
      <w:r>
        <w:rPr>
          <w:rFonts w:hint="eastAsia" w:cs="Arial"/>
          <w:szCs w:val="21"/>
        </w:rPr>
        <w:t>（</w:t>
      </w:r>
      <w:r>
        <w:rPr>
          <w:rFonts w:cs="Arial"/>
          <w:szCs w:val="21"/>
        </w:rPr>
        <w:t>2</w:t>
      </w:r>
      <w:r>
        <w:rPr>
          <w:rFonts w:hint="eastAsia" w:cs="Arial"/>
          <w:szCs w:val="21"/>
        </w:rPr>
        <w:t>）所有措施项目费用；</w:t>
      </w:r>
    </w:p>
    <w:p>
      <w:pPr>
        <w:tabs>
          <w:tab w:val="left" w:pos="630"/>
        </w:tabs>
        <w:spacing w:line="360" w:lineRule="auto"/>
        <w:ind w:firstLine="376" w:firstLineChars="171"/>
        <w:rPr>
          <w:rFonts w:cs="Arial"/>
          <w:szCs w:val="21"/>
        </w:rPr>
      </w:pPr>
      <w:r>
        <w:rPr>
          <w:rFonts w:hint="eastAsia" w:cs="Arial"/>
          <w:szCs w:val="21"/>
        </w:rPr>
        <w:t>（</w:t>
      </w:r>
      <w:r>
        <w:rPr>
          <w:rFonts w:cs="Arial"/>
          <w:szCs w:val="21"/>
        </w:rPr>
        <w:t>3</w:t>
      </w:r>
      <w:r>
        <w:rPr>
          <w:rFonts w:hint="eastAsia" w:cs="Arial"/>
          <w:szCs w:val="21"/>
        </w:rPr>
        <w:t>）管理费、利润、各种税费和规费；</w:t>
      </w:r>
    </w:p>
    <w:p>
      <w:pPr>
        <w:tabs>
          <w:tab w:val="left" w:pos="630"/>
        </w:tabs>
        <w:spacing w:line="360" w:lineRule="auto"/>
        <w:ind w:firstLine="376" w:firstLineChars="171"/>
        <w:rPr>
          <w:rFonts w:cs="Arial"/>
          <w:szCs w:val="21"/>
        </w:rPr>
      </w:pPr>
      <w:r>
        <w:rPr>
          <w:rFonts w:hint="eastAsia" w:cs="Arial"/>
          <w:szCs w:val="21"/>
        </w:rPr>
        <w:t>（</w:t>
      </w:r>
      <w:r>
        <w:rPr>
          <w:rFonts w:cs="Arial"/>
          <w:szCs w:val="21"/>
        </w:rPr>
        <w:t>4</w:t>
      </w:r>
      <w:r>
        <w:rPr>
          <w:rFonts w:hint="eastAsia" w:cs="Arial"/>
          <w:szCs w:val="21"/>
        </w:rPr>
        <w:t>）缺陷修复和保修费用；</w:t>
      </w:r>
    </w:p>
    <w:p>
      <w:pPr>
        <w:tabs>
          <w:tab w:val="left" w:pos="630"/>
        </w:tabs>
        <w:spacing w:line="360" w:lineRule="auto"/>
        <w:ind w:firstLine="376" w:firstLineChars="171"/>
        <w:rPr>
          <w:rFonts w:cs="Arial"/>
          <w:szCs w:val="21"/>
        </w:rPr>
      </w:pPr>
      <w:r>
        <w:rPr>
          <w:rFonts w:hint="eastAsia" w:cs="Arial"/>
          <w:szCs w:val="21"/>
        </w:rPr>
        <w:t>（</w:t>
      </w:r>
      <w:r>
        <w:rPr>
          <w:rFonts w:cs="Arial"/>
          <w:szCs w:val="21"/>
        </w:rPr>
        <w:t>5</w:t>
      </w:r>
      <w:r>
        <w:rPr>
          <w:rFonts w:hint="eastAsia" w:cs="Arial"/>
          <w:szCs w:val="21"/>
        </w:rPr>
        <w:t>）合同期内市场材料设备价格、人工价格、政府收费、政策等各种因素造成的施工成本变化；</w:t>
      </w:r>
    </w:p>
    <w:p>
      <w:pPr>
        <w:tabs>
          <w:tab w:val="left" w:pos="630"/>
        </w:tabs>
        <w:spacing w:line="360" w:lineRule="auto"/>
        <w:ind w:firstLine="376" w:firstLineChars="171"/>
        <w:rPr>
          <w:rFonts w:cs="Arial"/>
          <w:szCs w:val="21"/>
        </w:rPr>
      </w:pPr>
      <w:r>
        <w:rPr>
          <w:rFonts w:hint="eastAsia" w:cs="Arial"/>
          <w:szCs w:val="21"/>
        </w:rPr>
        <w:t>（</w:t>
      </w:r>
      <w:r>
        <w:rPr>
          <w:rFonts w:cs="Arial"/>
          <w:szCs w:val="21"/>
        </w:rPr>
        <w:t>6</w:t>
      </w:r>
      <w:r>
        <w:rPr>
          <w:rFonts w:hint="eastAsia" w:cs="Arial"/>
          <w:szCs w:val="21"/>
        </w:rPr>
        <w:t>）合同期内基于谈判承包人自身判断的各种可能存在或发生的风险；</w:t>
      </w:r>
    </w:p>
    <w:p>
      <w:pPr>
        <w:tabs>
          <w:tab w:val="left" w:pos="630"/>
        </w:tabs>
        <w:spacing w:line="360" w:lineRule="auto"/>
        <w:ind w:firstLine="376" w:firstLineChars="171"/>
        <w:rPr>
          <w:rFonts w:cs="Arial"/>
          <w:szCs w:val="21"/>
        </w:rPr>
      </w:pPr>
      <w:r>
        <w:rPr>
          <w:rFonts w:hint="eastAsia" w:cs="Arial"/>
          <w:szCs w:val="21"/>
        </w:rPr>
        <w:t>（</w:t>
      </w:r>
      <w:r>
        <w:rPr>
          <w:rFonts w:cs="Arial"/>
          <w:szCs w:val="21"/>
        </w:rPr>
        <w:t>7</w:t>
      </w:r>
      <w:r>
        <w:rPr>
          <w:rFonts w:hint="eastAsia" w:cs="Arial"/>
          <w:szCs w:val="21"/>
        </w:rPr>
        <w:t>）按照合同文件约定对专项供应材料和工程设备、独立发包工程、独立供应材料和工程设备的总包管理、协调、配合和服务所发生的费用；</w:t>
      </w:r>
    </w:p>
    <w:p>
      <w:pPr>
        <w:tabs>
          <w:tab w:val="left" w:pos="630"/>
        </w:tabs>
        <w:spacing w:line="360" w:lineRule="auto"/>
        <w:ind w:firstLine="376" w:firstLineChars="171"/>
        <w:rPr>
          <w:rFonts w:cs="Arial"/>
          <w:szCs w:val="21"/>
        </w:rPr>
      </w:pPr>
      <w:r>
        <w:rPr>
          <w:rFonts w:hint="eastAsia" w:cs="Arial"/>
          <w:szCs w:val="21"/>
        </w:rPr>
        <w:t>（</w:t>
      </w:r>
      <w:r>
        <w:rPr>
          <w:rFonts w:cs="Arial"/>
          <w:szCs w:val="21"/>
        </w:rPr>
        <w:t>8</w:t>
      </w:r>
      <w:r>
        <w:rPr>
          <w:rFonts w:hint="eastAsia" w:cs="Arial"/>
          <w:szCs w:val="21"/>
        </w:rPr>
        <w:t>）为符合或满足采购人在合同文件中约定的全部责任和义务所需发生的任何费用；</w:t>
      </w:r>
    </w:p>
    <w:p>
      <w:pPr>
        <w:tabs>
          <w:tab w:val="left" w:pos="630"/>
        </w:tabs>
        <w:spacing w:line="360" w:lineRule="auto"/>
        <w:ind w:firstLine="376" w:firstLineChars="171"/>
        <w:rPr>
          <w:rFonts w:cs="Arial"/>
          <w:szCs w:val="21"/>
        </w:rPr>
      </w:pPr>
      <w:r>
        <w:rPr>
          <w:rFonts w:hint="eastAsia" w:cs="Arial"/>
          <w:szCs w:val="21"/>
        </w:rPr>
        <w:t>（</w:t>
      </w:r>
      <w:r>
        <w:rPr>
          <w:rFonts w:cs="Arial"/>
          <w:szCs w:val="21"/>
        </w:rPr>
        <w:t>9</w:t>
      </w:r>
      <w:r>
        <w:rPr>
          <w:rFonts w:hint="eastAsia" w:cs="Arial"/>
          <w:szCs w:val="21"/>
        </w:rPr>
        <w:t>）与各类材料和工程设备施工就位和安装固定相关的卸车、装车、水平运输、现场倒运、垂直运输、安装固定相关的人工费；</w:t>
      </w:r>
    </w:p>
    <w:p>
      <w:pPr>
        <w:tabs>
          <w:tab w:val="left" w:pos="630"/>
        </w:tabs>
        <w:spacing w:line="360" w:lineRule="auto"/>
        <w:ind w:firstLine="376" w:firstLineChars="171"/>
        <w:rPr>
          <w:rFonts w:cs="Arial"/>
          <w:szCs w:val="21"/>
        </w:rPr>
      </w:pPr>
      <w:r>
        <w:rPr>
          <w:rFonts w:hint="eastAsia" w:cs="Arial"/>
          <w:szCs w:val="21"/>
        </w:rPr>
        <w:t>（</w:t>
      </w:r>
      <w:r>
        <w:rPr>
          <w:rFonts w:cs="Arial"/>
          <w:szCs w:val="21"/>
        </w:rPr>
        <w:t>10</w:t>
      </w:r>
      <w:r>
        <w:rPr>
          <w:rFonts w:hint="eastAsia" w:cs="Arial"/>
          <w:szCs w:val="21"/>
        </w:rPr>
        <w:t>）包括搭接、连接、切割和损耗等在内的材料费；</w:t>
      </w:r>
    </w:p>
    <w:p>
      <w:pPr>
        <w:tabs>
          <w:tab w:val="left" w:pos="630"/>
        </w:tabs>
        <w:spacing w:line="360" w:lineRule="auto"/>
        <w:ind w:firstLine="376" w:firstLineChars="171"/>
        <w:rPr>
          <w:rFonts w:cs="Arial"/>
          <w:szCs w:val="21"/>
        </w:rPr>
      </w:pPr>
      <w:r>
        <w:rPr>
          <w:rFonts w:hint="eastAsia" w:cs="Arial"/>
          <w:szCs w:val="21"/>
        </w:rPr>
        <w:t>（</w:t>
      </w:r>
      <w:r>
        <w:rPr>
          <w:rFonts w:cs="Arial"/>
          <w:szCs w:val="21"/>
        </w:rPr>
        <w:t>11</w:t>
      </w:r>
      <w:r>
        <w:rPr>
          <w:rFonts w:hint="eastAsia" w:cs="Arial"/>
          <w:szCs w:val="21"/>
        </w:rPr>
        <w:t>）诸如钉子、自攻螺丝、垫片、铁丝、腻子、夹子、铆焊料等辅材费；</w:t>
      </w:r>
    </w:p>
    <w:p>
      <w:pPr>
        <w:tabs>
          <w:tab w:val="left" w:pos="630"/>
        </w:tabs>
        <w:spacing w:line="360" w:lineRule="auto"/>
        <w:ind w:firstLine="376" w:firstLineChars="171"/>
        <w:rPr>
          <w:rFonts w:cs="Arial"/>
          <w:szCs w:val="21"/>
        </w:rPr>
      </w:pPr>
      <w:r>
        <w:rPr>
          <w:rFonts w:hint="eastAsia" w:cs="Arial"/>
          <w:szCs w:val="21"/>
        </w:rPr>
        <w:t>（</w:t>
      </w:r>
      <w:r>
        <w:rPr>
          <w:rFonts w:cs="Arial"/>
          <w:szCs w:val="21"/>
        </w:rPr>
        <w:t>12</w:t>
      </w:r>
      <w:r>
        <w:rPr>
          <w:rFonts w:hint="eastAsia" w:cs="Arial"/>
          <w:szCs w:val="21"/>
        </w:rPr>
        <w:t>）与搬运、发运、装卸、仓储、包装、垂直运输等有关的所有费用；</w:t>
      </w:r>
    </w:p>
    <w:p>
      <w:pPr>
        <w:tabs>
          <w:tab w:val="left" w:pos="630"/>
        </w:tabs>
        <w:spacing w:line="360" w:lineRule="auto"/>
        <w:ind w:firstLine="376" w:firstLineChars="171"/>
        <w:rPr>
          <w:rFonts w:cs="Arial"/>
          <w:szCs w:val="21"/>
        </w:rPr>
      </w:pPr>
      <w:r>
        <w:rPr>
          <w:rFonts w:hint="eastAsia" w:cs="Arial"/>
          <w:szCs w:val="21"/>
        </w:rPr>
        <w:t>（</w:t>
      </w:r>
      <w:r>
        <w:rPr>
          <w:rFonts w:cs="Arial"/>
          <w:szCs w:val="21"/>
        </w:rPr>
        <w:t>13</w:t>
      </w:r>
      <w:r>
        <w:rPr>
          <w:rFonts w:hint="eastAsia" w:cs="Arial"/>
          <w:szCs w:val="21"/>
        </w:rPr>
        <w:t>）法定税金或收费；</w:t>
      </w:r>
    </w:p>
    <w:p>
      <w:pPr>
        <w:tabs>
          <w:tab w:val="left" w:pos="630"/>
        </w:tabs>
        <w:spacing w:line="360" w:lineRule="auto"/>
        <w:ind w:firstLine="376" w:firstLineChars="171"/>
        <w:rPr>
          <w:rFonts w:cs="Arial"/>
          <w:szCs w:val="21"/>
        </w:rPr>
      </w:pPr>
      <w:r>
        <w:rPr>
          <w:rFonts w:hint="eastAsia" w:cs="Arial"/>
          <w:szCs w:val="21"/>
        </w:rPr>
        <w:t>（</w:t>
      </w:r>
      <w:r>
        <w:rPr>
          <w:rFonts w:cs="Arial"/>
          <w:szCs w:val="21"/>
        </w:rPr>
        <w:t>14</w:t>
      </w:r>
      <w:r>
        <w:rPr>
          <w:rFonts w:hint="eastAsia" w:cs="Arial"/>
          <w:szCs w:val="21"/>
        </w:rPr>
        <w:t>）为实施和完成工程所必须的</w:t>
      </w:r>
      <w:r>
        <w:rPr>
          <w:rFonts w:cs="Arial"/>
          <w:szCs w:val="21"/>
        </w:rPr>
        <w:t>,</w:t>
      </w:r>
      <w:r>
        <w:rPr>
          <w:rFonts w:hint="eastAsia" w:cs="Arial"/>
          <w:szCs w:val="21"/>
        </w:rPr>
        <w:t>或者是为克服工程移交前的任何困难而可能变为必须的所有附属的及其他工程和费用支出；</w:t>
      </w:r>
    </w:p>
    <w:p>
      <w:pPr>
        <w:tabs>
          <w:tab w:val="left" w:pos="630"/>
        </w:tabs>
        <w:spacing w:line="360" w:lineRule="auto"/>
        <w:ind w:firstLine="440" w:firstLineChars="200"/>
        <w:rPr>
          <w:rFonts w:cs="Arial"/>
          <w:szCs w:val="21"/>
        </w:rPr>
      </w:pPr>
      <w:r>
        <w:rPr>
          <w:rFonts w:cs="Arial"/>
          <w:szCs w:val="21"/>
        </w:rPr>
        <w:t>11.4</w:t>
      </w:r>
      <w:r>
        <w:rPr>
          <w:rFonts w:hint="eastAsia" w:cs="Arial"/>
          <w:szCs w:val="21"/>
        </w:rPr>
        <w:t>谈判报价的唯一性：</w:t>
      </w:r>
    </w:p>
    <w:p>
      <w:pPr>
        <w:tabs>
          <w:tab w:val="left" w:pos="630"/>
        </w:tabs>
        <w:spacing w:line="360" w:lineRule="auto"/>
        <w:ind w:firstLine="440" w:firstLineChars="200"/>
        <w:rPr>
          <w:rFonts w:cs="Arial"/>
          <w:szCs w:val="21"/>
        </w:rPr>
      </w:pPr>
      <w:r>
        <w:rPr>
          <w:rFonts w:hint="eastAsia" w:cs="Arial"/>
          <w:szCs w:val="21"/>
        </w:rPr>
        <w:t>谈判承包人应按照工程量清单中列出的工程项目及工程量填报单价和合价，每一项目只允许有一个报价，任何有选择的报价将不予以接受。谈判承包人未填报单价或合价的工程项目，工程实施后，采购人将不予以支付，并视为该项费用已包括在其他有价款的单价或合价中。</w:t>
      </w:r>
    </w:p>
    <w:p>
      <w:pPr>
        <w:tabs>
          <w:tab w:val="left" w:pos="630"/>
        </w:tabs>
        <w:spacing w:line="360" w:lineRule="auto"/>
        <w:ind w:firstLine="440" w:firstLineChars="200"/>
        <w:rPr>
          <w:rFonts w:cs="Arial"/>
          <w:szCs w:val="21"/>
        </w:rPr>
      </w:pPr>
      <w:r>
        <w:rPr>
          <w:rFonts w:cs="Arial"/>
          <w:szCs w:val="21"/>
        </w:rPr>
        <w:t>11.5</w:t>
      </w:r>
      <w:r>
        <w:rPr>
          <w:rFonts w:hint="eastAsia" w:cs="Arial"/>
          <w:szCs w:val="21"/>
        </w:rPr>
        <w:t>技术标准和要求文件是本采购工程合同文件的组成部分，并服务于本工程的采购谈判。其中对承包人有关工作内容、责任和义务的约定，同样是有可能成为承包人的谈判承包人在谈判阶段应当综合考虑的事项，谈判承包人应当对有关约定作出响应，按照有关约定编制竞争性谈判文件。</w:t>
      </w:r>
    </w:p>
    <w:p>
      <w:pPr>
        <w:tabs>
          <w:tab w:val="left" w:pos="630"/>
        </w:tabs>
        <w:spacing w:line="360" w:lineRule="auto"/>
        <w:ind w:firstLine="440" w:firstLineChars="200"/>
        <w:rPr>
          <w:rFonts w:cs="Arial"/>
          <w:szCs w:val="21"/>
        </w:rPr>
      </w:pPr>
    </w:p>
    <w:p>
      <w:pPr>
        <w:spacing w:line="360" w:lineRule="auto"/>
        <w:ind w:firstLine="433" w:firstLineChars="196"/>
        <w:rPr>
          <w:rFonts w:cs="Arial"/>
          <w:b/>
          <w:szCs w:val="21"/>
        </w:rPr>
      </w:pPr>
      <w:r>
        <w:rPr>
          <w:rFonts w:cs="Arial"/>
          <w:b/>
          <w:szCs w:val="21"/>
        </w:rPr>
        <w:t>12</w:t>
      </w:r>
      <w:r>
        <w:rPr>
          <w:rFonts w:hint="eastAsia" w:cs="Arial"/>
          <w:b/>
          <w:szCs w:val="21"/>
        </w:rPr>
        <w:t>．图纸</w:t>
      </w:r>
    </w:p>
    <w:p>
      <w:pPr>
        <w:spacing w:line="360" w:lineRule="auto"/>
        <w:ind w:firstLine="440" w:firstLineChars="200"/>
      </w:pPr>
      <w:r>
        <w:t>12.1</w:t>
      </w:r>
      <w:r>
        <w:rPr>
          <w:rFonts w:hint="eastAsia"/>
        </w:rPr>
        <w:t>本采购工程图纸不装订在采购文件中</w:t>
      </w:r>
    </w:p>
    <w:p>
      <w:pPr>
        <w:spacing w:line="360" w:lineRule="auto"/>
        <w:ind w:firstLine="440" w:firstLineChars="200"/>
      </w:pPr>
      <w:r>
        <w:t>12.2</w:t>
      </w:r>
      <w:r>
        <w:rPr>
          <w:rFonts w:hint="eastAsia"/>
        </w:rPr>
        <w:t>所有工程设计图纸另行装订，随采购文件同时发放</w:t>
      </w:r>
    </w:p>
    <w:p>
      <w:pPr>
        <w:ind w:firstLine="271" w:firstLineChars="150"/>
        <w:rPr>
          <w:b/>
          <w:sz w:val="18"/>
          <w:szCs w:val="18"/>
          <w:u w:val="single"/>
        </w:rPr>
      </w:pPr>
    </w:p>
    <w:p>
      <w:pPr>
        <w:spacing w:line="360" w:lineRule="auto"/>
        <w:ind w:firstLine="433" w:firstLineChars="196"/>
        <w:rPr>
          <w:rFonts w:cs="Arial"/>
          <w:b/>
          <w:szCs w:val="21"/>
        </w:rPr>
      </w:pPr>
    </w:p>
    <w:p>
      <w:pPr>
        <w:numPr>
          <w:ilvl w:val="0"/>
          <w:numId w:val="27"/>
        </w:numPr>
        <w:spacing w:line="360" w:lineRule="auto"/>
        <w:ind w:firstLine="433" w:firstLineChars="196"/>
        <w:rPr>
          <w:rFonts w:cs="Arial"/>
          <w:b/>
          <w:szCs w:val="21"/>
        </w:rPr>
      </w:pPr>
      <w:r>
        <w:rPr>
          <w:rFonts w:hint="eastAsia" w:cs="Times New Roman"/>
          <w:b/>
          <w:szCs w:val="21"/>
        </w:rPr>
        <w:t>工程量清单（另册）</w:t>
      </w:r>
    </w:p>
    <w:p>
      <w:pPr>
        <w:spacing w:line="360" w:lineRule="auto"/>
        <w:rPr>
          <w:rFonts w:cs="Arial"/>
          <w:b/>
          <w:szCs w:val="21"/>
        </w:rPr>
      </w:pPr>
    </w:p>
    <w:p>
      <w:pPr>
        <w:spacing w:line="360" w:lineRule="auto"/>
        <w:rPr>
          <w:rFonts w:cs="Arial"/>
          <w:b/>
          <w:szCs w:val="21"/>
        </w:rPr>
      </w:pPr>
    </w:p>
    <w:p>
      <w:pPr>
        <w:spacing w:line="360" w:lineRule="auto"/>
        <w:rPr>
          <w:rFonts w:cs="Arial"/>
          <w:b/>
          <w:szCs w:val="21"/>
        </w:rPr>
      </w:pPr>
    </w:p>
    <w:p>
      <w:pPr>
        <w:spacing w:line="360" w:lineRule="auto"/>
        <w:rPr>
          <w:rFonts w:cs="Arial"/>
          <w:b/>
          <w:szCs w:val="21"/>
        </w:rPr>
      </w:pPr>
    </w:p>
    <w:p>
      <w:pPr>
        <w:rPr>
          <w:rFonts w:cs="Arial"/>
          <w:b/>
          <w:szCs w:val="21"/>
        </w:rPr>
      </w:pPr>
      <w:r>
        <w:rPr>
          <w:rFonts w:cs="Arial"/>
          <w:b/>
          <w:szCs w:val="21"/>
        </w:rPr>
        <w:br w:type="page"/>
      </w:r>
    </w:p>
    <w:p>
      <w:pPr>
        <w:spacing w:line="360" w:lineRule="auto"/>
        <w:rPr>
          <w:rFonts w:ascii="黑体" w:eastAsia="黑体" w:cs="Arial"/>
          <w:b/>
          <w:bCs/>
          <w:sz w:val="24"/>
        </w:rPr>
      </w:pPr>
      <w:r>
        <w:rPr>
          <w:rFonts w:hint="eastAsia" w:ascii="黑体" w:hAnsi="黑体" w:cs="Arial"/>
          <w:b/>
          <w:bCs/>
          <w:sz w:val="24"/>
        </w:rPr>
        <w:t>第二节</w:t>
      </w:r>
      <w:r>
        <w:rPr>
          <w:rFonts w:ascii="黑体" w:hAnsi="黑体" w:cs="Arial"/>
          <w:b/>
          <w:bCs/>
          <w:sz w:val="24"/>
        </w:rPr>
        <w:t xml:space="preserve"> </w:t>
      </w:r>
      <w:r>
        <w:rPr>
          <w:rFonts w:hint="eastAsia" w:ascii="黑体" w:hAnsi="黑体" w:cs="Arial"/>
          <w:b/>
          <w:bCs/>
          <w:sz w:val="24"/>
        </w:rPr>
        <w:t>特殊技术标准和要求</w:t>
      </w:r>
    </w:p>
    <w:p>
      <w:pPr>
        <w:spacing w:line="360" w:lineRule="auto"/>
        <w:rPr>
          <w:rFonts w:cs="Arial"/>
          <w:b/>
          <w:szCs w:val="21"/>
        </w:rPr>
      </w:pPr>
      <w:bookmarkStart w:id="4" w:name="_Toc477964691"/>
      <w:bookmarkStart w:id="5" w:name="_Toc342296564"/>
      <w:bookmarkStart w:id="6" w:name="_Toc241459807"/>
      <w:r>
        <w:rPr>
          <w:rFonts w:cs="Arial"/>
          <w:b/>
          <w:szCs w:val="21"/>
        </w:rPr>
        <w:t>1</w:t>
      </w:r>
      <w:bookmarkStart w:id="7" w:name="_Toc162409191"/>
      <w:r>
        <w:rPr>
          <w:rFonts w:cs="Arial"/>
          <w:b/>
          <w:szCs w:val="21"/>
        </w:rPr>
        <w:t xml:space="preserve">. </w:t>
      </w:r>
      <w:r>
        <w:rPr>
          <w:rFonts w:hint="eastAsia" w:cs="Arial"/>
          <w:b/>
          <w:szCs w:val="21"/>
        </w:rPr>
        <w:t>材料和工程设备技术要求</w:t>
      </w:r>
      <w:bookmarkEnd w:id="4"/>
      <w:bookmarkEnd w:id="5"/>
      <w:bookmarkEnd w:id="6"/>
      <w:bookmarkEnd w:id="7"/>
    </w:p>
    <w:p>
      <w:pPr>
        <w:spacing w:afterLines="50" w:line="300" w:lineRule="auto"/>
        <w:rPr>
          <w:rFonts w:ascii="Arial" w:cs="Arial"/>
          <w:u w:val="single"/>
        </w:rPr>
      </w:pPr>
      <w:r>
        <w:rPr>
          <w:rFonts w:cs="Arial"/>
          <w:b/>
          <w:szCs w:val="21"/>
        </w:rPr>
        <w:t>1.1</w:t>
      </w:r>
      <w:r>
        <w:rPr>
          <w:rFonts w:hint="eastAsia" w:ascii="Arial" w:cs="Arial"/>
        </w:rPr>
        <w:t>承包人自行施工范围内的部分材料和工程设备技术要求如下：</w:t>
      </w:r>
      <w:r>
        <w:rPr>
          <w:rFonts w:ascii="Arial" w:cs="Arial"/>
          <w:u w:val="single"/>
        </w:rPr>
        <w:t xml:space="preserve">   / </w:t>
      </w:r>
      <w:r>
        <w:rPr>
          <w:rFonts w:hint="eastAsia" w:ascii="Arial" w:cs="Arial"/>
          <w:u w:val="single"/>
        </w:rPr>
        <w:t>。</w:t>
      </w:r>
      <w:r>
        <w:rPr>
          <w:rFonts w:ascii="Arial" w:cs="Arial"/>
          <w:u w:val="single"/>
        </w:rPr>
        <w:t xml:space="preserve">   </w:t>
      </w:r>
    </w:p>
    <w:p>
      <w:pPr>
        <w:spacing w:line="360" w:lineRule="auto"/>
        <w:rPr>
          <w:rFonts w:ascii="Arial" w:cs="Arial"/>
          <w:b/>
          <w:bCs/>
        </w:rPr>
      </w:pPr>
      <w:r>
        <w:rPr>
          <w:rFonts w:hint="eastAsia" w:ascii="Arial" w:cs="Arial"/>
          <w:b/>
          <w:bCs/>
        </w:rPr>
        <w:t>上述材料和工程设备技术要求中如果出现了参考品牌或规格型号，其目的是为了方便承包人直观和准确地把握相应材料和工程设备的技术标准，不具指定或唯一的意思表示，承包人应当参考所列品牌的材料和工程设备，采购相当于或高于所列品牌技术标准的材料和工程设备，否则按照废标处理。</w:t>
      </w:r>
    </w:p>
    <w:p>
      <w:pPr>
        <w:rPr>
          <w:rFonts w:ascii="Arial" w:cs="Arial"/>
        </w:rPr>
      </w:pPr>
    </w:p>
    <w:p>
      <w:pPr>
        <w:spacing w:line="360" w:lineRule="auto"/>
        <w:rPr>
          <w:rFonts w:cs="Arial"/>
          <w:b/>
          <w:szCs w:val="21"/>
        </w:rPr>
      </w:pPr>
      <w:r>
        <w:rPr>
          <w:rFonts w:cs="Arial"/>
          <w:b/>
          <w:szCs w:val="21"/>
        </w:rPr>
        <w:t>1.2</w:t>
      </w:r>
      <w:r>
        <w:rPr>
          <w:rFonts w:hint="eastAsia" w:cs="Arial"/>
          <w:b/>
          <w:szCs w:val="21"/>
        </w:rPr>
        <w:t>承包人自行施工范围内的材料和工程设备选型允许的偏离如下：</w:t>
      </w:r>
    </w:p>
    <w:p>
      <w:pPr>
        <w:tabs>
          <w:tab w:val="left" w:pos="963"/>
        </w:tabs>
        <w:rPr>
          <w:rFonts w:ascii="Arial" w:cs="Arial"/>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810"/>
        <w:gridCol w:w="1810"/>
        <w:gridCol w:w="1810"/>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afterLines="50" w:line="300" w:lineRule="auto"/>
              <w:jc w:val="center"/>
              <w:rPr>
                <w:rFonts w:ascii="Arial" w:cs="Arial"/>
              </w:rPr>
            </w:pPr>
            <w:r>
              <w:rPr>
                <w:rFonts w:hint="eastAsia" w:ascii="Arial" w:hAnsi="Arial" w:cs="Arial"/>
                <w:b/>
              </w:rPr>
              <w:t>序号</w:t>
            </w:r>
          </w:p>
        </w:tc>
        <w:tc>
          <w:tcPr>
            <w:tcW w:w="1810" w:type="dxa"/>
            <w:vAlign w:val="center"/>
          </w:tcPr>
          <w:p>
            <w:pPr>
              <w:spacing w:afterLines="50" w:line="300" w:lineRule="auto"/>
              <w:jc w:val="center"/>
              <w:rPr>
                <w:rFonts w:ascii="Arial" w:cs="Arial"/>
                <w:b/>
              </w:rPr>
            </w:pPr>
            <w:r>
              <w:rPr>
                <w:rFonts w:hint="eastAsia" w:ascii="Arial" w:cs="Arial"/>
                <w:b/>
              </w:rPr>
              <w:t>材料和工程设备</w:t>
            </w:r>
          </w:p>
          <w:p>
            <w:pPr>
              <w:spacing w:afterLines="50" w:line="300" w:lineRule="auto"/>
              <w:jc w:val="center"/>
              <w:rPr>
                <w:rFonts w:ascii="Arial" w:cs="Arial"/>
              </w:rPr>
            </w:pPr>
            <w:r>
              <w:rPr>
                <w:rFonts w:hint="eastAsia" w:ascii="Arial" w:cs="Arial"/>
                <w:b/>
              </w:rPr>
              <w:t>名称</w:t>
            </w:r>
          </w:p>
        </w:tc>
        <w:tc>
          <w:tcPr>
            <w:tcW w:w="1810" w:type="dxa"/>
            <w:vAlign w:val="center"/>
          </w:tcPr>
          <w:p>
            <w:pPr>
              <w:spacing w:afterLines="50" w:line="300" w:lineRule="auto"/>
              <w:jc w:val="center"/>
              <w:rPr>
                <w:rFonts w:ascii="Arial" w:cs="Arial"/>
              </w:rPr>
            </w:pPr>
            <w:r>
              <w:rPr>
                <w:rFonts w:hint="eastAsia" w:ascii="Arial" w:cs="Arial"/>
                <w:b/>
              </w:rPr>
              <w:t>技术指标</w:t>
            </w:r>
          </w:p>
        </w:tc>
        <w:tc>
          <w:tcPr>
            <w:tcW w:w="1810" w:type="dxa"/>
            <w:vAlign w:val="center"/>
          </w:tcPr>
          <w:p>
            <w:pPr>
              <w:spacing w:afterLines="50" w:line="300" w:lineRule="auto"/>
              <w:jc w:val="center"/>
              <w:rPr>
                <w:rFonts w:ascii="Arial" w:cs="Arial"/>
              </w:rPr>
            </w:pPr>
            <w:r>
              <w:rPr>
                <w:rFonts w:hint="eastAsia" w:ascii="Arial" w:cs="Arial"/>
                <w:b/>
              </w:rPr>
              <w:t>允许偏离范围</w:t>
            </w:r>
          </w:p>
        </w:tc>
        <w:tc>
          <w:tcPr>
            <w:tcW w:w="1810" w:type="dxa"/>
            <w:vAlign w:val="center"/>
          </w:tcPr>
          <w:p>
            <w:pPr>
              <w:spacing w:afterLines="50" w:line="300" w:lineRule="auto"/>
              <w:jc w:val="center"/>
              <w:rPr>
                <w:rFonts w:ascii="Arial" w:cs="Arial"/>
              </w:rPr>
            </w:pPr>
            <w:r>
              <w:rPr>
                <w:rFonts w:hint="eastAsia" w:ascii="Arial" w:cs="Arial"/>
                <w:b/>
              </w:rPr>
              <w:t>备</w:t>
            </w:r>
            <w:r>
              <w:rPr>
                <w:rFonts w:ascii="Arial" w:cs="Arial"/>
                <w:b/>
              </w:rPr>
              <w:t xml:space="preserve">  </w:t>
            </w:r>
            <w:r>
              <w:rPr>
                <w:rFonts w:hint="eastAsia" w:ascii="Arial" w:cs="Arial"/>
                <w:b/>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Lines="50" w:line="300" w:lineRule="auto"/>
              <w:jc w:val="center"/>
              <w:rPr>
                <w:rFonts w:ascii="Arial" w:cs="Arial"/>
              </w:rPr>
            </w:pPr>
            <w:r>
              <w:rPr>
                <w:rFonts w:ascii="Arial" w:hAnsi="Arial" w:cs="Arial"/>
              </w:rPr>
              <w:t>1</w:t>
            </w:r>
          </w:p>
        </w:tc>
        <w:tc>
          <w:tcPr>
            <w:tcW w:w="1810" w:type="dxa"/>
            <w:vAlign w:val="center"/>
          </w:tcPr>
          <w:p>
            <w:pPr>
              <w:jc w:val="center"/>
              <w:rPr>
                <w:rFonts w:ascii="Arial" w:cs="Arial"/>
              </w:rPr>
            </w:pPr>
            <w:r>
              <w:rPr>
                <w:rFonts w:hint="eastAsia" w:ascii="Arial" w:cs="Arial"/>
              </w:rPr>
              <w:t>无</w:t>
            </w:r>
          </w:p>
        </w:tc>
        <w:tc>
          <w:tcPr>
            <w:tcW w:w="1810" w:type="dxa"/>
            <w:vAlign w:val="center"/>
          </w:tcPr>
          <w:p>
            <w:pPr>
              <w:jc w:val="center"/>
              <w:rPr>
                <w:rFonts w:ascii="Arial" w:cs="Arial"/>
              </w:rPr>
            </w:pPr>
            <w:r>
              <w:rPr>
                <w:rFonts w:hint="eastAsia" w:ascii="Arial" w:cs="Arial"/>
              </w:rPr>
              <w:t>无</w:t>
            </w:r>
          </w:p>
        </w:tc>
        <w:tc>
          <w:tcPr>
            <w:tcW w:w="1810" w:type="dxa"/>
            <w:vAlign w:val="center"/>
          </w:tcPr>
          <w:p>
            <w:pPr>
              <w:jc w:val="center"/>
              <w:rPr>
                <w:rFonts w:ascii="Arial" w:cs="Arial"/>
              </w:rPr>
            </w:pPr>
            <w:r>
              <w:rPr>
                <w:rFonts w:hint="eastAsia" w:ascii="Arial" w:cs="Arial"/>
              </w:rPr>
              <w:t>无</w:t>
            </w:r>
          </w:p>
        </w:tc>
        <w:tc>
          <w:tcPr>
            <w:tcW w:w="1810" w:type="dxa"/>
            <w:vAlign w:val="center"/>
          </w:tcPr>
          <w:p>
            <w:pPr>
              <w:jc w:val="center"/>
              <w:rPr>
                <w:rFonts w:ascii="Arial" w:cs="Arial"/>
              </w:rPr>
            </w:pPr>
            <w:r>
              <w:rPr>
                <w:rFonts w:hint="eastAsia" w:ascii="Arial" w:cs="Arial"/>
              </w:rPr>
              <w:t>无</w:t>
            </w:r>
          </w:p>
        </w:tc>
      </w:tr>
    </w:tbl>
    <w:p>
      <w:pPr>
        <w:tabs>
          <w:tab w:val="left" w:pos="963"/>
        </w:tabs>
        <w:rPr>
          <w:rFonts w:ascii="Arial" w:cs="Arial"/>
        </w:rPr>
      </w:pPr>
    </w:p>
    <w:p>
      <w:pPr>
        <w:tabs>
          <w:tab w:val="left" w:pos="963"/>
        </w:tabs>
        <w:rPr>
          <w:rFonts w:ascii="Arial" w:cs="Arial"/>
        </w:rPr>
      </w:pPr>
      <w:r>
        <w:rPr>
          <w:rFonts w:ascii="Arial" w:cs="Arial"/>
        </w:rPr>
        <w:t>1.3</w:t>
      </w:r>
      <w:r>
        <w:rPr>
          <w:rFonts w:hint="eastAsia" w:ascii="Arial" w:cs="Arial"/>
        </w:rPr>
        <w:t>本工程施工现场所用混凝土或砂浆的供应方式为</w:t>
      </w:r>
      <w:r>
        <w:rPr>
          <w:rFonts w:ascii="Arial" w:cs="Arial"/>
          <w:u w:val="single"/>
        </w:rPr>
        <w:t xml:space="preserve"> </w:t>
      </w:r>
      <w:r>
        <w:rPr>
          <w:rFonts w:hint="eastAsia" w:ascii="Arial" w:cs="Arial"/>
          <w:u w:val="single"/>
        </w:rPr>
        <w:t>预拌混凝土和砂浆</w:t>
      </w:r>
      <w:r>
        <w:rPr>
          <w:rFonts w:hint="eastAsia" w:ascii="Arial" w:cs="Arial"/>
        </w:rPr>
        <w:t>。</w:t>
      </w:r>
    </w:p>
    <w:p>
      <w:pPr>
        <w:rPr>
          <w:rFonts w:ascii="Arial" w:cs="Arial"/>
        </w:rPr>
      </w:pPr>
    </w:p>
    <w:p>
      <w:pPr>
        <w:spacing w:line="360" w:lineRule="auto"/>
        <w:rPr>
          <w:rFonts w:cs="Arial"/>
          <w:b/>
          <w:szCs w:val="21"/>
        </w:rPr>
      </w:pPr>
      <w:bookmarkStart w:id="8" w:name="_Toc477964692"/>
      <w:bookmarkStart w:id="9" w:name="_Toc342296565"/>
      <w:bookmarkStart w:id="10" w:name="_Toc241459808"/>
      <w:r>
        <w:rPr>
          <w:rFonts w:cs="Arial"/>
          <w:b/>
          <w:szCs w:val="21"/>
        </w:rPr>
        <w:t>2.</w:t>
      </w:r>
      <w:r>
        <w:rPr>
          <w:rFonts w:hint="eastAsia" w:cs="Arial"/>
          <w:b/>
          <w:szCs w:val="21"/>
        </w:rPr>
        <w:t>特殊技术要求</w:t>
      </w:r>
      <w:bookmarkEnd w:id="8"/>
      <w:bookmarkEnd w:id="9"/>
      <w:bookmarkEnd w:id="10"/>
    </w:p>
    <w:p>
      <w:pPr>
        <w:rPr>
          <w:rFonts w:cs="Arial"/>
          <w:szCs w:val="21"/>
          <w:u w:val="single"/>
        </w:rPr>
      </w:pPr>
      <w:r>
        <w:rPr>
          <w:rFonts w:ascii="Arial" w:cs="Arial"/>
        </w:rPr>
        <w:t>2.1</w:t>
      </w:r>
      <w:r>
        <w:rPr>
          <w:rFonts w:hint="eastAsia" w:ascii="Arial" w:cs="Arial"/>
        </w:rPr>
        <w:t>除合同约定的技术要求外，本工程的特殊技术要求如下：</w:t>
      </w:r>
      <w:r>
        <w:rPr>
          <w:rFonts w:hint="eastAsia" w:cs="Arial"/>
          <w:szCs w:val="21"/>
          <w:u w:val="single"/>
        </w:rPr>
        <w:t>无</w:t>
      </w:r>
    </w:p>
    <w:p>
      <w:pPr>
        <w:spacing w:line="360" w:lineRule="auto"/>
        <w:rPr>
          <w:rFonts w:cs="Arial"/>
          <w:b/>
          <w:szCs w:val="21"/>
        </w:rPr>
      </w:pPr>
    </w:p>
    <w:p>
      <w:pPr>
        <w:spacing w:line="360" w:lineRule="auto"/>
        <w:rPr>
          <w:rFonts w:cs="Arial"/>
          <w:b/>
          <w:szCs w:val="21"/>
        </w:rPr>
      </w:pPr>
      <w:r>
        <w:rPr>
          <w:rFonts w:cs="Arial"/>
          <w:b/>
          <w:szCs w:val="21"/>
        </w:rPr>
        <w:t>3.</w:t>
      </w:r>
      <w:r>
        <w:rPr>
          <w:rFonts w:hint="eastAsia" w:cs="Arial"/>
          <w:b/>
          <w:szCs w:val="21"/>
        </w:rPr>
        <w:t>新技术、新工艺和新材料</w:t>
      </w:r>
    </w:p>
    <w:p>
      <w:pPr>
        <w:rPr>
          <w:rFonts w:cs="Arial"/>
          <w:szCs w:val="21"/>
        </w:rPr>
      </w:pPr>
    </w:p>
    <w:p>
      <w:pPr>
        <w:spacing w:afterLines="50" w:line="300" w:lineRule="auto"/>
        <w:rPr>
          <w:rFonts w:ascii="Arial" w:cs="Arial"/>
        </w:rPr>
      </w:pPr>
      <w:r>
        <w:rPr>
          <w:rFonts w:ascii="Arial" w:cs="Arial"/>
        </w:rPr>
        <w:t>3.1</w:t>
      </w:r>
      <w:r>
        <w:rPr>
          <w:rFonts w:hint="eastAsia" w:ascii="Arial" w:cs="Arial"/>
        </w:rPr>
        <w:t>本工程涉及的新技术、新工艺和新材料及相应使用和操作说明如下：</w:t>
      </w:r>
    </w:p>
    <w:p>
      <w:r>
        <w:rPr>
          <w:u w:val="single"/>
        </w:rPr>
        <w:t xml:space="preserve">           </w:t>
      </w:r>
      <w:r>
        <w:rPr>
          <w:rFonts w:hint="eastAsia"/>
          <w:u w:val="single"/>
        </w:rPr>
        <w:t>无</w:t>
      </w:r>
      <w:r>
        <w:rPr>
          <w:u w:val="single"/>
        </w:rPr>
        <w:t xml:space="preserve">                       </w:t>
      </w:r>
      <w:r>
        <w:rPr>
          <w:rFonts w:hint="eastAsia"/>
        </w:rPr>
        <w:t>。</w:t>
      </w:r>
    </w:p>
    <w:p/>
    <w:p>
      <w:pPr>
        <w:pStyle w:val="49"/>
        <w:numPr>
          <w:ilvl w:val="0"/>
          <w:numId w:val="0"/>
        </w:numPr>
        <w:outlineLvl w:val="0"/>
        <w:rPr>
          <w:rFonts w:ascii="黑体" w:eastAsia="黑体"/>
          <w:b/>
          <w:color w:val="000000"/>
          <w:sz w:val="21"/>
          <w:szCs w:val="21"/>
        </w:rPr>
      </w:pPr>
      <w:bookmarkStart w:id="11" w:name="_Toc362253033"/>
      <w:bookmarkStart w:id="12" w:name="_Toc241459810"/>
      <w:bookmarkStart w:id="13" w:name="_Toc342296567"/>
      <w:bookmarkStart w:id="14" w:name="_Toc403052928"/>
      <w:bookmarkStart w:id="15" w:name="_Toc522803303"/>
      <w:r>
        <w:rPr>
          <w:rFonts w:ascii="黑体" w:hAnsi="黑体"/>
          <w:b/>
          <w:color w:val="000000"/>
          <w:sz w:val="21"/>
          <w:szCs w:val="21"/>
        </w:rPr>
        <w:t xml:space="preserve">4. </w:t>
      </w:r>
      <w:r>
        <w:rPr>
          <w:rFonts w:hint="eastAsia" w:ascii="黑体" w:hAnsi="黑体"/>
          <w:b/>
          <w:color w:val="000000"/>
          <w:sz w:val="21"/>
          <w:szCs w:val="21"/>
        </w:rPr>
        <w:t>其他特殊技术标准和要求</w:t>
      </w:r>
      <w:bookmarkEnd w:id="11"/>
      <w:bookmarkEnd w:id="12"/>
      <w:bookmarkEnd w:id="13"/>
      <w:bookmarkEnd w:id="14"/>
      <w:r>
        <w:rPr>
          <w:rFonts w:hint="eastAsia" w:ascii="黑体" w:hAnsi="黑体"/>
          <w:b/>
          <w:color w:val="000000"/>
          <w:sz w:val="21"/>
          <w:szCs w:val="21"/>
        </w:rPr>
        <w:t>：</w:t>
      </w:r>
      <w:bookmarkEnd w:id="15"/>
    </w:p>
    <w:p/>
    <w:p>
      <w:r>
        <w:rPr>
          <w:u w:val="single"/>
        </w:rPr>
        <w:t xml:space="preserve">           </w:t>
      </w:r>
      <w:r>
        <w:rPr>
          <w:rFonts w:hint="eastAsia"/>
          <w:u w:val="single"/>
        </w:rPr>
        <w:t>无</w:t>
      </w:r>
      <w:r>
        <w:rPr>
          <w:u w:val="single"/>
        </w:rPr>
        <w:t xml:space="preserve">                       </w:t>
      </w:r>
      <w:r>
        <w:rPr>
          <w:rFonts w:hint="eastAsia"/>
        </w:rPr>
        <w:t>。</w:t>
      </w:r>
    </w:p>
    <w:p>
      <w:pPr>
        <w:rPr>
          <w:rFonts w:cs="Arial"/>
          <w:szCs w:val="21"/>
        </w:rPr>
      </w:pPr>
    </w:p>
    <w:p>
      <w:pPr>
        <w:rPr>
          <w:rFonts w:cs="Arial"/>
          <w:szCs w:val="21"/>
        </w:rPr>
      </w:pPr>
    </w:p>
    <w:p>
      <w:pPr>
        <w:rPr>
          <w:rFonts w:cs="Arial"/>
          <w:szCs w:val="21"/>
        </w:rPr>
      </w:pPr>
    </w:p>
    <w:p>
      <w:pPr>
        <w:rPr>
          <w:rFonts w:cs="Arial"/>
          <w:szCs w:val="21"/>
        </w:rPr>
      </w:pPr>
    </w:p>
    <w:p>
      <w:pPr>
        <w:rPr>
          <w:rFonts w:cs="Arial"/>
          <w:szCs w:val="21"/>
        </w:rPr>
      </w:pPr>
    </w:p>
    <w:p>
      <w:pPr>
        <w:rPr>
          <w:rFonts w:cs="Arial"/>
          <w:szCs w:val="21"/>
        </w:rPr>
      </w:pPr>
    </w:p>
    <w:p>
      <w:pPr>
        <w:rPr>
          <w:rFonts w:cs="Arial"/>
          <w:szCs w:val="21"/>
        </w:rPr>
      </w:pPr>
    </w:p>
    <w:p>
      <w:pPr>
        <w:rPr>
          <w:rFonts w:cs="Arial"/>
          <w:szCs w:val="21"/>
        </w:rPr>
      </w:pPr>
    </w:p>
    <w:p>
      <w:pPr>
        <w:rPr>
          <w:rFonts w:cs="Arial"/>
          <w:szCs w:val="21"/>
        </w:rPr>
      </w:pPr>
    </w:p>
    <w:p>
      <w:pPr>
        <w:rPr>
          <w:rFonts w:cs="Arial"/>
          <w:szCs w:val="21"/>
        </w:rPr>
      </w:pPr>
    </w:p>
    <w:p>
      <w:pPr>
        <w:rPr>
          <w:rFonts w:cs="Arial"/>
          <w:szCs w:val="21"/>
        </w:rPr>
      </w:pPr>
    </w:p>
    <w:p>
      <w:pPr>
        <w:rPr>
          <w:rFonts w:cs="Arial"/>
          <w:szCs w:val="21"/>
        </w:rPr>
      </w:pPr>
    </w:p>
    <w:p>
      <w:pPr>
        <w:rPr>
          <w:rFonts w:cs="Arial"/>
          <w:szCs w:val="21"/>
        </w:rPr>
      </w:pPr>
    </w:p>
    <w:p>
      <w:pPr>
        <w:rPr>
          <w:rFonts w:cs="Arial"/>
          <w:szCs w:val="21"/>
        </w:rPr>
      </w:pPr>
    </w:p>
    <w:p>
      <w:pPr>
        <w:rPr>
          <w:rFonts w:cs="Arial"/>
          <w:szCs w:val="21"/>
        </w:rPr>
      </w:pPr>
    </w:p>
    <w:p>
      <w:pPr>
        <w:pStyle w:val="3"/>
        <w:numPr>
          <w:ilvl w:val="0"/>
          <w:numId w:val="0"/>
        </w:numPr>
        <w:rPr>
          <w:rFonts w:ascii="黑体" w:eastAsia="黑体" w:cs="Arial"/>
          <w:bCs w:val="0"/>
          <w:sz w:val="24"/>
        </w:rPr>
      </w:pPr>
      <w:bookmarkStart w:id="16" w:name="_Toc477964695"/>
      <w:bookmarkStart w:id="17" w:name="_Toc342296568"/>
      <w:bookmarkStart w:id="18" w:name="_Toc241459811"/>
      <w:r>
        <w:rPr>
          <w:rFonts w:hint="eastAsia" w:ascii="黑体" w:hAnsi="黑体" w:cs="Arial"/>
          <w:bCs w:val="0"/>
          <w:sz w:val="24"/>
        </w:rPr>
        <w:t>第三节</w:t>
      </w:r>
      <w:r>
        <w:rPr>
          <w:rFonts w:ascii="黑体" w:hAnsi="黑体" w:cs="Arial"/>
          <w:bCs w:val="0"/>
          <w:sz w:val="24"/>
        </w:rPr>
        <w:t xml:space="preserve"> </w:t>
      </w:r>
      <w:r>
        <w:rPr>
          <w:rFonts w:hint="eastAsia" w:ascii="黑体" w:hAnsi="黑体" w:cs="Arial"/>
          <w:bCs w:val="0"/>
          <w:sz w:val="24"/>
        </w:rPr>
        <w:t>适用的国家、行业以及地方规范、标准和规程</w:t>
      </w:r>
      <w:bookmarkEnd w:id="16"/>
      <w:bookmarkEnd w:id="17"/>
      <w:bookmarkEnd w:id="18"/>
    </w:p>
    <w:p>
      <w:pPr>
        <w:spacing w:afterLines="50" w:line="300" w:lineRule="auto"/>
      </w:pPr>
    </w:p>
    <w:p>
      <w:pPr>
        <w:spacing w:afterLines="50" w:line="300" w:lineRule="auto"/>
        <w:rPr>
          <w:lang w:eastAsia="zh-CN"/>
        </w:rPr>
      </w:pPr>
      <w:r>
        <w:rPr>
          <w:rFonts w:hint="eastAsia" w:ascii="黑体" w:eastAsia="黑体"/>
        </w:rPr>
        <w:t>说明</w:t>
      </w:r>
      <w:r>
        <w:rPr>
          <w:rFonts w:hint="eastAsia"/>
        </w:rPr>
        <w:t>：本节内容只需列出规范、标准、规程等的名称、编号等内容。本节由谈判人根据国家、行业和地方现行标准、规范和规程等，以及项目具体情况摘录。</w:t>
      </w:r>
    </w:p>
    <w:p>
      <w:pPr>
        <w:spacing w:afterLines="50" w:line="300" w:lineRule="auto"/>
        <w:rPr>
          <w:b/>
          <w:lang w:eastAsia="zh-CN"/>
        </w:rPr>
      </w:pPr>
      <w:r>
        <w:rPr>
          <w:rFonts w:hint="eastAsia"/>
          <w:b/>
        </w:rPr>
        <w:t>按照国家和北京市建设工程质量验收标准执行。</w:t>
      </w:r>
    </w:p>
    <w:p>
      <w:pPr>
        <w:spacing w:afterLines="50" w:line="300" w:lineRule="auto"/>
        <w:ind w:firstLine="440" w:firstLineChars="200"/>
        <w:rPr>
          <w:u w:val="single"/>
        </w:rPr>
      </w:pPr>
      <w:r>
        <w:rPr>
          <w:rFonts w:hint="eastAsia"/>
          <w:u w:val="single"/>
        </w:rPr>
        <w:t>承包人应自行收集或购买现行的相关规范、规程、标准及相关规定等，并承担相应的费用，构成合同文件的任何内容与国家现行规范、规程和标准之间出现矛盾，承包人应书面要求发包人予以澄清，除非发包人有特别指令，承包人应按照其中要求最严格的标准执行。材料、施工工艺和本工程都应依照本技术标准和要求以及国家现行规范、规程和标准的最新版本执行。所有室内外建筑材料装修材料，均符合国家环境检测标准同时材料需经环保部门认可及专业环境污染检测机构检测合格，否则所有材料均不得使用。</w:t>
      </w:r>
    </w:p>
    <w:p>
      <w:r>
        <w:br w:type="page"/>
      </w:r>
    </w:p>
    <w:p>
      <w:pPr>
        <w:jc w:val="center"/>
        <w:rPr>
          <w:b/>
          <w:bCs/>
          <w:kern w:val="44"/>
          <w:sz w:val="28"/>
          <w:szCs w:val="20"/>
          <w:lang w:val="en-US" w:eastAsia="zh-CN"/>
        </w:rPr>
      </w:pPr>
      <w:r>
        <w:rPr>
          <w:rFonts w:hint="eastAsia"/>
          <w:b/>
          <w:bCs/>
          <w:kern w:val="44"/>
          <w:sz w:val="28"/>
          <w:szCs w:val="20"/>
        </w:rPr>
        <w:t>第</w:t>
      </w:r>
      <w:r>
        <w:rPr>
          <w:rFonts w:hint="eastAsia"/>
          <w:b/>
          <w:bCs/>
          <w:kern w:val="44"/>
          <w:sz w:val="28"/>
          <w:szCs w:val="20"/>
          <w:lang w:val="en-US" w:eastAsia="zh-CN"/>
        </w:rPr>
        <w:t>六</w:t>
      </w:r>
      <w:r>
        <w:rPr>
          <w:rFonts w:hint="eastAsia"/>
          <w:b/>
          <w:bCs/>
          <w:kern w:val="44"/>
          <w:sz w:val="28"/>
          <w:szCs w:val="20"/>
        </w:rPr>
        <w:t>部分</w:t>
      </w:r>
      <w:r>
        <w:rPr>
          <w:b/>
          <w:bCs/>
          <w:kern w:val="44"/>
          <w:sz w:val="28"/>
          <w:szCs w:val="20"/>
          <w:lang w:val="en-US" w:eastAsia="zh-CN"/>
        </w:rPr>
        <w:t xml:space="preserve"> </w:t>
      </w:r>
      <w:r>
        <w:rPr>
          <w:rFonts w:hint="eastAsia"/>
          <w:b/>
          <w:bCs/>
          <w:kern w:val="44"/>
          <w:sz w:val="28"/>
          <w:szCs w:val="20"/>
          <w:lang w:val="en-US" w:eastAsia="zh-CN"/>
        </w:rPr>
        <w:t>合同部分</w:t>
      </w:r>
    </w:p>
    <w:p>
      <w:pPr>
        <w:jc w:val="center"/>
      </w:pPr>
      <w:r>
        <w:rPr>
          <w:b/>
          <w:bCs/>
          <w:kern w:val="44"/>
          <w:sz w:val="28"/>
          <w:szCs w:val="20"/>
          <w:lang w:val="en-US" w:eastAsia="zh-CN"/>
        </w:rPr>
        <w:br w:type="page"/>
      </w:r>
      <w:r>
        <w:rPr>
          <w:rFonts w:hint="eastAsia"/>
          <w:sz w:val="28"/>
          <w:szCs w:val="28"/>
        </w:rPr>
        <w:t>通用合同条款</w:t>
      </w:r>
    </w:p>
    <w:p/>
    <w:p/>
    <w:p>
      <w:r>
        <w:rPr>
          <w:rFonts w:hint="eastAsia"/>
        </w:rPr>
        <w:t>协议书、通用合同条款、专用合同条款中的下列词语应具有本款所赋予的含义：</w:t>
      </w:r>
    </w:p>
    <w:p/>
    <w:p>
      <w:r>
        <w:t>1.1</w:t>
      </w:r>
      <w:r>
        <w:rPr>
          <w:rFonts w:hint="eastAsia"/>
        </w:rPr>
        <w:t>合同文件（合同）：构成本合同的所有文件，即协议书中约定的组成本合同的所有文件。</w:t>
      </w:r>
    </w:p>
    <w:p/>
    <w:p>
      <w:r>
        <w:t>1.2</w:t>
      </w:r>
      <w:r>
        <w:rPr>
          <w:rFonts w:hint="eastAsia"/>
        </w:rPr>
        <w:t>协议书：是由发包人和承包人共同签署的用于明确当事人合同关系的文件。</w:t>
      </w:r>
    </w:p>
    <w:p/>
    <w:p>
      <w:r>
        <w:t>1.3</w:t>
      </w:r>
      <w:r>
        <w:rPr>
          <w:rFonts w:hint="eastAsia"/>
        </w:rPr>
        <w:t>技术标准和要求：指构成合同文件组成部分的名为技术标准和要求的文件，以及双方当事人约定对其所作的修改或补充。</w:t>
      </w:r>
    </w:p>
    <w:p>
      <w:r>
        <w:t>1.4</w:t>
      </w:r>
      <w:r>
        <w:rPr>
          <w:rFonts w:hint="eastAsia"/>
        </w:rPr>
        <w:t>图纸：指包含在合同中的工程图纸，以及由发包人按合同约定提供的任何补充和修改的图纸，包括配套的说明。</w:t>
      </w:r>
    </w:p>
    <w:p>
      <w:r>
        <w:t>1.5</w:t>
      </w:r>
      <w:r>
        <w:rPr>
          <w:rFonts w:hint="eastAsia"/>
        </w:rPr>
        <w:t>发包人：指协议书中指明并与承包人签订协议书的当事人，以及取得该当事人资格的合法继承人。</w:t>
      </w:r>
    </w:p>
    <w:p>
      <w:r>
        <w:t>1.6</w:t>
      </w:r>
      <w:r>
        <w:rPr>
          <w:rFonts w:hint="eastAsia"/>
        </w:rPr>
        <w:t>发包人代表：指由发包人指定的在其授权范围内履行本合同的代表。</w:t>
      </w:r>
    </w:p>
    <w:p/>
    <w:p>
      <w:r>
        <w:t>1.7</w:t>
      </w:r>
      <w:r>
        <w:rPr>
          <w:rFonts w:hint="eastAsia"/>
        </w:rPr>
        <w:t>承包人：指协议书中指明并与发包人签订协议书的当事人，以及取得该当事人资格的合法继承人。</w:t>
      </w:r>
    </w:p>
    <w:p>
      <w:r>
        <w:t>1.8</w:t>
      </w:r>
      <w:r>
        <w:rPr>
          <w:rFonts w:hint="eastAsia"/>
        </w:rPr>
        <w:t>项目经理：指由承包人指定的负责施工管理和履行合同的代表。</w:t>
      </w:r>
    </w:p>
    <w:p/>
    <w:p>
      <w:r>
        <w:t>1.9</w:t>
      </w:r>
      <w:r>
        <w:rPr>
          <w:rFonts w:hint="eastAsia"/>
        </w:rPr>
        <w:t>监理人：指受发包人委托对合同履行实施管理的法人或其他组织。</w:t>
      </w:r>
    </w:p>
    <w:p/>
    <w:p>
      <w:r>
        <w:t>1.10</w:t>
      </w:r>
      <w:r>
        <w:rPr>
          <w:rFonts w:hint="eastAsia"/>
        </w:rPr>
        <w:t>总监理工程师：指监理人指定的进行工程监理的总负责人。</w:t>
      </w:r>
    </w:p>
    <w:p/>
    <w:p>
      <w:r>
        <w:t>1.11</w:t>
      </w:r>
      <w:r>
        <w:rPr>
          <w:rFonts w:hint="eastAsia"/>
        </w:rPr>
        <w:t>工程：是指永久工程和（或）临时工程。</w:t>
      </w:r>
    </w:p>
    <w:p/>
    <w:p>
      <w:r>
        <w:t>1.12</w:t>
      </w:r>
      <w:r>
        <w:rPr>
          <w:rFonts w:hint="eastAsia"/>
        </w:rPr>
        <w:t>永久工程：指按合同约定建造并移交给发包人的工程，包括工程设备。</w:t>
      </w:r>
    </w:p>
    <w:p/>
    <w:p>
      <w:r>
        <w:t>1.13</w:t>
      </w:r>
      <w:r>
        <w:rPr>
          <w:rFonts w:hint="eastAsia"/>
        </w:rPr>
        <w:t>临时工程：指为完成合同约定的永久工程所修建的各类临时性工程，不包括施工设备。</w:t>
      </w:r>
    </w:p>
    <w:p/>
    <w:p>
      <w:r>
        <w:t>1.14</w:t>
      </w:r>
      <w:r>
        <w:rPr>
          <w:rFonts w:hint="eastAsia"/>
        </w:rPr>
        <w:t>施工场地：指用于本合同工程施工的场所，以及在合同中指定作为施工场地组成部分的其他场所。</w:t>
      </w:r>
    </w:p>
    <w:p>
      <w:r>
        <w:t>1.15</w:t>
      </w:r>
      <w:r>
        <w:rPr>
          <w:rFonts w:hint="eastAsia"/>
        </w:rPr>
        <w:t>开工日期：指监理人按第</w:t>
      </w:r>
      <w:r>
        <w:t xml:space="preserve"> 10.3.1 </w:t>
      </w:r>
      <w:r>
        <w:rPr>
          <w:rFonts w:hint="eastAsia"/>
        </w:rPr>
        <w:t>项发出的开工通知写明的开工日期。</w:t>
      </w:r>
    </w:p>
    <w:p/>
    <w:p>
      <w:r>
        <w:t>1.16</w:t>
      </w:r>
      <w:r>
        <w:rPr>
          <w:rFonts w:hint="eastAsia"/>
        </w:rPr>
        <w:t>工期：是指在协议书约定的承包人完成工程所需的期限，包括按合同约定所作的期限变更。</w:t>
      </w:r>
    </w:p>
    <w:p/>
    <w:p>
      <w:r>
        <w:t>1.17</w:t>
      </w:r>
      <w:r>
        <w:rPr>
          <w:rFonts w:hint="eastAsia"/>
        </w:rPr>
        <w:t>竣工日期：指第</w:t>
      </w:r>
      <w:r>
        <w:t xml:space="preserve"> 1.16 </w:t>
      </w:r>
      <w:r>
        <w:rPr>
          <w:rFonts w:hint="eastAsia"/>
        </w:rPr>
        <w:t>款约定工程届满的日期。实际竣工日期按第</w:t>
      </w:r>
      <w:r>
        <w:t xml:space="preserve"> 19.3 </w:t>
      </w:r>
      <w:r>
        <w:rPr>
          <w:rFonts w:hint="eastAsia"/>
        </w:rPr>
        <w:t>款的约定确定。</w:t>
      </w:r>
    </w:p>
    <w:p/>
    <w:p>
      <w:r>
        <w:t>1.18</w:t>
      </w:r>
      <w:r>
        <w:rPr>
          <w:rFonts w:hint="eastAsia"/>
        </w:rPr>
        <w:t>缺陷责任期：指履行第</w:t>
      </w:r>
      <w:r>
        <w:t xml:space="preserve"> 23.2 </w:t>
      </w:r>
      <w:r>
        <w:rPr>
          <w:rFonts w:hint="eastAsia"/>
        </w:rPr>
        <w:t>款约定的缺陷责任的期限。</w:t>
      </w:r>
    </w:p>
    <w:p/>
    <w:p>
      <w:r>
        <w:t>1.19</w:t>
      </w:r>
      <w:r>
        <w:rPr>
          <w:rFonts w:hint="eastAsia"/>
        </w:rPr>
        <w:t>保修期：是根据现行有关法律规定，在第</w:t>
      </w:r>
      <w:r>
        <w:t xml:space="preserve"> 23.2 </w:t>
      </w:r>
      <w:r>
        <w:rPr>
          <w:rFonts w:hint="eastAsia"/>
        </w:rPr>
        <w:t>款中约定的由承包人负责对合同约定的保修范围内发生的质量问题履行保修义务并对造成的损失承担赔偿责任的期限。</w:t>
      </w:r>
    </w:p>
    <w:p>
      <w:r>
        <w:t>1.20</w:t>
      </w:r>
      <w:r>
        <w:rPr>
          <w:rFonts w:hint="eastAsia"/>
        </w:rPr>
        <w:t>天：除特别指明外，指日历天。合同中按天计算时间的，开始当天不计入，从次日开始计</w:t>
      </w:r>
    </w:p>
    <w:p/>
    <w:p>
      <w:r>
        <w:rPr>
          <w:rFonts w:hint="eastAsia"/>
        </w:rPr>
        <w:t>算。期限最后一天的截止时间为当天</w:t>
      </w:r>
      <w:r>
        <w:t xml:space="preserve"> 24:00</w:t>
      </w:r>
      <w:r>
        <w:rPr>
          <w:rFonts w:hint="eastAsia"/>
        </w:rPr>
        <w:t>。</w:t>
      </w:r>
    </w:p>
    <w:p/>
    <w:p>
      <w:r>
        <w:t>1.21</w:t>
      </w:r>
      <w:r>
        <w:rPr>
          <w:rFonts w:hint="eastAsia"/>
        </w:rPr>
        <w:t>签约合同价：指签订合同时协议书中写明的合同总金额。</w:t>
      </w:r>
    </w:p>
    <w:p/>
    <w:p>
      <w:r>
        <w:t>1.22</w:t>
      </w:r>
      <w:r>
        <w:rPr>
          <w:rFonts w:hint="eastAsia"/>
        </w:rPr>
        <w:t>合同价格：指承包人按合同约定完成了包括缺陷责任期内的全部承包工作后，发包人应付给承包人的金额，包括在履行本合同过程中按合同约定进行的变更和调整。</w:t>
      </w:r>
    </w:p>
    <w:p>
      <w:r>
        <w:t>1.23</w:t>
      </w:r>
      <w:r>
        <w:rPr>
          <w:rFonts w:hint="eastAsia"/>
        </w:rPr>
        <w:t>质量保证金：指按第</w:t>
      </w:r>
      <w:r>
        <w:t xml:space="preserve"> 22.1 </w:t>
      </w:r>
      <w:r>
        <w:rPr>
          <w:rFonts w:hint="eastAsia"/>
        </w:rPr>
        <w:t>款约定用于保证缺陷责任期内履行缺陷修复义务的金额。</w:t>
      </w:r>
    </w:p>
    <w:p/>
    <w:p>
      <w:r>
        <w:t>1.24</w:t>
      </w:r>
      <w:r>
        <w:rPr>
          <w:rFonts w:hint="eastAsia"/>
        </w:rPr>
        <w:t>书面形式：指合同文件、信函、电报、传真、电子数据交换和电子邮件等可有形地表现所载内容的形式。</w:t>
      </w:r>
    </w:p>
    <w:p>
      <w:r>
        <w:t>2.</w:t>
      </w:r>
      <w:r>
        <w:rPr>
          <w:rFonts w:hint="eastAsia"/>
        </w:rPr>
        <w:t>语言文字</w:t>
      </w:r>
    </w:p>
    <w:p>
      <w:r>
        <w:rPr>
          <w:rFonts w:hint="eastAsia"/>
        </w:rPr>
        <w:t>除专用术语外，本合同使用的语言文字为中文。必要时专用术语应附有中文注释。</w:t>
      </w:r>
    </w:p>
    <w:p/>
    <w:p>
      <w:r>
        <w:t>3.</w:t>
      </w:r>
      <w:r>
        <w:rPr>
          <w:rFonts w:hint="eastAsia"/>
        </w:rPr>
        <w:t>适用法律</w:t>
      </w:r>
    </w:p>
    <w:p>
      <w:r>
        <w:rPr>
          <w:rFonts w:hint="eastAsia"/>
        </w:rPr>
        <w:t>本合同适用国家法律、行政法规及北京市地方法规。除合同另有约定外，国家及北京市建设行政主管部门和其他有关主管部门制定的规章和规范性文件也适用于本合同。</w:t>
      </w:r>
    </w:p>
    <w:p>
      <w:r>
        <w:t>4.</w:t>
      </w:r>
      <w:r>
        <w:rPr>
          <w:rFonts w:hint="eastAsia"/>
        </w:rPr>
        <w:t>标准和规范</w:t>
      </w:r>
    </w:p>
    <w:p>
      <w:r>
        <w:t>4.1</w:t>
      </w:r>
      <w:r>
        <w:rPr>
          <w:rFonts w:hint="eastAsia"/>
        </w:rPr>
        <w:t>本工程适用现行国家、行业和北京市规范、标准和规程。</w:t>
      </w:r>
    </w:p>
    <w:p/>
    <w:p>
      <w:r>
        <w:t>4.2</w:t>
      </w:r>
      <w:r>
        <w:rPr>
          <w:rFonts w:hint="eastAsia"/>
        </w:rPr>
        <w:t>构成合同文件的任何内容与国家、行业和北京市现行规范、规程和标准出现矛盾，承包人应书面要求发包人予以澄清，除非发包人有特别指令，承包人应按其中要求最严格的标准执行。</w:t>
      </w:r>
    </w:p>
    <w:p>
      <w:r>
        <w:t>4.3</w:t>
      </w:r>
      <w:r>
        <w:rPr>
          <w:rFonts w:hint="eastAsia"/>
        </w:rPr>
        <w:t>除合同另有约定外，材料、施工工艺和本工程应按技术标准和要求以及国家、行业和北京市现行规范、标准和规程最新版本执行。</w:t>
      </w:r>
    </w:p>
    <w:p>
      <w:r>
        <w:t>5.</w:t>
      </w:r>
      <w:r>
        <w:rPr>
          <w:rFonts w:hint="eastAsia"/>
        </w:rPr>
        <w:t>合同文件及解释顺序</w:t>
      </w:r>
    </w:p>
    <w:p>
      <w:r>
        <w:rPr>
          <w:rFonts w:hint="eastAsia"/>
        </w:rPr>
        <w:t>组成合同的各项文件应互相解释，互为说明。除专用合同条款另有约定外，合同文件的组成及优先解释顺序如下：</w:t>
      </w:r>
    </w:p>
    <w:p>
      <w:r>
        <w:rPr>
          <w:rFonts w:hint="eastAsia"/>
        </w:rPr>
        <w:t>（</w:t>
      </w:r>
      <w:r>
        <w:t>1</w:t>
      </w:r>
      <w:r>
        <w:rPr>
          <w:rFonts w:hint="eastAsia"/>
        </w:rPr>
        <w:t>）合同协议书；</w:t>
      </w:r>
    </w:p>
    <w:p/>
    <w:p>
      <w:r>
        <w:rPr>
          <w:rFonts w:hint="eastAsia"/>
        </w:rPr>
        <w:t>（</w:t>
      </w:r>
      <w:r>
        <w:t>2</w:t>
      </w:r>
      <w:r>
        <w:rPr>
          <w:rFonts w:hint="eastAsia"/>
        </w:rPr>
        <w:t>）专用合同条款；</w:t>
      </w:r>
    </w:p>
    <w:p/>
    <w:p>
      <w:r>
        <w:rPr>
          <w:rFonts w:hint="eastAsia"/>
        </w:rPr>
        <w:t>（</w:t>
      </w:r>
      <w:r>
        <w:t>3</w:t>
      </w:r>
      <w:r>
        <w:rPr>
          <w:rFonts w:hint="eastAsia"/>
        </w:rPr>
        <w:t>）通用合同条款；</w:t>
      </w:r>
    </w:p>
    <w:p/>
    <w:p>
      <w:r>
        <w:rPr>
          <w:rFonts w:hint="eastAsia"/>
        </w:rPr>
        <w:t>（</w:t>
      </w:r>
      <w:r>
        <w:t>4</w:t>
      </w:r>
      <w:r>
        <w:rPr>
          <w:rFonts w:hint="eastAsia"/>
        </w:rPr>
        <w:t>）工程预算书或已标价的工程量清单；</w:t>
      </w:r>
    </w:p>
    <w:p/>
    <w:p>
      <w:r>
        <w:rPr>
          <w:rFonts w:hint="eastAsia"/>
        </w:rPr>
        <w:t>（</w:t>
      </w:r>
      <w:r>
        <w:t>5</w:t>
      </w:r>
      <w:r>
        <w:rPr>
          <w:rFonts w:hint="eastAsia"/>
        </w:rPr>
        <w:t>）技术标准和要求；</w:t>
      </w:r>
    </w:p>
    <w:p/>
    <w:p>
      <w:r>
        <w:rPr>
          <w:rFonts w:hint="eastAsia"/>
        </w:rPr>
        <w:t>（</w:t>
      </w:r>
      <w:r>
        <w:t>6</w:t>
      </w:r>
      <w:r>
        <w:rPr>
          <w:rFonts w:hint="eastAsia"/>
        </w:rPr>
        <w:t>）合同图纸。</w:t>
      </w:r>
    </w:p>
    <w:p/>
    <w:p>
      <w:r>
        <w:rPr>
          <w:rFonts w:hint="eastAsia"/>
        </w:rPr>
        <w:t>图纸与技术标准和要求之间有矛盾或者不一致的，以其中要求较严格的标准为准。</w:t>
      </w:r>
    </w:p>
    <w:p/>
    <w:p>
      <w:r>
        <w:rPr>
          <w:rFonts w:hint="eastAsia"/>
        </w:rPr>
        <w:t>双方当事人在合同履行过程中签订的补充协议亦构成合同文件的组成部分，其解释顺序视其</w:t>
      </w:r>
    </w:p>
    <w:p/>
    <w:p>
      <w:r>
        <w:rPr>
          <w:rFonts w:hint="eastAsia"/>
        </w:rPr>
        <w:t>内容与其他合同文件的相互关系而定。</w:t>
      </w:r>
    </w:p>
    <w:p/>
    <w:p>
      <w:r>
        <w:t>6.</w:t>
      </w:r>
      <w:r>
        <w:rPr>
          <w:rFonts w:hint="eastAsia"/>
        </w:rPr>
        <w:t>图纸和承包人文件</w:t>
      </w:r>
    </w:p>
    <w:p>
      <w:r>
        <w:t>6.1</w:t>
      </w:r>
      <w:r>
        <w:rPr>
          <w:rFonts w:hint="eastAsia"/>
        </w:rPr>
        <w:t>发包人应按专用合同条款约定的日期和数量向承包人提供图纸。发包人提供的图纸数量无法满足施工需要时，经发包人允许承包人可自费购买或复制。关于图纸的其他约定见专用合同条款。</w:t>
      </w:r>
    </w:p>
    <w:p>
      <w:r>
        <w:t>6.2</w:t>
      </w:r>
      <w:r>
        <w:rPr>
          <w:rFonts w:hint="eastAsia"/>
        </w:rPr>
        <w:t>按专用合同条款约定由承包人提供的文件，承包人应按约定的数量和期限报送监理人。监理人应在专用合同条款约定的期限内批复。</w:t>
      </w:r>
    </w:p>
    <w:p>
      <w:r>
        <w:t>7.</w:t>
      </w:r>
      <w:r>
        <w:rPr>
          <w:rFonts w:hint="eastAsia"/>
        </w:rPr>
        <w:t>发包人</w:t>
      </w:r>
    </w:p>
    <w:p>
      <w:r>
        <w:t>7.1</w:t>
      </w:r>
      <w:r>
        <w:rPr>
          <w:rFonts w:hint="eastAsia"/>
        </w:rPr>
        <w:t>发包人应按合同约定全面履行合同义务，并承担相应的责任。其义务包括：</w:t>
      </w:r>
    </w:p>
    <w:p/>
    <w:p>
      <w:r>
        <w:t>7.1.1</w:t>
      </w:r>
      <w:r>
        <w:rPr>
          <w:rFonts w:hint="eastAsia"/>
        </w:rPr>
        <w:t>发包人在履行合同过程中应遵守适用的法律、法规、规章和规范性文件，并保证承包人免于承担因发包人违反法律、法规、规章和规范性文件而引起的任何责任。</w:t>
      </w:r>
    </w:p>
    <w:p>
      <w:r>
        <w:t>7.1.2</w:t>
      </w:r>
      <w:r>
        <w:rPr>
          <w:rFonts w:hint="eastAsia"/>
        </w:rPr>
        <w:t>发包人应确保与本工程相关的任何必要的批准、许可、核准、报备等手续及时得到办理。</w:t>
      </w:r>
    </w:p>
    <w:p>
      <w:r>
        <w:t>7.1.3</w:t>
      </w:r>
      <w:r>
        <w:rPr>
          <w:rFonts w:hint="eastAsia"/>
        </w:rPr>
        <w:t>发包人应按合同约定向承包人提供图纸，并根据合同进度计划组织设计单位向承包人进行设计交底。</w:t>
      </w:r>
    </w:p>
    <w:p>
      <w:r>
        <w:t>7.1.4</w:t>
      </w:r>
      <w:r>
        <w:rPr>
          <w:rFonts w:hint="eastAsia"/>
        </w:rPr>
        <w:t>现场的准备和移交。</w:t>
      </w:r>
    </w:p>
    <w:p/>
    <w:p>
      <w:r>
        <w:rPr>
          <w:rFonts w:hint="eastAsia"/>
        </w:rPr>
        <w:t>（</w:t>
      </w:r>
      <w:r>
        <w:t>1</w:t>
      </w:r>
      <w:r>
        <w:rPr>
          <w:rFonts w:hint="eastAsia"/>
        </w:rPr>
        <w:t>）发包人应在专用合同条款约定的期限内向承包人提供与工程有关的施工场地，以及与</w:t>
      </w:r>
      <w:r>
        <w:t xml:space="preserve"> </w:t>
      </w:r>
      <w:r>
        <w:rPr>
          <w:rFonts w:hint="eastAsia"/>
        </w:rPr>
        <w:t>工程施工相关的现场资料。</w:t>
      </w:r>
    </w:p>
    <w:p>
      <w:r>
        <w:rPr>
          <w:rFonts w:hint="eastAsia"/>
        </w:rPr>
        <w:t>（</w:t>
      </w:r>
      <w:r>
        <w:t>2</w:t>
      </w:r>
      <w:r>
        <w:rPr>
          <w:rFonts w:hint="eastAsia"/>
        </w:rPr>
        <w:t>）发包人在向承包人移交现场前应完成现场准备工作。</w:t>
      </w:r>
    </w:p>
    <w:p/>
    <w:p>
      <w:r>
        <w:rPr>
          <w:rFonts w:hint="eastAsia"/>
        </w:rPr>
        <w:t>（</w:t>
      </w:r>
      <w:r>
        <w:t>3</w:t>
      </w:r>
      <w:r>
        <w:rPr>
          <w:rFonts w:hint="eastAsia"/>
        </w:rPr>
        <w:t>）发包人应向承包人移交的现场条件见专用合同条款。</w:t>
      </w:r>
    </w:p>
    <w:p/>
    <w:p>
      <w:r>
        <w:rPr>
          <w:rFonts w:hint="eastAsia"/>
        </w:rPr>
        <w:t>（</w:t>
      </w:r>
      <w:r>
        <w:t>4</w:t>
      </w:r>
      <w:r>
        <w:rPr>
          <w:rFonts w:hint="eastAsia"/>
        </w:rPr>
        <w:t>）发包人应承担与现场准备有关的上述工作的一切费用。</w:t>
      </w:r>
    </w:p>
    <w:p/>
    <w:p>
      <w:r>
        <w:t>7.1.5</w:t>
      </w:r>
      <w:r>
        <w:rPr>
          <w:rFonts w:hint="eastAsia"/>
        </w:rPr>
        <w:t>发包人应委托监理人按第</w:t>
      </w:r>
      <w:r>
        <w:t xml:space="preserve"> 10.3.1 </w:t>
      </w:r>
      <w:r>
        <w:rPr>
          <w:rFonts w:hint="eastAsia"/>
        </w:rPr>
        <w:t>项的约定向承包人发出开工通知。</w:t>
      </w:r>
    </w:p>
    <w:p/>
    <w:p>
      <w:r>
        <w:t>7.1.6</w:t>
      </w:r>
      <w:r>
        <w:rPr>
          <w:rFonts w:hint="eastAsia"/>
        </w:rPr>
        <w:t>发包人应按合同约定履行付款义务。</w:t>
      </w:r>
    </w:p>
    <w:p/>
    <w:p>
      <w:r>
        <w:t>7.1.7</w:t>
      </w:r>
      <w:r>
        <w:rPr>
          <w:rFonts w:hint="eastAsia"/>
        </w:rPr>
        <w:t>发包人应按关于大气污染和绿色施工的相关管理要求，落实本单位施工扬尘治理责任，确保用于开展绿色施工的费用支出，督促承包人严格落实施工扬尘治理各项措施。</w:t>
      </w:r>
    </w:p>
    <w:p>
      <w:r>
        <w:t>7.1.8</w:t>
      </w:r>
      <w:r>
        <w:rPr>
          <w:rFonts w:hint="eastAsia"/>
        </w:rPr>
        <w:t>发包人应按合同约定及时组织竣工验收。</w:t>
      </w:r>
    </w:p>
    <w:p/>
    <w:p>
      <w:r>
        <w:t>7.1.9</w:t>
      </w:r>
      <w:r>
        <w:rPr>
          <w:rFonts w:hint="eastAsia"/>
        </w:rPr>
        <w:t>发包人应履行的其他义务见专用合同条款。</w:t>
      </w:r>
    </w:p>
    <w:p/>
    <w:p>
      <w:r>
        <w:t>7.2</w:t>
      </w:r>
      <w:r>
        <w:rPr>
          <w:rFonts w:hint="eastAsia"/>
        </w:rPr>
        <w:t>发包人代表</w:t>
      </w:r>
    </w:p>
    <w:p/>
    <w:p>
      <w:r>
        <w:rPr>
          <w:rFonts w:hint="eastAsia"/>
        </w:rPr>
        <w:t>发包人派驻施工现场的发包人代表的姓名、职务、联系方式及授权范围等事项在专用合同条款中明确。发包人更换发包人代表的，应提前</w:t>
      </w:r>
      <w:r>
        <w:t xml:space="preserve"> 7 </w:t>
      </w:r>
      <w:r>
        <w:rPr>
          <w:rFonts w:hint="eastAsia"/>
        </w:rPr>
        <w:t>天书面通知承包人。</w:t>
      </w:r>
    </w:p>
    <w:p/>
    <w:p>
      <w:r>
        <w:t>7.3</w:t>
      </w:r>
      <w:r>
        <w:rPr>
          <w:rFonts w:hint="eastAsia"/>
        </w:rPr>
        <w:t>如发包人未委托监理人对本工程进行监理，则本合同中约定的监理人的责任义务由发包人承担，总监理工程师的工作由发包人代表完成。</w:t>
      </w:r>
    </w:p>
    <w:p>
      <w:r>
        <w:t>8.</w:t>
      </w:r>
      <w:r>
        <w:rPr>
          <w:rFonts w:hint="eastAsia"/>
        </w:rPr>
        <w:t>监理人</w:t>
      </w:r>
    </w:p>
    <w:p>
      <w:r>
        <w:t>8.1</w:t>
      </w:r>
      <w:r>
        <w:rPr>
          <w:rFonts w:hint="eastAsia"/>
        </w:rPr>
        <w:t>在专用合同条款中指明的监理人受发包人委托，享有合同约定的职权。在委托范围内，监理人在行使某项职权前需经发包人事先批准而通用合同条款没有指明的，应在专用合同条款中指明。监理人所发出的指示应视为已得到发包人的批准。合同约定应由承包人承担的责任义务，不得因监理人的指示等行为而减轻或解除。</w:t>
      </w:r>
    </w:p>
    <w:p>
      <w:r>
        <w:t>8.2</w:t>
      </w:r>
      <w:r>
        <w:rPr>
          <w:rFonts w:hint="eastAsia"/>
        </w:rPr>
        <w:t>发包人应在委托监理人发出开工通知前将总监理工程师的任命通知承包人。总监理工程师可授权其他监理人员负责执行其指派的监理工作。总监理工程师应将被授权监理人员的姓名及授权范围通知承包人。</w:t>
      </w:r>
    </w:p>
    <w:p>
      <w:r>
        <w:t>8.3</w:t>
      </w:r>
      <w:r>
        <w:rPr>
          <w:rFonts w:hint="eastAsia"/>
        </w:rPr>
        <w:t>承包人收到监理人做出的指示后应遵照执行。由于监理人未能按合同约定发出指示、指示延误或指示错误而导致承包人费用增加和（或）工期延误的，由发包人承担赔偿责任。</w:t>
      </w:r>
    </w:p>
    <w:p>
      <w:r>
        <w:t>9.</w:t>
      </w:r>
      <w:r>
        <w:rPr>
          <w:rFonts w:hint="eastAsia"/>
        </w:rPr>
        <w:t>承包人</w:t>
      </w:r>
    </w:p>
    <w:p>
      <w:r>
        <w:t>9.1</w:t>
      </w:r>
      <w:r>
        <w:rPr>
          <w:rFonts w:hint="eastAsia"/>
        </w:rPr>
        <w:t>承包人应按合同约定全面履行合同义务，并承担相应责任。其义务包括：</w:t>
      </w:r>
    </w:p>
    <w:p/>
    <w:p>
      <w:r>
        <w:t>9.1.1</w:t>
      </w:r>
      <w:r>
        <w:rPr>
          <w:rFonts w:hint="eastAsia"/>
        </w:rPr>
        <w:t>承包人在履行合同过程中应遵守适用的法律、法规、规章和规范性文件，并保证发包人免于承担因承包人违反法律、法规、规章和规范性文件而引起的任何责任。</w:t>
      </w:r>
    </w:p>
    <w:p>
      <w:r>
        <w:t>9.1.2</w:t>
      </w:r>
      <w:r>
        <w:rPr>
          <w:rFonts w:hint="eastAsia"/>
        </w:rPr>
        <w:t>承包人应严格按合同约定实施、完成本工程，并修补工程中的任何缺陷。</w:t>
      </w:r>
    </w:p>
    <w:p/>
    <w:p>
      <w:r>
        <w:t>9.1.3</w:t>
      </w:r>
      <w:r>
        <w:rPr>
          <w:rFonts w:hint="eastAsia"/>
        </w:rPr>
        <w:t>承包人应为完成本工程设置现场组织机构，并委派具备相应岗位资格的管理人员。除非获得发包人书面同意，承包人不得更换或撤回主要管理人员。</w:t>
      </w:r>
    </w:p>
    <w:p>
      <w:r>
        <w:t>9.1.4</w:t>
      </w:r>
      <w:r>
        <w:rPr>
          <w:rFonts w:hint="eastAsia"/>
        </w:rPr>
        <w:t>承包人应按合同约定的工作内容和施工进度要求，编制施工组织设计，并对整个现场的施工组织和施工方案的适用性、完备性和安全可靠性全面负责。</w:t>
      </w:r>
    </w:p>
    <w:p>
      <w:r>
        <w:t>9.1.5</w:t>
      </w:r>
      <w:r>
        <w:rPr>
          <w:rFonts w:hint="eastAsia"/>
        </w:rPr>
        <w:t>承包人应根据发包人或发包人通过监理人书面给定的原始基准点、基准红线和基准标高对工程进行定位和放线，并承担与此有关的费用。</w:t>
      </w:r>
    </w:p>
    <w:p>
      <w:r>
        <w:t>9.1.6</w:t>
      </w:r>
      <w:r>
        <w:rPr>
          <w:rFonts w:hint="eastAsia"/>
        </w:rPr>
        <w:t>承包人负责工程安全文明施工和环境保护工作，遵守关于大气污染和绿色施工等方面规定，贯彻北京市建设行政主管部门制定的施工扬尘治理方案，确保用于开展安全生产和绿色施工的资金得到有效使用，妥善处理施工过程中产生的废弃材料和建筑垃圾，使用符合安全和环保要求的施工机械，落实本单位安全生产和绿色施工主体责任。</w:t>
      </w:r>
    </w:p>
    <w:p>
      <w:r>
        <w:t>9.1.7</w:t>
      </w:r>
      <w:r>
        <w:rPr>
          <w:rFonts w:hint="eastAsia"/>
        </w:rPr>
        <w:t>承包人负责合同约定的现场内的管理、协调、配合、服务工作。相应工作内容及具体要求见专用合同条款。</w:t>
      </w:r>
    </w:p>
    <w:p/>
    <w:p>
      <w:r>
        <w:t>9.1.8</w:t>
      </w:r>
      <w:r>
        <w:rPr>
          <w:rFonts w:hint="eastAsia"/>
        </w:rPr>
        <w:t>发包人或监理人按合同约定所发出的所有指令，承包人应予以执行。</w:t>
      </w:r>
    </w:p>
    <w:p/>
    <w:p>
      <w:r>
        <w:t>9.1.9</w:t>
      </w:r>
      <w:r>
        <w:rPr>
          <w:rFonts w:hint="eastAsia"/>
        </w:rPr>
        <w:t>承包人不得将本工程转包和违法分包。</w:t>
      </w:r>
    </w:p>
    <w:p/>
    <w:p>
      <w:r>
        <w:t>9.1.10</w:t>
      </w:r>
      <w:r>
        <w:rPr>
          <w:rFonts w:hint="eastAsia"/>
        </w:rPr>
        <w:t>承包人应履行的其他义务见专用合同条款。</w:t>
      </w:r>
    </w:p>
    <w:p/>
    <w:p>
      <w:r>
        <w:t>9.2</w:t>
      </w:r>
      <w:r>
        <w:rPr>
          <w:rFonts w:hint="eastAsia"/>
        </w:rPr>
        <w:t>项目经理</w:t>
      </w:r>
    </w:p>
    <w:p/>
    <w:p>
      <w:r>
        <w:rPr>
          <w:rFonts w:hint="eastAsia"/>
        </w:rPr>
        <w:t>在合同履行期间，承包人应任命项目经理常驻现场，以代表承包人行使和履行合同约定的授权范围内的权利和义务。项目经理的姓名及授权范围见专用合同条款。项目经理做出的任何请示、函件或报审资料等，均视为由承包人做出。</w:t>
      </w:r>
    </w:p>
    <w:p>
      <w:r>
        <w:t>10.</w:t>
      </w:r>
      <w:r>
        <w:rPr>
          <w:rFonts w:hint="eastAsia"/>
        </w:rPr>
        <w:t>工期</w:t>
      </w:r>
    </w:p>
    <w:p>
      <w:r>
        <w:t>10.1</w:t>
      </w:r>
      <w:r>
        <w:rPr>
          <w:rFonts w:hint="eastAsia"/>
        </w:rPr>
        <w:t>进度计划</w:t>
      </w:r>
    </w:p>
    <w:p/>
    <w:p>
      <w:r>
        <w:t>10.1.1</w:t>
      </w:r>
      <w:r>
        <w:rPr>
          <w:rFonts w:hint="eastAsia"/>
        </w:rPr>
        <w:t>承包人应按专用合同条款约定的内容和期限，编制详细的施工进度计划和施工方案报送监理人。监理人应在专用合同条款约定的期限内批复或提出修改意见，否则该进度计划视为已得到批准。经监理人批准的施工进度计划称为合同进度计划，是控制合同工程进度的依据。</w:t>
      </w:r>
    </w:p>
    <w:p>
      <w:r>
        <w:t>10.1.2</w:t>
      </w:r>
      <w:r>
        <w:rPr>
          <w:rFonts w:hint="eastAsia"/>
        </w:rPr>
        <w:t>实际进度与第</w:t>
      </w:r>
      <w:r>
        <w:t xml:space="preserve"> 10.1.1 </w:t>
      </w:r>
      <w:r>
        <w:rPr>
          <w:rFonts w:hint="eastAsia"/>
        </w:rPr>
        <w:t>项的合同进度计划不符时，承包人可在专用合同条款约定的期限内向监理人提交修订合同进度计划的申请报告，并附有关措施和相关资料，报监理人审批；监理人也可直接向承包人做出修订合同进度计划的指示，承包人应按该指示修订合同进度计划，报监理人审批。监理人应在专用合同条款约定的期限内批复。</w:t>
      </w:r>
    </w:p>
    <w:p>
      <w:r>
        <w:t>10.2</w:t>
      </w:r>
      <w:r>
        <w:rPr>
          <w:rFonts w:hint="eastAsia"/>
        </w:rPr>
        <w:t>工期</w:t>
      </w:r>
    </w:p>
    <w:p/>
    <w:p>
      <w:r>
        <w:rPr>
          <w:rFonts w:hint="eastAsia"/>
        </w:rPr>
        <w:t>除合同另有约定外，工期中已包括政府规定的不可进行夜间或节假日施工因素等对工期的影响。</w:t>
      </w:r>
    </w:p>
    <w:p>
      <w:r>
        <w:t>10.3</w:t>
      </w:r>
      <w:r>
        <w:rPr>
          <w:rFonts w:hint="eastAsia"/>
        </w:rPr>
        <w:t>开工</w:t>
      </w:r>
    </w:p>
    <w:p/>
    <w:p>
      <w:r>
        <w:t>10.3.1</w:t>
      </w:r>
      <w:r>
        <w:rPr>
          <w:rFonts w:hint="eastAsia"/>
        </w:rPr>
        <w:t>监理人应在开工通知中确定的开工日期</w:t>
      </w:r>
      <w:r>
        <w:t xml:space="preserve"> 7 </w:t>
      </w:r>
      <w:r>
        <w:rPr>
          <w:rFonts w:hint="eastAsia"/>
        </w:rPr>
        <w:t>天前以书面形式向承包人发出开工通知。承包人应按开工通知中确定的日期开工。工期自监理人发出的开工通知中载明的开工日期起计算。</w:t>
      </w:r>
    </w:p>
    <w:p>
      <w:r>
        <w:t>10.3.2</w:t>
      </w:r>
      <w:r>
        <w:rPr>
          <w:rFonts w:hint="eastAsia"/>
        </w:rPr>
        <w:t>因发包人原因导致承包人不能按开工通知中确定的日期开工，监理人应以书面形式通知承包人推迟开工日期，工期相应顺延，发包人应赔偿承包人由此受到的损失。</w:t>
      </w:r>
    </w:p>
    <w:p>
      <w:r>
        <w:t>10.4</w:t>
      </w:r>
      <w:r>
        <w:rPr>
          <w:rFonts w:hint="eastAsia"/>
        </w:rPr>
        <w:t>暂停施工</w:t>
      </w:r>
    </w:p>
    <w:p/>
    <w:p>
      <w:r>
        <w:t>10.4.1</w:t>
      </w:r>
      <w:r>
        <w:rPr>
          <w:rFonts w:hint="eastAsia"/>
        </w:rPr>
        <w:t>因承包人原因引起的暂停施工，承包人应承担由此增加的费用和（或）延误的工期。</w:t>
      </w:r>
    </w:p>
    <w:p/>
    <w:p>
      <w:r>
        <w:t>10.4.2</w:t>
      </w:r>
      <w:r>
        <w:rPr>
          <w:rFonts w:hint="eastAsia"/>
        </w:rPr>
        <w:t>除第</w:t>
      </w:r>
      <w:r>
        <w:t xml:space="preserve"> 10.4.1 </w:t>
      </w:r>
      <w:r>
        <w:rPr>
          <w:rFonts w:hint="eastAsia"/>
        </w:rPr>
        <w:t>项约定的因承包人原因及第</w:t>
      </w:r>
      <w:r>
        <w:t xml:space="preserve"> 27.1 </w:t>
      </w:r>
      <w:r>
        <w:rPr>
          <w:rFonts w:hint="eastAsia"/>
        </w:rPr>
        <w:t>款约定的不可抗力以外的原因引起的暂停施工，且承包人无法通过调整工作安排减少损失，同时此暂时停工已造成承包人关键线路工作的工期延误或给承包人造成无法避免的损失，经监理人确认，工期相应顺延，发包人应赔偿承</w:t>
      </w:r>
    </w:p>
    <w:p/>
    <w:p>
      <w:r>
        <w:rPr>
          <w:rFonts w:hint="eastAsia"/>
        </w:rPr>
        <w:t>包人由此受到的损失。</w:t>
      </w:r>
    </w:p>
    <w:p/>
    <w:p>
      <w:r>
        <w:t>10.4.3</w:t>
      </w:r>
      <w:r>
        <w:rPr>
          <w:rFonts w:hint="eastAsia"/>
        </w:rPr>
        <w:t>当工程具备复工条件时，监理人应向承包人发出复工通知。承包人收到复工通知后，</w:t>
      </w:r>
      <w:r>
        <w:t xml:space="preserve"> </w:t>
      </w:r>
      <w:r>
        <w:rPr>
          <w:rFonts w:hint="eastAsia"/>
        </w:rPr>
        <w:t>应在监理人指定的期限内复工。承包人无故拖延和拒绝复工的，由此增加的费用和工期延误由承包人承担。</w:t>
      </w:r>
    </w:p>
    <w:p>
      <w:r>
        <w:t>10.5</w:t>
      </w:r>
      <w:r>
        <w:rPr>
          <w:rFonts w:hint="eastAsia"/>
        </w:rPr>
        <w:t>工期延误</w:t>
      </w:r>
    </w:p>
    <w:p/>
    <w:p>
      <w:r>
        <w:t>10.5.1</w:t>
      </w:r>
      <w:r>
        <w:rPr>
          <w:rFonts w:hint="eastAsia"/>
        </w:rPr>
        <w:t>除合同另有约定外，因下列原因造成承包人关键线路工作的工期延误和（或）增加的费用由发包人承担：</w:t>
      </w:r>
    </w:p>
    <w:p>
      <w:r>
        <w:rPr>
          <w:rFonts w:hint="eastAsia"/>
        </w:rPr>
        <w:t>（</w:t>
      </w:r>
      <w:r>
        <w:t>1</w:t>
      </w:r>
      <w:r>
        <w:rPr>
          <w:rFonts w:hint="eastAsia"/>
        </w:rPr>
        <w:t>）发包人原因导致承包人不能按开工通知中的日期开工；</w:t>
      </w:r>
    </w:p>
    <w:p/>
    <w:p>
      <w:r>
        <w:rPr>
          <w:rFonts w:hint="eastAsia"/>
        </w:rPr>
        <w:t>（</w:t>
      </w:r>
      <w:r>
        <w:t>2</w:t>
      </w:r>
      <w:r>
        <w:rPr>
          <w:rFonts w:hint="eastAsia"/>
        </w:rPr>
        <w:t>）发包人未按合同约定提供图纸、开工条件；</w:t>
      </w:r>
    </w:p>
    <w:p/>
    <w:p>
      <w:r>
        <w:rPr>
          <w:rFonts w:hint="eastAsia"/>
        </w:rPr>
        <w:t>（</w:t>
      </w:r>
      <w:r>
        <w:t>3</w:t>
      </w:r>
      <w:r>
        <w:rPr>
          <w:rFonts w:hint="eastAsia"/>
        </w:rPr>
        <w:t>）发包人未按约定日期支付工程预付款、进度款，致使工程施工不能正常进行；</w:t>
      </w:r>
    </w:p>
    <w:p/>
    <w:p>
      <w:r>
        <w:rPr>
          <w:rFonts w:hint="eastAsia"/>
        </w:rPr>
        <w:t>（</w:t>
      </w:r>
      <w:r>
        <w:t>4</w:t>
      </w:r>
      <w:r>
        <w:rPr>
          <w:rFonts w:hint="eastAsia"/>
        </w:rPr>
        <w:t>）其他由发包人承担工期延误的情况见专用合同条款。</w:t>
      </w:r>
    </w:p>
    <w:p/>
    <w:p>
      <w:r>
        <w:t>10.5.2</w:t>
      </w:r>
      <w:r>
        <w:rPr>
          <w:rFonts w:hint="eastAsia"/>
        </w:rPr>
        <w:t>因承包人造成的工期延误，由承包人承担相关责任，工期不予顺延。承包人按下列原则承担违约责任：</w:t>
      </w:r>
    </w:p>
    <w:p>
      <w:r>
        <w:rPr>
          <w:rFonts w:hint="eastAsia"/>
        </w:rPr>
        <w:t>（</w:t>
      </w:r>
      <w:r>
        <w:t>1</w:t>
      </w:r>
      <w:r>
        <w:rPr>
          <w:rFonts w:hint="eastAsia"/>
        </w:rPr>
        <w:t>）如承包人未能在工期内或按合同约定延长的期限内完成本工程，承包人应按专用合同</w:t>
      </w:r>
      <w:r>
        <w:t xml:space="preserve"> </w:t>
      </w:r>
      <w:r>
        <w:rPr>
          <w:rFonts w:hint="eastAsia"/>
        </w:rPr>
        <w:t>条款中约定的标准向发包人支付逾期竣工违约金，逾期竣工违约金总额不应超过专用合同条款中约定的逾期竣工违约金最高限额。逾期竣工违约金将从按合同应支付或将支付给承包人的款项中扣除，或要求承包人偿还。</w:t>
      </w:r>
    </w:p>
    <w:p>
      <w:r>
        <w:rPr>
          <w:rFonts w:hint="eastAsia"/>
        </w:rPr>
        <w:t>（</w:t>
      </w:r>
      <w:r>
        <w:t>2</w:t>
      </w:r>
      <w:r>
        <w:rPr>
          <w:rFonts w:hint="eastAsia"/>
        </w:rPr>
        <w:t>）承包人支付逾期竣工违约金，不免除承包人完成工程及修补缺陷的义务。</w:t>
      </w:r>
    </w:p>
    <w:p/>
    <w:p>
      <w:r>
        <w:t>10.6</w:t>
      </w:r>
      <w:r>
        <w:rPr>
          <w:rFonts w:hint="eastAsia"/>
        </w:rPr>
        <w:t>竣工日期及提前竣工</w:t>
      </w:r>
    </w:p>
    <w:p/>
    <w:p>
      <w:r>
        <w:t>10.6.1</w:t>
      </w:r>
      <w:r>
        <w:rPr>
          <w:rFonts w:hint="eastAsia"/>
        </w:rPr>
        <w:t>承包人应在工期内，或在根据合同约定发包人同意延长的期限内完成本工程。实际竣工日期按第</w:t>
      </w:r>
      <w:r>
        <w:t xml:space="preserve"> 19.3 </w:t>
      </w:r>
      <w:r>
        <w:rPr>
          <w:rFonts w:hint="eastAsia"/>
        </w:rPr>
        <w:t>款的约定执行。</w:t>
      </w:r>
    </w:p>
    <w:p>
      <w:r>
        <w:t>10.6.2</w:t>
      </w:r>
      <w:r>
        <w:rPr>
          <w:rFonts w:hint="eastAsia"/>
        </w:rPr>
        <w:t>除合同另有约定外，发包人不得要求承包人在工期内提前竣工。发包人和承包人约定提前竣工并给予奖励的，奖励金额见专用合同条款。</w:t>
      </w:r>
    </w:p>
    <w:p>
      <w:r>
        <w:t>11.</w:t>
      </w:r>
      <w:r>
        <w:rPr>
          <w:rFonts w:hint="eastAsia"/>
        </w:rPr>
        <w:t>工程质量</w:t>
      </w:r>
    </w:p>
    <w:p>
      <w:r>
        <w:t>11.1</w:t>
      </w:r>
      <w:r>
        <w:rPr>
          <w:rFonts w:hint="eastAsia"/>
        </w:rPr>
        <w:t>工程质量应达到合同约定的工程质量标准。因承包人原因造成工程质量未达到合同约定标准的，发包人有权要求承包人返工直至工程质量达到合同约定的标准为止，并由承包人承担由此增加的费用和（或）延误的工期。</w:t>
      </w:r>
    </w:p>
    <w:p>
      <w:r>
        <w:t>11.2</w:t>
      </w:r>
      <w:r>
        <w:rPr>
          <w:rFonts w:hint="eastAsia"/>
        </w:rPr>
        <w:t>监理人有权对工程的所有部位及其施工工艺、材料和工程设备进行检查和检验。监理人的检查和检验，不免除承包人按合同约定应承担的责任。</w:t>
      </w:r>
    </w:p>
    <w:p/>
    <w:p>
      <w:r>
        <w:t>11.3</w:t>
      </w:r>
      <w:r>
        <w:rPr>
          <w:rFonts w:hint="eastAsia"/>
        </w:rPr>
        <w:t>工程隐蔽部位的检查</w:t>
      </w:r>
    </w:p>
    <w:p/>
    <w:p>
      <w:r>
        <w:t>11.3.1</w:t>
      </w:r>
      <w:r>
        <w:rPr>
          <w:rFonts w:hint="eastAsia"/>
        </w:rPr>
        <w:t>经承包人自检确认工程隐蔽部位具备覆盖条件后，承包人应通知监理人在专用合同条款约定的期限内检查。监理人未到场检查的，除监理人另有指示外，承包人可自行完成覆盖工作。无论监理人是否到场检查，监理人均可要求承包人对已覆盖的部位进行钻孔探测或重新检验，</w:t>
      </w:r>
      <w:r>
        <w:t xml:space="preserve"> </w:t>
      </w:r>
      <w:r>
        <w:rPr>
          <w:rFonts w:hint="eastAsia"/>
        </w:rPr>
        <w:t>承包人应遵照执行，并在检验后重新覆盖恢复原状。经检验证明工程质量符合合同约定的，由发包人承担由此增加的费用和（或）工期延误；经检验证明工程质量不符合合同约定的，由此增加的费用和（或）工期延误，由承包人承担。</w:t>
      </w:r>
    </w:p>
    <w:p>
      <w:r>
        <w:t>11.3.2</w:t>
      </w:r>
      <w:r>
        <w:rPr>
          <w:rFonts w:hint="eastAsia"/>
        </w:rPr>
        <w:t>承包人未通知监理人到场检查，私自将工程隐蔽部位覆盖的，监理人有权指示承包人钻孔探测或揭开检查，无论工程质量是否合格，由此增加的费用和（或）工期延误由承包人承担。</w:t>
      </w:r>
    </w:p>
    <w:p>
      <w:r>
        <w:t>11.4</w:t>
      </w:r>
      <w:r>
        <w:rPr>
          <w:rFonts w:hint="eastAsia"/>
        </w:rPr>
        <w:t>清除不合格工程</w:t>
      </w:r>
    </w:p>
    <w:p/>
    <w:p>
      <w:r>
        <w:t>11.4.1</w:t>
      </w:r>
      <w:r>
        <w:rPr>
          <w:rFonts w:hint="eastAsia"/>
        </w:rPr>
        <w:t>承包人使用不合格材料、工程设备，或采用不适当的施工工艺，或施工不当，造成工程不合格，监理人可随时发出指示，要求承包人立即采取措施进行补救，直至达到合同约定的质量标准，由此增加的费用和（或）工期延误由承包人承担。</w:t>
      </w:r>
    </w:p>
    <w:p>
      <w:r>
        <w:t>11.4.2</w:t>
      </w:r>
      <w:r>
        <w:rPr>
          <w:rFonts w:hint="eastAsia"/>
        </w:rPr>
        <w:t>由于发包人提供的材料或工程设备不合格造成的工程不合格，需承包人采取措施补救的，发包人应承担由此增加的费用和（或）工期延误。</w:t>
      </w:r>
    </w:p>
    <w:p>
      <w:r>
        <w:t>12.</w:t>
      </w:r>
      <w:r>
        <w:rPr>
          <w:rFonts w:hint="eastAsia"/>
        </w:rPr>
        <w:t>试验和检验</w:t>
      </w:r>
    </w:p>
    <w:p>
      <w:r>
        <w:t>12.1</w:t>
      </w:r>
      <w:r>
        <w:rPr>
          <w:rFonts w:hint="eastAsia"/>
        </w:rPr>
        <w:t>承包人应按合同约定进行材料、工程设备和工程的试验和检验，并为监理人对上述材料、工程设备和工程的质量检查提供必要的试验条件、试验资料和原始记录。</w:t>
      </w:r>
    </w:p>
    <w:p>
      <w:r>
        <w:t>12.2</w:t>
      </w:r>
      <w:r>
        <w:rPr>
          <w:rFonts w:hint="eastAsia"/>
        </w:rPr>
        <w:t>监理人未按合同约定派员参加试验和检验的，除监理人另有指示外，承包人可自行试验和检验，并应立即将试验和检验结果报送监理人，监理人应签字确认。</w:t>
      </w:r>
    </w:p>
    <w:p>
      <w:r>
        <w:t>12.3</w:t>
      </w:r>
      <w:r>
        <w:rPr>
          <w:rFonts w:hint="eastAsia"/>
        </w:rPr>
        <w:t>监理人对承包人的试验和检验结果有疑问的，或为查清承包人试验和检验成果的可靠性而要求承包人重新试验和检验的，重新试验和检验的结果证明该项材料、工程设备或工程的质量不符合合同约定的，由此增加的费用和（或）工期延误由承包人承担；重新试验和检验结果符合合同约定的，由发包人承担由此增加的费用和（或）工期延误。</w:t>
      </w:r>
    </w:p>
    <w:p>
      <w:r>
        <w:t>13.</w:t>
      </w:r>
      <w:r>
        <w:rPr>
          <w:rFonts w:hint="eastAsia"/>
        </w:rPr>
        <w:t>安全绿色施工</w:t>
      </w:r>
    </w:p>
    <w:p>
      <w:r>
        <w:t>13.1</w:t>
      </w:r>
      <w:r>
        <w:rPr>
          <w:rFonts w:hint="eastAsia"/>
        </w:rPr>
        <w:t>承包人应遵守工程建设安全生产和绿色施工有关管理规定，严格按安全和绿色施工标准组织施工，承担由于自身安全措施不力造成事故的责任和由此发生的费用，并承担政府主管部门因扬尘污染而给予责令停工等行政处罚所造成的误工、工期拖延造成的损失。</w:t>
      </w:r>
    </w:p>
    <w:p/>
    <w:p>
      <w:r>
        <w:t>13.2</w:t>
      </w:r>
      <w:r>
        <w:rPr>
          <w:rFonts w:hint="eastAsia"/>
        </w:rPr>
        <w:t>安全绿色施工其他约定见专用合同条款。</w:t>
      </w:r>
    </w:p>
    <w:p/>
    <w:p>
      <w:r>
        <w:t>14.</w:t>
      </w:r>
      <w:r>
        <w:rPr>
          <w:rFonts w:hint="eastAsia"/>
        </w:rPr>
        <w:t>材料和工程设备</w:t>
      </w:r>
    </w:p>
    <w:p>
      <w:r>
        <w:t>14.1</w:t>
      </w:r>
      <w:r>
        <w:rPr>
          <w:rFonts w:hint="eastAsia"/>
        </w:rPr>
        <w:t>发包人提供材料和工程设备的相关约定见专用合同条款。</w:t>
      </w:r>
    </w:p>
    <w:p/>
    <w:p>
      <w:r>
        <w:t>14.2</w:t>
      </w:r>
      <w:r>
        <w:rPr>
          <w:rFonts w:hint="eastAsia"/>
        </w:rPr>
        <w:t>除</w:t>
      </w:r>
      <w:r>
        <w:t xml:space="preserve"> 14.1 </w:t>
      </w:r>
      <w:r>
        <w:rPr>
          <w:rFonts w:hint="eastAsia"/>
        </w:rPr>
        <w:t>款约定的材料和工程设备外，由承包人提供的材料和工程设备均由承包人负责采购、运输、保管。承包人应对其提供的材料和工程设备负责。</w:t>
      </w:r>
    </w:p>
    <w:p>
      <w:r>
        <w:rPr>
          <w:rFonts w:hint="eastAsia"/>
        </w:rPr>
        <w:t>（</w:t>
      </w:r>
      <w:r>
        <w:t>1</w:t>
      </w:r>
      <w:r>
        <w:rPr>
          <w:rFonts w:hint="eastAsia"/>
        </w:rPr>
        <w:t>）承包人应在材料和工程设备到货</w:t>
      </w:r>
      <w:r>
        <w:t xml:space="preserve"> 24 </w:t>
      </w:r>
      <w:r>
        <w:rPr>
          <w:rFonts w:hint="eastAsia"/>
        </w:rPr>
        <w:t>小时前以书面形式通知监理人，并提交产品介绍说明、质量检测合格报告等一切所需的证明文件给监理人审核。</w:t>
      </w:r>
    </w:p>
    <w:p>
      <w:r>
        <w:rPr>
          <w:rFonts w:hint="eastAsia"/>
        </w:rPr>
        <w:t>（</w:t>
      </w:r>
      <w:r>
        <w:t>2</w:t>
      </w:r>
      <w:r>
        <w:rPr>
          <w:rFonts w:hint="eastAsia"/>
        </w:rPr>
        <w:t>）承包人采购的材料和工程设备不符合合同约定时，承包人应按发包人要求重新采购符</w:t>
      </w:r>
      <w:r>
        <w:t xml:space="preserve"> </w:t>
      </w:r>
      <w:r>
        <w:rPr>
          <w:rFonts w:hint="eastAsia"/>
        </w:rPr>
        <w:t>合要求的产品，并承担由此发生的费用，延误的工期不予顺延。</w:t>
      </w:r>
    </w:p>
    <w:p>
      <w:r>
        <w:rPr>
          <w:rFonts w:hint="eastAsia"/>
        </w:rPr>
        <w:t>（</w:t>
      </w:r>
      <w:r>
        <w:t>3</w:t>
      </w:r>
      <w:r>
        <w:rPr>
          <w:rFonts w:hint="eastAsia"/>
        </w:rPr>
        <w:t>）由承包人自行采购材料和工程设备的，发包人不得指定制造商或承包人。</w:t>
      </w:r>
    </w:p>
    <w:p/>
    <w:p>
      <w:r>
        <w:t>15.</w:t>
      </w:r>
      <w:r>
        <w:rPr>
          <w:rFonts w:hint="eastAsia"/>
        </w:rPr>
        <w:t>变更</w:t>
      </w:r>
    </w:p>
    <w:p>
      <w:r>
        <w:t>15.1</w:t>
      </w:r>
      <w:r>
        <w:rPr>
          <w:rFonts w:hint="eastAsia"/>
        </w:rPr>
        <w:t>在履行合同过程中，经发包人同意，监理人可向承包人做出变更指示，承包人应遵照执行。没有监理人的变更指示，承包人不得擅自变更。</w:t>
      </w:r>
    </w:p>
    <w:p>
      <w:r>
        <w:t>15.2</w:t>
      </w:r>
      <w:r>
        <w:rPr>
          <w:rFonts w:hint="eastAsia"/>
        </w:rPr>
        <w:t>变更估价的约定见专用合同条款。</w:t>
      </w:r>
    </w:p>
    <w:p/>
    <w:p>
      <w:r>
        <w:t>16.</w:t>
      </w:r>
      <w:r>
        <w:rPr>
          <w:rFonts w:hint="eastAsia"/>
        </w:rPr>
        <w:t>合同价格及调整</w:t>
      </w:r>
    </w:p>
    <w:p>
      <w:r>
        <w:t>16.1</w:t>
      </w:r>
      <w:r>
        <w:rPr>
          <w:rFonts w:hint="eastAsia"/>
        </w:rPr>
        <w:t>除合同另有约定外，双方当事人中的任何一方不得擅自改变签约合同价。</w:t>
      </w:r>
    </w:p>
    <w:p/>
    <w:p>
      <w:r>
        <w:t>16.2</w:t>
      </w:r>
      <w:r>
        <w:rPr>
          <w:rFonts w:hint="eastAsia"/>
        </w:rPr>
        <w:t>下列三种确定合同价格的方式，在专用合同条款中约定采用其中一种：</w:t>
      </w:r>
    </w:p>
    <w:p/>
    <w:p>
      <w:r>
        <w:t>16.2.1</w:t>
      </w:r>
      <w:r>
        <w:rPr>
          <w:rFonts w:hint="eastAsia"/>
        </w:rPr>
        <w:t>单价合同：是指双方当事人约定以工程量清单及其综合单价进行合同价格计算、调整和确认的建设工程施工合同，在约定的风险范围内合同单价不作调整。合同价格包含的风险范围和风险范围以外的合同价格调整方法和程序见专用合同条款。</w:t>
      </w:r>
    </w:p>
    <w:p>
      <w:r>
        <w:t>16.2.2</w:t>
      </w:r>
      <w:r>
        <w:rPr>
          <w:rFonts w:hint="eastAsia"/>
        </w:rPr>
        <w:t>总价合同：是指双方当事人约定以图纸、已标价工程量清单或预算书及有关条件进行合同价格计算、调整和确认的建设工程施工合同，在约定的风险范围内合同价格不再调整。合同价格包含的风险范围和风险范围以外的合同价格调整方法和程序见专用合同条款。</w:t>
      </w:r>
    </w:p>
    <w:p>
      <w:r>
        <w:t>16.2.3</w:t>
      </w:r>
      <w:r>
        <w:rPr>
          <w:rFonts w:hint="eastAsia"/>
        </w:rPr>
        <w:t>其他价格形式：是指除第</w:t>
      </w:r>
      <w:r>
        <w:t xml:space="preserve"> 16.2.1</w:t>
      </w:r>
      <w:r>
        <w:rPr>
          <w:rFonts w:hint="eastAsia"/>
        </w:rPr>
        <w:t>、</w:t>
      </w:r>
      <w:r>
        <w:t xml:space="preserve">16.2.2 </w:t>
      </w:r>
      <w:r>
        <w:rPr>
          <w:rFonts w:hint="eastAsia"/>
        </w:rPr>
        <w:t>项以外的其他合同价格形式，具体约定见专用合同条款。</w:t>
      </w:r>
    </w:p>
    <w:p>
      <w:r>
        <w:t>17.</w:t>
      </w:r>
      <w:r>
        <w:rPr>
          <w:rFonts w:hint="eastAsia"/>
        </w:rPr>
        <w:t>计量</w:t>
      </w:r>
    </w:p>
    <w:p>
      <w:r>
        <w:t>17.1</w:t>
      </w:r>
      <w:r>
        <w:rPr>
          <w:rFonts w:hint="eastAsia"/>
        </w:rPr>
        <w:t>承包人应按合同约定的时间和内容向监理人提交计量周期已完成的工程量报告。承包人提交已完成的工程量报告的时间、内容和计量周期见专用合同条款。</w:t>
      </w:r>
    </w:p>
    <w:p>
      <w:r>
        <w:t>17.2</w:t>
      </w:r>
      <w:r>
        <w:rPr>
          <w:rFonts w:hint="eastAsia"/>
        </w:rPr>
        <w:t>监理人应在收到承包人提交的工程量报告后</w:t>
      </w:r>
      <w:r>
        <w:t xml:space="preserve"> 7 </w:t>
      </w:r>
      <w:r>
        <w:rPr>
          <w:rFonts w:hint="eastAsia"/>
        </w:rPr>
        <w:t>天内完成对承包人提交的工程量报表的审核</w:t>
      </w:r>
    </w:p>
    <w:p/>
    <w:p>
      <w:r>
        <w:rPr>
          <w:rFonts w:hint="eastAsia"/>
        </w:rPr>
        <w:t>并报送发包人，以确定当期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r>
        <w:t>17.3</w:t>
      </w:r>
      <w:r>
        <w:rPr>
          <w:rFonts w:hint="eastAsia"/>
        </w:rPr>
        <w:t>监理人未在收到承包人提交的已完成的工程量报告后</w:t>
      </w:r>
      <w:r>
        <w:t xml:space="preserve"> 7 </w:t>
      </w:r>
      <w:r>
        <w:rPr>
          <w:rFonts w:hint="eastAsia"/>
        </w:rPr>
        <w:t>天内完成审核的，承包人报送的已完成的工程量报告中的工程量视为监理人实际完成的工程量。</w:t>
      </w:r>
    </w:p>
    <w:p>
      <w:r>
        <w:t>17.4</w:t>
      </w:r>
      <w:r>
        <w:rPr>
          <w:rFonts w:hint="eastAsia"/>
        </w:rPr>
        <w:t>关于计量的其他约定见专用合同条款。</w:t>
      </w:r>
    </w:p>
    <w:p/>
    <w:p>
      <w:r>
        <w:t>18.</w:t>
      </w:r>
      <w:r>
        <w:rPr>
          <w:rFonts w:hint="eastAsia"/>
        </w:rPr>
        <w:t>合同价款支付</w:t>
      </w:r>
    </w:p>
    <w:p>
      <w:r>
        <w:t>18.1</w:t>
      </w:r>
      <w:r>
        <w:rPr>
          <w:rFonts w:hint="eastAsia"/>
        </w:rPr>
        <w:t>发包人应按合同约定向承包人支付工程预付款、安全文明施工费。工程预付款及安全文明施工费的支付时间、预付额度、工程预付款的抵扣起始时间和方式见专用合同条款。</w:t>
      </w:r>
    </w:p>
    <w:p>
      <w:r>
        <w:t>18.2</w:t>
      </w:r>
      <w:r>
        <w:rPr>
          <w:rFonts w:hint="eastAsia"/>
        </w:rPr>
        <w:t>发包人应按专用合同条款约定的工程进度款付款周期、程序及支付比例或金额支付工程进度款。</w:t>
      </w:r>
    </w:p>
    <w:p>
      <w:r>
        <w:t>18.3</w:t>
      </w:r>
      <w:r>
        <w:rPr>
          <w:rFonts w:hint="eastAsia"/>
        </w:rPr>
        <w:t>经发包人确认的合同价格调整（含因工程变更、索赔等引起的合同价格调整）应与工程进度款同期支付。</w:t>
      </w:r>
    </w:p>
    <w:p>
      <w:r>
        <w:t>19.</w:t>
      </w:r>
      <w:r>
        <w:rPr>
          <w:rFonts w:hint="eastAsia"/>
        </w:rPr>
        <w:t>竣工验收</w:t>
      </w:r>
    </w:p>
    <w:p>
      <w:r>
        <w:t>19.1</w:t>
      </w:r>
      <w:r>
        <w:rPr>
          <w:rFonts w:hint="eastAsia"/>
        </w:rPr>
        <w:t>本工程具备专用合同条款约定的竣工验收条件时，承包人可向监理人提交竣工验收申请报告。</w:t>
      </w:r>
    </w:p>
    <w:p>
      <w:r>
        <w:t>19.2</w:t>
      </w:r>
      <w:r>
        <w:rPr>
          <w:rFonts w:hint="eastAsia"/>
        </w:rPr>
        <w:t>监理人应在收到竣工验收申请报告后</w:t>
      </w:r>
      <w:r>
        <w:t xml:space="preserve"> 14 </w:t>
      </w:r>
      <w:r>
        <w:rPr>
          <w:rFonts w:hint="eastAsia"/>
        </w:rPr>
        <w:t>天内完成审核并报送发包人。监理人审查后认为尚不具备验收条件的，应通知承包人在竣工验收前尚需完成的工作内容，承包人应在完成监理人通知的全部工作内容后，再次提交竣工验收申请报告。监理人审查后认为具备竣工验收条件的，提请发包人进行工程验收。发包人应在专用合同条款约定的时间内进行验收。验收合格的，视为工程竣工验收通过。验收不合格的，监理人应通知承包人进行整改，整改完成后重新办理验收，由此增加的费用和（或）工期延误由承包人承担。</w:t>
      </w:r>
    </w:p>
    <w:p>
      <w:r>
        <w:t>19.3</w:t>
      </w:r>
      <w:r>
        <w:rPr>
          <w:rFonts w:hint="eastAsia"/>
        </w:rPr>
        <w:t>经验收合格的工程，实际竣工日期为承包人按第</w:t>
      </w:r>
      <w:r>
        <w:t xml:space="preserve"> 19.2 </w:t>
      </w:r>
      <w:r>
        <w:rPr>
          <w:rFonts w:hint="eastAsia"/>
        </w:rPr>
        <w:t>款提交竣工验收申请报告或按该款重新提交竣工验收申请报告的日期（以两者中时间在后者为准）。工程未经竣工验收，发包人擅自使用的，以转移占有工程之日为实际竣工日期。</w:t>
      </w:r>
    </w:p>
    <w:p>
      <w:r>
        <w:t>20.</w:t>
      </w:r>
      <w:r>
        <w:rPr>
          <w:rFonts w:hint="eastAsia"/>
        </w:rPr>
        <w:t>移交</w:t>
      </w:r>
    </w:p>
    <w:p>
      <w:r>
        <w:t>20.1</w:t>
      </w:r>
      <w:r>
        <w:rPr>
          <w:rFonts w:hint="eastAsia"/>
        </w:rPr>
        <w:t>当本工程办理了竣工验收手续，即表明工程具备移交条件。移交工程的时间要求见专用合同条款。</w:t>
      </w:r>
    </w:p>
    <w:p/>
    <w:p>
      <w:r>
        <w:t>20.2</w:t>
      </w:r>
      <w:r>
        <w:rPr>
          <w:rFonts w:hint="eastAsia"/>
        </w:rPr>
        <w:t>承包人未能如期向发包人移交工程，应承担给发包人造成的损失。</w:t>
      </w:r>
    </w:p>
    <w:p/>
    <w:p>
      <w:r>
        <w:t>20.3</w:t>
      </w:r>
      <w:r>
        <w:rPr>
          <w:rFonts w:hint="eastAsia"/>
        </w:rPr>
        <w:t>发包人无故未在第</w:t>
      </w:r>
      <w:r>
        <w:t xml:space="preserve"> 20.1 </w:t>
      </w:r>
      <w:r>
        <w:rPr>
          <w:rFonts w:hint="eastAsia"/>
        </w:rPr>
        <w:t>款约定的期限内接收承包人移交本工程的，发包人应赔偿由此给承包人造成的损失。</w:t>
      </w:r>
    </w:p>
    <w:p>
      <w:r>
        <w:t>20.4</w:t>
      </w:r>
      <w:r>
        <w:rPr>
          <w:rFonts w:hint="eastAsia"/>
        </w:rPr>
        <w:t>除专用合同条款另有约定外，工程办理移交手续后，承包人应对施工场地进行清理并拆除临时工程，直至监理人检验合格为止。竣工清场费用由承包人承担。</w:t>
      </w:r>
    </w:p>
    <w:p>
      <w:r>
        <w:t>21.</w:t>
      </w:r>
      <w:r>
        <w:rPr>
          <w:rFonts w:hint="eastAsia"/>
        </w:rPr>
        <w:t>结算</w:t>
      </w:r>
    </w:p>
    <w:p>
      <w:r>
        <w:t>21.1</w:t>
      </w:r>
      <w:r>
        <w:rPr>
          <w:rFonts w:hint="eastAsia"/>
        </w:rPr>
        <w:t>工程竣工后，承包人应在专用合同条款约定的期限内向监理人递交工程竣工结算报告及完整的结算资料。</w:t>
      </w:r>
    </w:p>
    <w:p>
      <w:r>
        <w:t>21.2</w:t>
      </w:r>
      <w:r>
        <w:rPr>
          <w:rFonts w:hint="eastAsia"/>
        </w:rPr>
        <w:t>监理人收到承包人递交的工程竣工结算报告及结算资料后，应在专用合同条款约定的期限内完成审核并报送发包人审核。发包人应在专用合同条款约定的期限内审核完毕，并由监理人向承包人出具经发包人签认的竣工付款证书。</w:t>
      </w:r>
    </w:p>
    <w:p>
      <w:r>
        <w:t>21.3</w:t>
      </w:r>
      <w:r>
        <w:rPr>
          <w:rFonts w:hint="eastAsia"/>
        </w:rPr>
        <w:t>发包人应在监理人出具竣工付款证书后，在专用合同条款约定的期限内，将扣除合同约定的质量保证金外的全部结算款项支付给承包人。</w:t>
      </w:r>
    </w:p>
    <w:p>
      <w:r>
        <w:t>22.</w:t>
      </w:r>
      <w:r>
        <w:rPr>
          <w:rFonts w:hint="eastAsia"/>
        </w:rPr>
        <w:t>质量保证金</w:t>
      </w:r>
    </w:p>
    <w:p>
      <w:r>
        <w:t>22.1</w:t>
      </w:r>
      <w:r>
        <w:rPr>
          <w:rFonts w:hint="eastAsia"/>
        </w:rPr>
        <w:t>质量保证金的额度、支付时间和方式见专用合同条款。</w:t>
      </w:r>
    </w:p>
    <w:p/>
    <w:p>
      <w:r>
        <w:t>22.2</w:t>
      </w:r>
      <w:r>
        <w:rPr>
          <w:rFonts w:hint="eastAsia"/>
        </w:rPr>
        <w:t>缺陷责任期满时，承包人向发包人申请到期应返还承包人剩余的质量保证金金额，发包人应在</w:t>
      </w:r>
      <w:r>
        <w:t xml:space="preserve"> 14 </w:t>
      </w:r>
      <w:r>
        <w:rPr>
          <w:rFonts w:hint="eastAsia"/>
        </w:rPr>
        <w:t>天内会同承包人按合同约定的内容核实承包人是否完成缺陷责任，并将无异议的剩余质量保证金返还承包人。</w:t>
      </w:r>
    </w:p>
    <w:p>
      <w:r>
        <w:t>23.</w:t>
      </w:r>
      <w:r>
        <w:rPr>
          <w:rFonts w:hint="eastAsia"/>
        </w:rPr>
        <w:t>保修责任与缺陷责任</w:t>
      </w:r>
    </w:p>
    <w:p>
      <w:r>
        <w:t>23.1</w:t>
      </w:r>
      <w:r>
        <w:rPr>
          <w:rFonts w:hint="eastAsia"/>
        </w:rPr>
        <w:t>承包人应在合同专用条款约定的时间内向发包人出具质量保修书，明确保修范围、期限和责任。保修期起始时间见专用合同条款。</w:t>
      </w:r>
    </w:p>
    <w:p>
      <w:r>
        <w:t>23.2</w:t>
      </w:r>
      <w:r>
        <w:rPr>
          <w:rFonts w:hint="eastAsia"/>
        </w:rPr>
        <w:t>承包人应在缺陷责任期内对已交付使用的工程承担缺陷责任。缺陷责任期的起始时间和缺陷责任期的期限见专用合同条款。</w:t>
      </w:r>
    </w:p>
    <w:p>
      <w:r>
        <w:t>24.</w:t>
      </w:r>
      <w:r>
        <w:rPr>
          <w:rFonts w:hint="eastAsia"/>
        </w:rPr>
        <w:t>违约</w:t>
      </w:r>
    </w:p>
    <w:p>
      <w:r>
        <w:t>24.1</w:t>
      </w:r>
      <w:r>
        <w:rPr>
          <w:rFonts w:hint="eastAsia"/>
        </w:rPr>
        <w:t>发包人违约</w:t>
      </w:r>
    </w:p>
    <w:p/>
    <w:p>
      <w:r>
        <w:t>24.1.1</w:t>
      </w:r>
      <w:r>
        <w:rPr>
          <w:rFonts w:hint="eastAsia"/>
        </w:rPr>
        <w:t>发包人不履行合同约定义务的，视为发包人违约。</w:t>
      </w:r>
    </w:p>
    <w:p/>
    <w:p>
      <w:r>
        <w:t>24.1.2</w:t>
      </w:r>
      <w:r>
        <w:rPr>
          <w:rFonts w:hint="eastAsia"/>
        </w:rPr>
        <w:t>发包人违约时，承包人可发出书面通知，要求发包人采取有效措施纠正违约行为。发包人收到该通知后</w:t>
      </w:r>
      <w:r>
        <w:t xml:space="preserve"> 14 </w:t>
      </w:r>
      <w:r>
        <w:rPr>
          <w:rFonts w:hint="eastAsia"/>
        </w:rPr>
        <w:t>天内仍不履行合同义务的，承包人有权暂停施工，并通知监理人。发包人承担由此增加的费用和（或）工期延误。</w:t>
      </w:r>
    </w:p>
    <w:p/>
    <w:p>
      <w:r>
        <w:t>24.1.3</w:t>
      </w:r>
      <w:r>
        <w:rPr>
          <w:rFonts w:hint="eastAsia"/>
        </w:rPr>
        <w:t>承包人按第</w:t>
      </w:r>
      <w:r>
        <w:t xml:space="preserve"> 24.1.2 </w:t>
      </w:r>
      <w:r>
        <w:rPr>
          <w:rFonts w:hint="eastAsia"/>
        </w:rPr>
        <w:t>项暂停施工</w:t>
      </w:r>
      <w:r>
        <w:t xml:space="preserve"> 28 </w:t>
      </w:r>
      <w:r>
        <w:rPr>
          <w:rFonts w:hint="eastAsia"/>
        </w:rPr>
        <w:t>天后，发包人仍不纠正违约行为的，承包人可向发包人发出解除合同通知。但承包人的这一行动不免除发包人承担的违约责任，也不影响承包人根据合同约定享有的索赔权利。</w:t>
      </w:r>
    </w:p>
    <w:p>
      <w:r>
        <w:t>24.1.4</w:t>
      </w:r>
      <w:r>
        <w:rPr>
          <w:rFonts w:hint="eastAsia"/>
        </w:rPr>
        <w:t>发包人未按合同约定付款的，应按专用合同条款的约定支付逾期付款违约金。</w:t>
      </w:r>
    </w:p>
    <w:p/>
    <w:p>
      <w:r>
        <w:t>24.2</w:t>
      </w:r>
      <w:r>
        <w:rPr>
          <w:rFonts w:hint="eastAsia"/>
        </w:rPr>
        <w:t>承包人违约</w:t>
      </w:r>
    </w:p>
    <w:p/>
    <w:p>
      <w:r>
        <w:t>24.2.1</w:t>
      </w:r>
      <w:r>
        <w:rPr>
          <w:rFonts w:hint="eastAsia"/>
        </w:rPr>
        <w:t>承包人不按合同约定履行义务的，视为承包人违约。</w:t>
      </w:r>
    </w:p>
    <w:p/>
    <w:p>
      <w:r>
        <w:t>24.2.2</w:t>
      </w:r>
      <w:r>
        <w:rPr>
          <w:rFonts w:hint="eastAsia"/>
        </w:rPr>
        <w:t>承包人违约时，监理人可向承包人发出整改通知，要求其在指定期限内改正。承包人应承担其违约所引起的费用增加和（或）工期延误责任。</w:t>
      </w:r>
    </w:p>
    <w:p>
      <w:r>
        <w:t>24.2.3</w:t>
      </w:r>
      <w:r>
        <w:rPr>
          <w:rFonts w:hint="eastAsia"/>
        </w:rPr>
        <w:t>承包人在收到监理人发出的整改通知后</w:t>
      </w:r>
      <w:r>
        <w:t xml:space="preserve"> 21 </w:t>
      </w:r>
      <w:r>
        <w:rPr>
          <w:rFonts w:hint="eastAsia"/>
        </w:rPr>
        <w:t>天内，承包人没有采取可行的措施纠正违约，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r>
        <w:t>25.</w:t>
      </w:r>
      <w:r>
        <w:rPr>
          <w:rFonts w:hint="eastAsia"/>
        </w:rPr>
        <w:t>索赔</w:t>
      </w:r>
    </w:p>
    <w:p>
      <w:r>
        <w:t>25.1</w:t>
      </w:r>
      <w:r>
        <w:rPr>
          <w:rFonts w:hint="eastAsia"/>
        </w:rPr>
        <w:t>发包人索赔</w:t>
      </w:r>
    </w:p>
    <w:p/>
    <w:p>
      <w:r>
        <w:t>25.1.1</w:t>
      </w:r>
      <w:r>
        <w:rPr>
          <w:rFonts w:hint="eastAsia"/>
        </w:rPr>
        <w:t>根据合同约定，发包人认为有权得到索赔金额和（或）延长缺陷责任期的，应在知道或应知道索赔事件发生后</w:t>
      </w:r>
      <w:r>
        <w:t xml:space="preserve"> 14 </w:t>
      </w:r>
      <w:r>
        <w:rPr>
          <w:rFonts w:hint="eastAsia"/>
        </w:rPr>
        <w:t>天内通过监理人向承包人递交索赔通知书。索赔事件具有连续影响的，发包人通过监理人应在索赔事件影响结束后的</w:t>
      </w:r>
      <w:r>
        <w:t xml:space="preserve"> 14 </w:t>
      </w:r>
      <w:r>
        <w:rPr>
          <w:rFonts w:hint="eastAsia"/>
        </w:rPr>
        <w:t>天内向承包人提交最终索赔通知书。</w:t>
      </w:r>
    </w:p>
    <w:p>
      <w:r>
        <w:t>25.1.2</w:t>
      </w:r>
      <w:r>
        <w:rPr>
          <w:rFonts w:hint="eastAsia"/>
        </w:rPr>
        <w:t>承包人收到监理人提交的索赔通知书后，应按合同约定商定或确定追加的索赔金额</w:t>
      </w:r>
      <w:r>
        <w:t xml:space="preserve"> </w:t>
      </w:r>
      <w:r>
        <w:rPr>
          <w:rFonts w:hint="eastAsia"/>
        </w:rPr>
        <w:t>和（或）延长的缺陷责任期，并在收到上述索赔通知书或有关索赔的进一步证明材料后的</w:t>
      </w:r>
      <w:r>
        <w:t xml:space="preserve"> 14 </w:t>
      </w:r>
      <w:r>
        <w:rPr>
          <w:rFonts w:hint="eastAsia"/>
        </w:rPr>
        <w:t>天内，</w:t>
      </w:r>
      <w:r>
        <w:t xml:space="preserve"> </w:t>
      </w:r>
      <w:r>
        <w:rPr>
          <w:rFonts w:hint="eastAsia"/>
        </w:rPr>
        <w:t>将索赔处理结果答复发包人。发包人接受索赔处理结果的，应从支付给承包人的合同价款中扣除索赔款项，或由承包人以其他方式支付给发包人。发包人不接受索赔处理结果的，按第</w:t>
      </w:r>
      <w:r>
        <w:t xml:space="preserve"> 28 </w:t>
      </w:r>
      <w:r>
        <w:rPr>
          <w:rFonts w:hint="eastAsia"/>
        </w:rPr>
        <w:t>条约定执行。</w:t>
      </w:r>
    </w:p>
    <w:p>
      <w:r>
        <w:t>25.2</w:t>
      </w:r>
      <w:r>
        <w:rPr>
          <w:rFonts w:hint="eastAsia"/>
        </w:rPr>
        <w:t>承包人索赔</w:t>
      </w:r>
    </w:p>
    <w:p/>
    <w:p>
      <w:r>
        <w:t>25.2.1</w:t>
      </w:r>
      <w:r>
        <w:rPr>
          <w:rFonts w:hint="eastAsia"/>
        </w:rPr>
        <w:t>根据合同约定，承包人认为有权得到追加付款和（或）延长工期的，应在知道或应知道索赔事件发生后</w:t>
      </w:r>
      <w:r>
        <w:t xml:space="preserve"> 14 </w:t>
      </w:r>
      <w:r>
        <w:rPr>
          <w:rFonts w:hint="eastAsia"/>
        </w:rPr>
        <w:t>天内通过监理人向发包人递交索赔通知书。</w:t>
      </w:r>
      <w:r>
        <w:t xml:space="preserve"> </w:t>
      </w:r>
      <w:r>
        <w:rPr>
          <w:rFonts w:hint="eastAsia"/>
        </w:rPr>
        <w:t>索赔事件具有连续影响的，</w:t>
      </w:r>
      <w:r>
        <w:t xml:space="preserve"> </w:t>
      </w:r>
      <w:r>
        <w:rPr>
          <w:rFonts w:hint="eastAsia"/>
        </w:rPr>
        <w:t>承包人应在索赔事件影响结束后的</w:t>
      </w:r>
      <w:r>
        <w:t xml:space="preserve"> 14 </w:t>
      </w:r>
      <w:r>
        <w:rPr>
          <w:rFonts w:hint="eastAsia"/>
        </w:rPr>
        <w:t>天内通过监理人向发包人递交最终索赔通知书。承包人未在前述</w:t>
      </w:r>
      <w:r>
        <w:t xml:space="preserve"> 14 </w:t>
      </w:r>
      <w:r>
        <w:rPr>
          <w:rFonts w:hint="eastAsia"/>
        </w:rPr>
        <w:t>天内递交赔通知书的，丧失要求追加付款和（或）延长工期的权利。</w:t>
      </w:r>
    </w:p>
    <w:p>
      <w:r>
        <w:t>25.2.2</w:t>
      </w:r>
      <w:r>
        <w:rPr>
          <w:rFonts w:hint="eastAsia"/>
        </w:rPr>
        <w:t>发包人收到承包人提交的索赔通知书后，应按合同约定商定或确定追加的付款和</w:t>
      </w:r>
    </w:p>
    <w:p/>
    <w:p>
      <w:r>
        <w:rPr>
          <w:rFonts w:hint="eastAsia"/>
        </w:rPr>
        <w:t>（或）延长的工期，并在收到上述索赔通知书或有关索赔的进一步证明材料后的</w:t>
      </w:r>
      <w:r>
        <w:t xml:space="preserve"> 14 </w:t>
      </w:r>
      <w:r>
        <w:rPr>
          <w:rFonts w:hint="eastAsia"/>
        </w:rPr>
        <w:t>天内将索赔处理结果答复承包人。承包人接受索赔处理结果的，索赔款项与当期进度款同期支付。承包人不接受索赔处理结果的，按第</w:t>
      </w:r>
      <w:r>
        <w:t xml:space="preserve"> 28 </w:t>
      </w:r>
      <w:r>
        <w:rPr>
          <w:rFonts w:hint="eastAsia"/>
        </w:rPr>
        <w:t>条约定执行。</w:t>
      </w:r>
    </w:p>
    <w:p>
      <w:r>
        <w:t>25.3</w:t>
      </w:r>
      <w:r>
        <w:rPr>
          <w:rFonts w:hint="eastAsia"/>
        </w:rPr>
        <w:t>关于索赔的其他约定见专用合同条款。</w:t>
      </w:r>
    </w:p>
    <w:p/>
    <w:p>
      <w:r>
        <w:t>26.</w:t>
      </w:r>
      <w:r>
        <w:rPr>
          <w:rFonts w:hint="eastAsia"/>
        </w:rPr>
        <w:t>保险</w:t>
      </w:r>
    </w:p>
    <w:p>
      <w:r>
        <w:t>26.1</w:t>
      </w:r>
      <w:r>
        <w:rPr>
          <w:rFonts w:hint="eastAsia"/>
        </w:rPr>
        <w:t>除合同另有约定外，发包人应投保建筑工程一切险或安装工程一切险。</w:t>
      </w:r>
    </w:p>
    <w:p/>
    <w:p>
      <w:r>
        <w:t>26.2</w:t>
      </w:r>
      <w:r>
        <w:rPr>
          <w:rFonts w:hint="eastAsia"/>
        </w:rPr>
        <w:t>承包人应按有关法律规定参加工伤保险，为其履行合同所雇佣的全部人员缴纳工伤保险费。发包人应按有关法律规定参加工伤保险，为其现场机构雇佣的全部人员缴纳工伤保险费，并要求监理人也投保此类保险。</w:t>
      </w:r>
    </w:p>
    <w:p>
      <w:r>
        <w:t>26.3</w:t>
      </w:r>
      <w:r>
        <w:rPr>
          <w:rFonts w:hint="eastAsia"/>
        </w:rPr>
        <w:t>具体投保内容和相关责任，见专用合同条款。</w:t>
      </w:r>
    </w:p>
    <w:p/>
    <w:p>
      <w:r>
        <w:t>27.</w:t>
      </w:r>
      <w:r>
        <w:rPr>
          <w:rFonts w:hint="eastAsia"/>
        </w:rPr>
        <w:t>不可抗力</w:t>
      </w:r>
    </w:p>
    <w:p>
      <w:r>
        <w:t>27.1</w:t>
      </w:r>
      <w:r>
        <w:rPr>
          <w:rFonts w:hint="eastAsia"/>
        </w:rPr>
        <w:t>不可抗力是指合同当事人在签订合同时不可预见，在合同履行过程中不可避免且不能克服的自然灾害和社会性突发事件，如地震、海啸、瘟疫、骚乱、戒严、暴动、战争和专用合同条款中约定的其他情形。</w:t>
      </w:r>
    </w:p>
    <w:p>
      <w:r>
        <w:t>27.2</w:t>
      </w:r>
      <w:r>
        <w:rPr>
          <w:rFonts w:hint="eastAsia"/>
        </w:rPr>
        <w:t>一方当事人遇到不可抗力事件、使其履行合同义务受到阻碍时，应立即通知对方，书面说明不可抗力和受阻碍的详细情况，并提供必要的证明。</w:t>
      </w:r>
    </w:p>
    <w:p>
      <w:r>
        <w:t>27.3</w:t>
      </w:r>
      <w:r>
        <w:rPr>
          <w:rFonts w:hint="eastAsia"/>
        </w:rPr>
        <w:t>除专用合同条款另有约定外，不可抗力导致的人员伤亡、财产损失、费用增加和（或）工期延误等后果，由双方当事人按以下原则承担：</w:t>
      </w:r>
    </w:p>
    <w:p>
      <w:r>
        <w:rPr>
          <w:rFonts w:hint="eastAsia"/>
        </w:rPr>
        <w:t>（</w:t>
      </w:r>
      <w:r>
        <w:t>1</w:t>
      </w:r>
      <w:r>
        <w:rPr>
          <w:rFonts w:hint="eastAsia"/>
        </w:rPr>
        <w:t>）永久工程，包括已运至施工场地的材料和工程设备的损害，以及因工程损害造成的第</w:t>
      </w:r>
      <w:r>
        <w:t xml:space="preserve"> </w:t>
      </w:r>
      <w:r>
        <w:rPr>
          <w:rFonts w:hint="eastAsia"/>
        </w:rPr>
        <w:t>三者人员伤亡和财产损失由发包人承担；</w:t>
      </w:r>
    </w:p>
    <w:p>
      <w:r>
        <w:rPr>
          <w:rFonts w:hint="eastAsia"/>
        </w:rPr>
        <w:t>（</w:t>
      </w:r>
      <w:r>
        <w:t>2</w:t>
      </w:r>
      <w:r>
        <w:rPr>
          <w:rFonts w:hint="eastAsia"/>
        </w:rPr>
        <w:t>）承包人设备的损坏由承包人承担；</w:t>
      </w:r>
    </w:p>
    <w:p/>
    <w:p>
      <w:r>
        <w:rPr>
          <w:rFonts w:hint="eastAsia"/>
        </w:rPr>
        <w:t>（</w:t>
      </w:r>
      <w:r>
        <w:t>3</w:t>
      </w:r>
      <w:r>
        <w:rPr>
          <w:rFonts w:hint="eastAsia"/>
        </w:rPr>
        <w:t>）发包人和承包人各自承担其人员伤亡和其他财产损失及其相关费用；</w:t>
      </w:r>
    </w:p>
    <w:p/>
    <w:p>
      <w:r>
        <w:rPr>
          <w:rFonts w:hint="eastAsia"/>
        </w:rPr>
        <w:t>（</w:t>
      </w:r>
      <w:r>
        <w:t>4</w:t>
      </w:r>
      <w:r>
        <w:rPr>
          <w:rFonts w:hint="eastAsia"/>
        </w:rPr>
        <w:t>）承包人的停工损失由承包人承担，但停工期间应发包人要求照管工程和清理、修复工</w:t>
      </w:r>
      <w:r>
        <w:t xml:space="preserve"> </w:t>
      </w:r>
      <w:r>
        <w:rPr>
          <w:rFonts w:hint="eastAsia"/>
        </w:rPr>
        <w:t>程的金额由发包人承担；</w:t>
      </w:r>
    </w:p>
    <w:p>
      <w:r>
        <w:rPr>
          <w:rFonts w:hint="eastAsia"/>
        </w:rPr>
        <w:t>（</w:t>
      </w:r>
      <w:r>
        <w:t>5</w:t>
      </w:r>
      <w:r>
        <w:rPr>
          <w:rFonts w:hint="eastAsia"/>
        </w:rPr>
        <w:t>）不能按期完工的，应合理延长工期，承包人不需支付逾期违约金。发包人要求赶工的，</w:t>
      </w:r>
      <w:r>
        <w:t xml:space="preserve"> </w:t>
      </w:r>
      <w:r>
        <w:rPr>
          <w:rFonts w:hint="eastAsia"/>
        </w:rPr>
        <w:t>承包人应采取赶工措施，赶工费用由发包人承担。</w:t>
      </w:r>
    </w:p>
    <w:p>
      <w:r>
        <w:t>27.4</w:t>
      </w:r>
      <w:r>
        <w:rPr>
          <w:rFonts w:hint="eastAsia"/>
        </w:rPr>
        <w:t>一方当事人因不可抗力不能履行合同的，应及时通知对方解除合同。合同解除后，承包人应按合同约定撤离施工场地。已经订货的材料、设备由订货方负责退货或解除订货合同，不能退还的货款和因退货、解除订货合同发生的费用，由发包人承担，因未及时退货造成的损失由责任</w:t>
      </w:r>
    </w:p>
    <w:p/>
    <w:p>
      <w:r>
        <w:rPr>
          <w:rFonts w:hint="eastAsia"/>
        </w:rPr>
        <w:t>方承担。</w:t>
      </w:r>
    </w:p>
    <w:p/>
    <w:p>
      <w:r>
        <w:t>28.</w:t>
      </w:r>
      <w:r>
        <w:rPr>
          <w:rFonts w:hint="eastAsia"/>
        </w:rPr>
        <w:t>争议</w:t>
      </w:r>
    </w:p>
    <w:p>
      <w:r>
        <w:rPr>
          <w:rFonts w:hint="eastAsia"/>
        </w:rPr>
        <w:t>如发包人和承包人在履行本合同中发生争议的，可协商或邀请第三方调解此类争议。任何一方不愿通过协商或调解解决争议或通过协商或调解仍不能解决争议的，在专用合同条款中约定下列一种方式解决：</w:t>
      </w:r>
    </w:p>
    <w:p>
      <w:r>
        <w:rPr>
          <w:rFonts w:hint="eastAsia"/>
        </w:rPr>
        <w:t>（</w:t>
      </w:r>
      <w:r>
        <w:t>1</w:t>
      </w:r>
      <w:r>
        <w:rPr>
          <w:rFonts w:hint="eastAsia"/>
        </w:rPr>
        <w:t>）第一种：向专用合同条款中约定的仲裁委员会申请仲裁；</w:t>
      </w:r>
    </w:p>
    <w:p/>
    <w:p>
      <w:r>
        <w:rPr>
          <w:rFonts w:hint="eastAsia"/>
        </w:rPr>
        <w:t>第二种：向专用合同条款中约定的人民法院起诉。</w:t>
      </w:r>
    </w:p>
    <w:p>
      <w:pPr>
        <w:rPr>
          <w:b/>
          <w:bCs/>
          <w:kern w:val="44"/>
          <w:sz w:val="28"/>
          <w:szCs w:val="20"/>
          <w:lang w:val="en-US" w:eastAsia="zh-CN"/>
        </w:rPr>
      </w:pPr>
    </w:p>
    <w:p>
      <w:pPr>
        <w:rPr>
          <w:b/>
          <w:bCs/>
          <w:kern w:val="44"/>
          <w:sz w:val="28"/>
          <w:szCs w:val="20"/>
          <w:lang w:val="en-US" w:eastAsia="zh-CN"/>
        </w:rPr>
      </w:pPr>
      <w:r>
        <w:rPr>
          <w:b/>
          <w:bCs/>
          <w:kern w:val="44"/>
          <w:sz w:val="28"/>
          <w:szCs w:val="20"/>
          <w:lang w:val="en-US" w:eastAsia="zh-CN"/>
        </w:rPr>
        <w:br w:type="page"/>
      </w:r>
    </w:p>
    <w:p>
      <w:pPr>
        <w:jc w:val="center"/>
        <w:rPr>
          <w:b/>
          <w:bCs/>
          <w:kern w:val="44"/>
          <w:sz w:val="28"/>
          <w:szCs w:val="20"/>
          <w:lang w:val="en-US" w:eastAsia="zh-CN"/>
        </w:rPr>
      </w:pPr>
      <w:r>
        <w:rPr>
          <w:rFonts w:hint="eastAsia"/>
          <w:b/>
          <w:bCs/>
          <w:kern w:val="44"/>
          <w:sz w:val="28"/>
          <w:szCs w:val="20"/>
          <w:lang w:val="en-US" w:eastAsia="zh-CN"/>
        </w:rPr>
        <w:t>专用部分</w:t>
      </w:r>
    </w:p>
    <w:p>
      <w:pPr>
        <w:pStyle w:val="6"/>
        <w:numPr>
          <w:ilvl w:val="0"/>
          <w:numId w:val="28"/>
        </w:numPr>
        <w:tabs>
          <w:tab w:val="left" w:pos="1120"/>
        </w:tabs>
      </w:pPr>
      <w:r>
        <w:rPr>
          <w:rFonts w:hint="eastAsia"/>
          <w:w w:val="95"/>
        </w:rPr>
        <w:t>一般约定</w:t>
      </w:r>
      <w:r>
        <w:rPr>
          <w:w w:val="95"/>
        </w:rPr>
        <w:t xml:space="preserve"> </w:t>
      </w:r>
    </w:p>
    <w:p>
      <w:pPr>
        <w:pStyle w:val="8"/>
        <w:spacing w:before="11"/>
        <w:rPr>
          <w:sz w:val="23"/>
        </w:rPr>
      </w:pPr>
    </w:p>
    <w:p>
      <w:pPr>
        <w:pStyle w:val="7"/>
        <w:numPr>
          <w:ilvl w:val="1"/>
          <w:numId w:val="28"/>
        </w:numPr>
        <w:tabs>
          <w:tab w:val="left" w:pos="1199"/>
        </w:tabs>
        <w:spacing w:before="0"/>
      </w:pPr>
      <w:bookmarkStart w:id="19" w:name="_bookmark95"/>
      <w:bookmarkEnd w:id="19"/>
      <w:r>
        <w:rPr>
          <w:rFonts w:hint="eastAsia"/>
        </w:rPr>
        <w:t>词语定义</w:t>
      </w:r>
      <w:r>
        <w:t xml:space="preserve"> </w:t>
      </w:r>
    </w:p>
    <w:p>
      <w:pPr>
        <w:pStyle w:val="8"/>
        <w:spacing w:before="9"/>
      </w:pPr>
    </w:p>
    <w:p>
      <w:pPr>
        <w:pStyle w:val="33"/>
        <w:numPr>
          <w:ilvl w:val="2"/>
          <w:numId w:val="29"/>
        </w:numPr>
        <w:tabs>
          <w:tab w:val="left" w:pos="1784"/>
        </w:tabs>
        <w:rPr>
          <w:sz w:val="21"/>
        </w:rPr>
      </w:pPr>
      <w:r>
        <w:rPr>
          <w:rFonts w:hint="eastAsia"/>
          <w:sz w:val="21"/>
        </w:rPr>
        <w:t>合同当事人和人员</w:t>
      </w:r>
      <w:r>
        <w:rPr>
          <w:sz w:val="21"/>
        </w:rPr>
        <w:t xml:space="preserve"> </w:t>
      </w:r>
    </w:p>
    <w:p>
      <w:pPr>
        <w:pStyle w:val="8"/>
        <w:spacing w:before="139"/>
        <w:ind w:left="1468"/>
      </w:pPr>
      <w:r>
        <w:t>1.1.2.2</w:t>
      </w:r>
      <w:r>
        <w:rPr>
          <w:spacing w:val="20"/>
        </w:rPr>
        <w:t xml:space="preserve"> </w:t>
      </w:r>
      <w:r>
        <w:rPr>
          <w:rFonts w:hint="eastAsia"/>
          <w:spacing w:val="20"/>
        </w:rPr>
        <w:t>发包人：</w:t>
      </w:r>
      <w:r>
        <w:rPr>
          <w:spacing w:val="20"/>
          <w:u w:val="single"/>
        </w:rPr>
        <w:t xml:space="preserve"> </w:t>
      </w:r>
      <w:r>
        <w:rPr>
          <w:rFonts w:hint="eastAsia"/>
          <w:spacing w:val="20"/>
          <w:u w:val="single"/>
        </w:rPr>
        <w:t>国家体育总局自行车击剑运动管理中心</w:t>
      </w:r>
      <w:r>
        <w:rPr>
          <w:u w:val="single"/>
        </w:rPr>
        <w:t xml:space="preserve">   </w:t>
      </w:r>
      <w:r>
        <w:rPr>
          <w:spacing w:val="-1"/>
          <w:u w:val="single"/>
        </w:rPr>
        <w:t xml:space="preserve"> </w:t>
      </w:r>
      <w:r>
        <w:t xml:space="preserve"> </w:t>
      </w:r>
    </w:p>
    <w:p>
      <w:pPr>
        <w:pStyle w:val="8"/>
        <w:spacing w:before="140"/>
        <w:ind w:left="1468"/>
      </w:pPr>
      <w:r>
        <w:t>1.1.2.3</w:t>
      </w:r>
      <w:r>
        <w:rPr>
          <w:spacing w:val="20"/>
        </w:rPr>
        <w:t xml:space="preserve"> </w:t>
      </w:r>
      <w:r>
        <w:rPr>
          <w:rFonts w:hint="eastAsia"/>
          <w:spacing w:val="20"/>
        </w:rPr>
        <w:t>承包人：</w:t>
      </w:r>
      <w:r>
        <w:rPr>
          <w:spacing w:val="20"/>
          <w:u w:val="single"/>
        </w:rPr>
        <w:t xml:space="preserve">   </w:t>
      </w:r>
      <w:r>
        <w:rPr>
          <w:rFonts w:hint="eastAsia"/>
          <w:spacing w:val="20"/>
          <w:u w:val="single"/>
          <w:lang w:val="en-US" w:eastAsia="zh-CN"/>
        </w:rPr>
        <w:t>待定</w:t>
      </w:r>
      <w:r>
        <w:rPr>
          <w:spacing w:val="-1"/>
          <w:u w:val="single"/>
        </w:rPr>
        <w:t xml:space="preserve"> </w:t>
      </w:r>
      <w:r>
        <w:t xml:space="preserve"> </w:t>
      </w:r>
    </w:p>
    <w:p>
      <w:pPr>
        <w:pStyle w:val="8"/>
        <w:spacing w:before="139"/>
        <w:ind w:left="1468"/>
      </w:pPr>
      <w:r>
        <w:t>1.1.2.6</w:t>
      </w:r>
      <w:r>
        <w:rPr>
          <w:spacing w:val="20"/>
        </w:rPr>
        <w:t xml:space="preserve"> </w:t>
      </w:r>
      <w:r>
        <w:rPr>
          <w:rFonts w:hint="eastAsia"/>
          <w:spacing w:val="20"/>
        </w:rPr>
        <w:t>监理人：</w:t>
      </w:r>
      <w:r>
        <w:rPr>
          <w:spacing w:val="20"/>
          <w:u w:val="single"/>
        </w:rPr>
        <w:t xml:space="preserve"> </w:t>
      </w:r>
      <w:r>
        <w:rPr>
          <w:spacing w:val="20"/>
          <w:u w:val="single"/>
          <w:lang w:val="en-US" w:eastAsia="zh-CN"/>
        </w:rPr>
        <w:t xml:space="preserve"> </w:t>
      </w:r>
      <w:r>
        <w:rPr>
          <w:rFonts w:hint="eastAsia"/>
          <w:spacing w:val="20"/>
          <w:u w:val="single"/>
          <w:lang w:val="en-US" w:eastAsia="zh-CN"/>
        </w:rPr>
        <w:t>待定</w:t>
      </w:r>
      <w:r>
        <w:rPr>
          <w:spacing w:val="-2"/>
          <w:u w:val="single"/>
        </w:rPr>
        <w:t xml:space="preserve"> </w:t>
      </w:r>
      <w:r>
        <w:t xml:space="preserve"> </w:t>
      </w:r>
    </w:p>
    <w:p>
      <w:pPr>
        <w:pStyle w:val="8"/>
        <w:spacing w:before="140"/>
        <w:ind w:left="1468"/>
      </w:pPr>
      <w:r>
        <w:t xml:space="preserve">1.1.2.8 </w:t>
      </w:r>
      <w:r>
        <w:rPr>
          <w:rFonts w:hint="eastAsia"/>
        </w:rPr>
        <w:t>发包人代表：</w:t>
      </w:r>
      <w:r>
        <w:t xml:space="preserve"> </w:t>
      </w:r>
    </w:p>
    <w:p>
      <w:pPr>
        <w:pStyle w:val="8"/>
        <w:spacing w:before="139" w:line="364" w:lineRule="auto"/>
        <w:ind w:left="2413" w:right="1708"/>
        <w:jc w:val="both"/>
      </w:pPr>
      <w:r>
        <w:rPr>
          <w:rFonts w:hint="eastAsia"/>
        </w:rPr>
        <w:t>姓名：</w:t>
      </w:r>
      <w:r>
        <w:t xml:space="preserve"> </w:t>
      </w:r>
      <w:r>
        <w:rPr>
          <w:spacing w:val="20"/>
          <w:u w:val="single"/>
        </w:rPr>
        <w:t xml:space="preserve"> </w:t>
      </w:r>
      <w:r>
        <w:rPr>
          <w:spacing w:val="20"/>
          <w:u w:val="single"/>
          <w:lang w:val="en-US" w:eastAsia="zh-CN"/>
        </w:rPr>
        <w:t xml:space="preserve"> </w:t>
      </w:r>
      <w:r>
        <w:rPr>
          <w:rFonts w:hint="eastAsia"/>
          <w:spacing w:val="20"/>
          <w:u w:val="single"/>
          <w:lang w:val="en-US" w:eastAsia="zh-CN"/>
        </w:rPr>
        <w:t>待定</w:t>
      </w:r>
    </w:p>
    <w:p>
      <w:pPr>
        <w:pStyle w:val="8"/>
        <w:spacing w:before="139" w:line="364" w:lineRule="auto"/>
        <w:ind w:left="2413" w:right="1708"/>
        <w:jc w:val="both"/>
      </w:pPr>
      <w:r>
        <w:rPr>
          <w:rFonts w:hint="eastAsia"/>
        </w:rPr>
        <w:t>职称：</w:t>
      </w:r>
      <w:r>
        <w:t xml:space="preserve"> </w:t>
      </w:r>
      <w:r>
        <w:rPr>
          <w:spacing w:val="20"/>
          <w:u w:val="single"/>
        </w:rPr>
        <w:t xml:space="preserve"> </w:t>
      </w:r>
      <w:r>
        <w:rPr>
          <w:spacing w:val="20"/>
          <w:u w:val="single"/>
          <w:lang w:val="en-US" w:eastAsia="zh-CN"/>
        </w:rPr>
        <w:t xml:space="preserve"> </w:t>
      </w:r>
      <w:r>
        <w:rPr>
          <w:rFonts w:hint="eastAsia"/>
          <w:spacing w:val="20"/>
          <w:u w:val="single"/>
          <w:lang w:val="en-US" w:eastAsia="zh-CN"/>
        </w:rPr>
        <w:t>待定</w:t>
      </w:r>
    </w:p>
    <w:p>
      <w:pPr>
        <w:pStyle w:val="8"/>
        <w:spacing w:before="139" w:line="364" w:lineRule="auto"/>
        <w:ind w:left="2413" w:right="1708"/>
        <w:jc w:val="both"/>
      </w:pPr>
      <w:r>
        <w:rPr>
          <w:rFonts w:hint="eastAsia"/>
        </w:rPr>
        <w:t>联系电话：</w:t>
      </w:r>
      <w:r>
        <w:rPr>
          <w:spacing w:val="20"/>
          <w:u w:val="single"/>
        </w:rPr>
        <w:t xml:space="preserve"> </w:t>
      </w:r>
      <w:r>
        <w:rPr>
          <w:spacing w:val="20"/>
          <w:u w:val="single"/>
          <w:lang w:val="en-US" w:eastAsia="zh-CN"/>
        </w:rPr>
        <w:t xml:space="preserve"> </w:t>
      </w:r>
      <w:r>
        <w:rPr>
          <w:rFonts w:hint="eastAsia"/>
          <w:spacing w:val="20"/>
          <w:u w:val="single"/>
          <w:lang w:val="en-US" w:eastAsia="zh-CN"/>
        </w:rPr>
        <w:t>待定</w:t>
      </w:r>
    </w:p>
    <w:p>
      <w:pPr>
        <w:pStyle w:val="8"/>
        <w:spacing w:before="139" w:line="364" w:lineRule="auto"/>
        <w:ind w:left="2413" w:right="1708"/>
        <w:jc w:val="both"/>
      </w:pPr>
      <w:r>
        <w:rPr>
          <w:rFonts w:hint="eastAsia"/>
        </w:rPr>
        <w:t>电子信箱：</w:t>
      </w:r>
      <w:r>
        <w:rPr>
          <w:spacing w:val="20"/>
          <w:u w:val="single"/>
        </w:rPr>
        <w:t xml:space="preserve"> </w:t>
      </w:r>
      <w:r>
        <w:rPr>
          <w:spacing w:val="20"/>
          <w:u w:val="single"/>
          <w:lang w:val="en-US" w:eastAsia="zh-CN"/>
        </w:rPr>
        <w:t xml:space="preserve"> </w:t>
      </w:r>
      <w:r>
        <w:rPr>
          <w:rFonts w:hint="eastAsia"/>
          <w:spacing w:val="20"/>
          <w:u w:val="single"/>
          <w:lang w:val="en-US" w:eastAsia="zh-CN"/>
        </w:rPr>
        <w:t>待定</w:t>
      </w:r>
    </w:p>
    <w:p>
      <w:pPr>
        <w:pStyle w:val="8"/>
        <w:spacing w:before="139" w:line="364" w:lineRule="auto"/>
        <w:ind w:left="2413" w:right="1708"/>
        <w:jc w:val="both"/>
      </w:pPr>
      <w:r>
        <w:rPr>
          <w:rFonts w:hint="eastAsia"/>
        </w:rPr>
        <w:t>通信地址：</w:t>
      </w:r>
      <w:r>
        <w:t xml:space="preserve"> </w:t>
      </w:r>
      <w:r>
        <w:rPr>
          <w:spacing w:val="20"/>
          <w:u w:val="single"/>
        </w:rPr>
        <w:t xml:space="preserve"> </w:t>
      </w:r>
      <w:r>
        <w:rPr>
          <w:spacing w:val="20"/>
          <w:u w:val="single"/>
          <w:lang w:val="en-US" w:eastAsia="zh-CN"/>
        </w:rPr>
        <w:t xml:space="preserve"> </w:t>
      </w:r>
      <w:r>
        <w:rPr>
          <w:rFonts w:hint="eastAsia"/>
          <w:spacing w:val="20"/>
          <w:u w:val="single"/>
          <w:lang w:val="en-US" w:eastAsia="zh-CN"/>
        </w:rPr>
        <w:t>待定</w:t>
      </w:r>
    </w:p>
    <w:p>
      <w:pPr>
        <w:pStyle w:val="33"/>
        <w:numPr>
          <w:ilvl w:val="2"/>
          <w:numId w:val="29"/>
        </w:numPr>
        <w:tabs>
          <w:tab w:val="left" w:pos="1784"/>
        </w:tabs>
        <w:spacing w:line="267" w:lineRule="exact"/>
        <w:rPr>
          <w:sz w:val="21"/>
        </w:rPr>
      </w:pPr>
      <w:r>
        <w:rPr>
          <w:rFonts w:hint="eastAsia"/>
          <w:sz w:val="21"/>
        </w:rPr>
        <w:t>工程和设备</w:t>
      </w:r>
      <w:r>
        <w:rPr>
          <w:sz w:val="21"/>
        </w:rPr>
        <w:t xml:space="preserve"> </w:t>
      </w:r>
    </w:p>
    <w:p>
      <w:pPr>
        <w:pStyle w:val="8"/>
        <w:spacing w:before="141"/>
        <w:ind w:left="1468" w:right="1489" w:rightChars="677"/>
      </w:pPr>
      <w:r>
        <w:t>1.1.3.2</w:t>
      </w:r>
      <w:r>
        <w:rPr>
          <w:spacing w:val="16"/>
        </w:rPr>
        <w:t xml:space="preserve"> </w:t>
      </w:r>
      <w:r>
        <w:rPr>
          <w:rFonts w:hint="eastAsia"/>
          <w:spacing w:val="16"/>
        </w:rPr>
        <w:t>永久工程：</w:t>
      </w:r>
      <w:r>
        <w:rPr>
          <w:spacing w:val="16"/>
          <w:u w:val="single"/>
        </w:rPr>
        <w:t xml:space="preserve"> </w:t>
      </w:r>
      <w:r>
        <w:rPr>
          <w:rFonts w:hint="eastAsia"/>
          <w:spacing w:val="16"/>
          <w:u w:val="single"/>
        </w:rPr>
        <w:t>该项目建设内容</w:t>
      </w:r>
      <w:r>
        <w:rPr>
          <w:rFonts w:hint="eastAsia"/>
          <w:color w:val="000000"/>
          <w:u w:val="single"/>
        </w:rPr>
        <w:t>为原食草料库改成</w:t>
      </w:r>
      <w:r>
        <w:rPr>
          <w:color w:val="000000"/>
          <w:u w:val="single"/>
        </w:rPr>
        <w:t>15</w:t>
      </w:r>
      <w:r>
        <w:rPr>
          <w:rFonts w:hint="eastAsia"/>
          <w:color w:val="000000"/>
          <w:u w:val="single"/>
        </w:rPr>
        <w:t>间马厩房，东西立面窗户更换与新增，原外门拆除移位，墙体封堵，原雨棚凿除、新增钢结构雨棚，室外雨水管拆除并新做，室内相关</w:t>
      </w:r>
      <w:r>
        <w:rPr>
          <w:rFonts w:hint="eastAsia"/>
          <w:u w:val="single"/>
        </w:rPr>
        <w:t>照明、动力配电系统、等电位联结，室内给排水系统，通风系统，采暖系统</w:t>
      </w:r>
      <w:r>
        <w:rPr>
          <w:rFonts w:hint="eastAsia"/>
          <w:color w:val="000000"/>
          <w:u w:val="single"/>
        </w:rPr>
        <w:t>。</w:t>
      </w:r>
      <w:r>
        <w:t xml:space="preserve"> </w:t>
      </w:r>
    </w:p>
    <w:p>
      <w:pPr>
        <w:pStyle w:val="8"/>
        <w:spacing w:before="139"/>
        <w:ind w:left="1468" w:right="1489" w:rightChars="677"/>
      </w:pPr>
      <w:r>
        <w:t>1.1.3.3</w:t>
      </w:r>
      <w:r>
        <w:rPr>
          <w:spacing w:val="16"/>
        </w:rPr>
        <w:t xml:space="preserve"> </w:t>
      </w:r>
      <w:r>
        <w:rPr>
          <w:rFonts w:hint="eastAsia"/>
          <w:spacing w:val="16"/>
        </w:rPr>
        <w:t>临时工程：</w:t>
      </w:r>
      <w:r>
        <w:rPr>
          <w:spacing w:val="16"/>
          <w:u w:val="single"/>
        </w:rPr>
        <w:t xml:space="preserve"> </w:t>
      </w:r>
      <w:r>
        <w:rPr>
          <w:rFonts w:hint="eastAsia"/>
          <w:spacing w:val="16"/>
          <w:u w:val="single"/>
        </w:rPr>
        <w:t>承包人为完成本合同范围内的全部永久工程而修建和搭设的临时性工程，并在发包人要求时，承包人需予以全部拆除的工程。包括但不限于临时性道路、施工供水工程、施工供电工程、生活及办公区工程、材料堆放场、材料加工场、施工设备基础等。</w:t>
      </w:r>
      <w:r>
        <w:rPr>
          <w:u w:val="single"/>
        </w:rPr>
        <w:t xml:space="preserve">    </w:t>
      </w:r>
      <w:r>
        <w:rPr>
          <w:spacing w:val="-2"/>
          <w:u w:val="single"/>
        </w:rPr>
        <w:t xml:space="preserve"> </w:t>
      </w:r>
      <w:r>
        <w:t xml:space="preserve"> </w:t>
      </w:r>
    </w:p>
    <w:p>
      <w:pPr>
        <w:pStyle w:val="8"/>
        <w:spacing w:before="140"/>
        <w:ind w:left="1468"/>
      </w:pPr>
      <w:r>
        <w:t>1.1.3.11</w:t>
      </w:r>
      <w:r>
        <w:rPr>
          <w:spacing w:val="16"/>
        </w:rPr>
        <w:t xml:space="preserve"> </w:t>
      </w:r>
      <w:r>
        <w:rPr>
          <w:rFonts w:hint="eastAsia"/>
          <w:spacing w:val="16"/>
        </w:rPr>
        <w:t>永久占地：</w:t>
      </w:r>
      <w:r>
        <w:rPr>
          <w:spacing w:val="-1"/>
          <w:u w:val="single"/>
        </w:rPr>
        <w:t xml:space="preserve"> </w:t>
      </w:r>
      <w:r>
        <w:rPr>
          <w:u w:val="single"/>
        </w:rPr>
        <w:t xml:space="preserve"> </w:t>
      </w:r>
      <w:r>
        <w:rPr>
          <w:rFonts w:hint="eastAsia"/>
          <w:u w:val="single"/>
        </w:rPr>
        <w:t>详见施工图纸</w:t>
      </w:r>
      <w:r>
        <w:rPr>
          <w:u w:val="single"/>
        </w:rPr>
        <w:t xml:space="preserve">   </w:t>
      </w:r>
      <w:r>
        <w:t xml:space="preserve"> </w:t>
      </w:r>
    </w:p>
    <w:p>
      <w:pPr>
        <w:pStyle w:val="8"/>
        <w:spacing w:before="139"/>
        <w:ind w:left="1468"/>
      </w:pPr>
      <w:r>
        <w:t>1.1.3.12</w:t>
      </w:r>
      <w:r>
        <w:rPr>
          <w:spacing w:val="16"/>
        </w:rPr>
        <w:t xml:space="preserve"> </w:t>
      </w:r>
      <w:r>
        <w:rPr>
          <w:rFonts w:hint="eastAsia"/>
          <w:spacing w:val="16"/>
        </w:rPr>
        <w:t>临时占地：</w:t>
      </w:r>
      <w:r>
        <w:rPr>
          <w:spacing w:val="16"/>
          <w:u w:val="single"/>
        </w:rPr>
        <w:t xml:space="preserve">   </w:t>
      </w:r>
      <w:r>
        <w:rPr>
          <w:spacing w:val="16"/>
          <w:u w:val="single"/>
          <w:lang w:val="en-US" w:eastAsia="zh-CN"/>
        </w:rPr>
        <w:t>/</w:t>
      </w:r>
      <w:r>
        <w:rPr>
          <w:u w:val="single"/>
        </w:rPr>
        <w:t xml:space="preserve"> </w:t>
      </w:r>
      <w:r>
        <w:rPr>
          <w:spacing w:val="-1"/>
          <w:u w:val="single"/>
        </w:rPr>
        <w:t xml:space="preserve"> </w:t>
      </w:r>
      <w:r>
        <w:t xml:space="preserve"> </w:t>
      </w:r>
    </w:p>
    <w:p>
      <w:pPr>
        <w:pStyle w:val="8"/>
        <w:spacing w:before="139"/>
        <w:ind w:left="1258"/>
      </w:pPr>
      <w:r>
        <w:t xml:space="preserve">1.1.4 </w:t>
      </w:r>
      <w:r>
        <w:rPr>
          <w:rFonts w:hint="eastAsia"/>
        </w:rPr>
        <w:t>日</w:t>
      </w:r>
      <w:r>
        <w:t xml:space="preserve"> </w:t>
      </w:r>
      <w:r>
        <w:rPr>
          <w:rFonts w:hint="eastAsia"/>
        </w:rPr>
        <w:t>期</w:t>
      </w:r>
      <w:r>
        <w:t xml:space="preserve"> </w:t>
      </w:r>
    </w:p>
    <w:p>
      <w:pPr>
        <w:pStyle w:val="8"/>
        <w:spacing w:before="140"/>
        <w:ind w:left="1468"/>
      </w:pPr>
      <w:r>
        <w:t xml:space="preserve">1.1.4.5 </w:t>
      </w:r>
      <w:r>
        <w:rPr>
          <w:rFonts w:hint="eastAsia"/>
        </w:rPr>
        <w:t>缺陷责任期期限：</w:t>
      </w:r>
      <w:r>
        <w:rPr>
          <w:u w:val="single"/>
          <w:lang w:val="en-US" w:eastAsia="zh-CN"/>
        </w:rPr>
        <w:t>24</w:t>
      </w:r>
      <w:r>
        <w:rPr>
          <w:rFonts w:hint="eastAsia"/>
        </w:rPr>
        <w:t>月。</w:t>
      </w:r>
      <w:r>
        <w:t xml:space="preserve"> </w:t>
      </w:r>
    </w:p>
    <w:p>
      <w:pPr>
        <w:pStyle w:val="8"/>
        <w:spacing w:before="139"/>
        <w:ind w:left="1258"/>
      </w:pPr>
      <w:r>
        <w:t xml:space="preserve">1.1.8 </w:t>
      </w:r>
      <w:r>
        <w:rPr>
          <w:rFonts w:hint="eastAsia"/>
        </w:rPr>
        <w:t>其他需要补充的内容</w:t>
      </w:r>
      <w:r>
        <w:t xml:space="preserve"> </w:t>
      </w:r>
    </w:p>
    <w:p>
      <w:pPr>
        <w:pStyle w:val="8"/>
        <w:spacing w:before="140"/>
        <w:ind w:left="1261"/>
      </w:pPr>
      <w:r>
        <w:rPr>
          <w:u w:val="single"/>
        </w:rPr>
        <w:t xml:space="preserve">          </w:t>
      </w:r>
      <w:r>
        <w:rPr>
          <w:spacing w:val="-2"/>
          <w:u w:val="single"/>
        </w:rPr>
        <w:t xml:space="preserve"> </w:t>
      </w:r>
      <w:r>
        <w:rPr>
          <w:u w:val="single"/>
        </w:rPr>
        <w:t xml:space="preserve"> </w:t>
      </w:r>
      <w:r>
        <w:rPr>
          <w:u w:val="single"/>
          <w:lang w:val="en-US" w:eastAsia="zh-CN"/>
        </w:rPr>
        <w:t>/</w:t>
      </w:r>
      <w:r>
        <w:rPr>
          <w:u w:val="single"/>
        </w:rPr>
        <w:t xml:space="preserve">                </w:t>
      </w:r>
      <w:r>
        <w:rPr>
          <w:spacing w:val="-2"/>
          <w:u w:val="single"/>
        </w:rPr>
        <w:t xml:space="preserve"> </w:t>
      </w:r>
      <w:r>
        <w:t xml:space="preserve"> </w:t>
      </w:r>
    </w:p>
    <w:p>
      <w:pPr>
        <w:pStyle w:val="8"/>
        <w:spacing w:before="3"/>
        <w:rPr>
          <w:sz w:val="15"/>
        </w:rPr>
      </w:pPr>
    </w:p>
    <w:p>
      <w:pPr>
        <w:pStyle w:val="7"/>
        <w:numPr>
          <w:ilvl w:val="1"/>
          <w:numId w:val="30"/>
        </w:numPr>
        <w:tabs>
          <w:tab w:val="left" w:pos="1199"/>
        </w:tabs>
      </w:pPr>
      <w:bookmarkStart w:id="20" w:name="_bookmark96"/>
      <w:bookmarkEnd w:id="20"/>
      <w:r>
        <w:rPr>
          <w:rFonts w:hint="eastAsia"/>
        </w:rPr>
        <w:t>合同文件的优先顺序</w:t>
      </w:r>
      <w:r>
        <w:t xml:space="preserve"> </w:t>
      </w:r>
    </w:p>
    <w:p>
      <w:pPr>
        <w:pStyle w:val="8"/>
        <w:spacing w:before="9"/>
      </w:pPr>
    </w:p>
    <w:p>
      <w:pPr>
        <w:pStyle w:val="8"/>
        <w:ind w:left="1320"/>
      </w:pPr>
      <w:r>
        <w:rPr>
          <w:rFonts w:hint="eastAsia"/>
        </w:rPr>
        <w:t>合同文件的优先解释顺序如下：</w:t>
      </w:r>
      <w:r>
        <w:t xml:space="preserve"> </w:t>
      </w:r>
    </w:p>
    <w:p>
      <w:pPr>
        <w:pStyle w:val="33"/>
        <w:numPr>
          <w:ilvl w:val="2"/>
          <w:numId w:val="30"/>
        </w:numPr>
        <w:tabs>
          <w:tab w:val="left" w:pos="1847"/>
        </w:tabs>
        <w:spacing w:before="139"/>
        <w:rPr>
          <w:sz w:val="21"/>
        </w:rPr>
      </w:pPr>
      <w:r>
        <w:rPr>
          <w:rFonts w:hint="eastAsia"/>
          <w:spacing w:val="-1"/>
          <w:sz w:val="21"/>
        </w:rPr>
        <w:t>合同协议书；</w:t>
      </w:r>
      <w:r>
        <w:rPr>
          <w:spacing w:val="-1"/>
          <w:sz w:val="21"/>
        </w:rPr>
        <w:t xml:space="preserve"> </w:t>
      </w:r>
    </w:p>
    <w:p>
      <w:pPr>
        <w:pStyle w:val="33"/>
        <w:numPr>
          <w:ilvl w:val="2"/>
          <w:numId w:val="30"/>
        </w:numPr>
        <w:tabs>
          <w:tab w:val="left" w:pos="1847"/>
        </w:tabs>
        <w:spacing w:before="139"/>
        <w:rPr>
          <w:sz w:val="21"/>
        </w:rPr>
      </w:pPr>
      <w:r>
        <w:rPr>
          <w:rFonts w:hint="eastAsia"/>
          <w:spacing w:val="-1"/>
          <w:sz w:val="21"/>
        </w:rPr>
        <w:t>中标通知书；</w:t>
      </w:r>
      <w:r>
        <w:rPr>
          <w:spacing w:val="-1"/>
          <w:sz w:val="21"/>
        </w:rPr>
        <w:t xml:space="preserve"> </w:t>
      </w:r>
    </w:p>
    <w:p>
      <w:pPr>
        <w:pStyle w:val="33"/>
        <w:numPr>
          <w:ilvl w:val="2"/>
          <w:numId w:val="30"/>
        </w:numPr>
        <w:tabs>
          <w:tab w:val="left" w:pos="1847"/>
        </w:tabs>
        <w:spacing w:before="140"/>
        <w:rPr>
          <w:sz w:val="21"/>
        </w:rPr>
      </w:pPr>
      <w:r>
        <w:rPr>
          <w:rFonts w:hint="eastAsia"/>
          <w:sz w:val="21"/>
        </w:rPr>
        <w:t>投标函及投标函附录；</w:t>
      </w:r>
      <w:r>
        <w:rPr>
          <w:sz w:val="21"/>
        </w:rPr>
        <w:t xml:space="preserve"> </w:t>
      </w:r>
    </w:p>
    <w:p>
      <w:pPr>
        <w:pStyle w:val="33"/>
        <w:numPr>
          <w:ilvl w:val="2"/>
          <w:numId w:val="30"/>
        </w:numPr>
        <w:tabs>
          <w:tab w:val="left" w:pos="1847"/>
        </w:tabs>
        <w:spacing w:before="140"/>
        <w:rPr>
          <w:sz w:val="21"/>
        </w:rPr>
      </w:pPr>
      <w:r>
        <w:rPr>
          <w:rFonts w:hint="eastAsia"/>
          <w:spacing w:val="-1"/>
          <w:sz w:val="21"/>
        </w:rPr>
        <w:t>合同条款专用部分；</w:t>
      </w:r>
      <w:r>
        <w:rPr>
          <w:spacing w:val="-1"/>
          <w:sz w:val="21"/>
        </w:rPr>
        <w:t xml:space="preserve"> </w:t>
      </w:r>
    </w:p>
    <w:p>
      <w:pPr>
        <w:pStyle w:val="33"/>
        <w:numPr>
          <w:ilvl w:val="2"/>
          <w:numId w:val="30"/>
        </w:numPr>
        <w:tabs>
          <w:tab w:val="left" w:pos="1847"/>
        </w:tabs>
        <w:spacing w:before="140"/>
        <w:rPr>
          <w:sz w:val="21"/>
        </w:rPr>
      </w:pPr>
      <w:r>
        <w:rPr>
          <w:rFonts w:hint="eastAsia"/>
          <w:spacing w:val="-1"/>
          <w:sz w:val="21"/>
        </w:rPr>
        <w:t>合同条款通用部分；</w:t>
      </w:r>
      <w:r>
        <w:rPr>
          <w:spacing w:val="-1"/>
          <w:sz w:val="21"/>
        </w:rPr>
        <w:t xml:space="preserve"> </w:t>
      </w:r>
    </w:p>
    <w:p>
      <w:pPr>
        <w:pStyle w:val="8"/>
        <w:numPr>
          <w:ilvl w:val="2"/>
          <w:numId w:val="30"/>
        </w:numPr>
        <w:spacing w:before="139"/>
        <w:rPr>
          <w:u w:val="single"/>
        </w:rPr>
      </w:pPr>
      <w:r>
        <w:rPr>
          <w:u w:val="single"/>
        </w:rPr>
        <w:t xml:space="preserve"> </w:t>
      </w:r>
      <w:r>
        <w:rPr>
          <w:rFonts w:hint="eastAsia"/>
          <w:u w:val="single"/>
        </w:rPr>
        <w:t>已标价的工程量清单或预算书；</w:t>
      </w:r>
    </w:p>
    <w:p>
      <w:pPr>
        <w:pStyle w:val="8"/>
        <w:numPr>
          <w:ilvl w:val="2"/>
          <w:numId w:val="30"/>
        </w:numPr>
        <w:spacing w:before="139"/>
      </w:pPr>
      <w:r>
        <w:rPr>
          <w:rFonts w:hint="eastAsia"/>
          <w:u w:val="single"/>
        </w:rPr>
        <w:t>技术标准和要求；</w:t>
      </w:r>
    </w:p>
    <w:p>
      <w:pPr>
        <w:pStyle w:val="8"/>
        <w:numPr>
          <w:ilvl w:val="2"/>
          <w:numId w:val="30"/>
        </w:numPr>
        <w:spacing w:before="139"/>
        <w:rPr>
          <w:u w:val="single"/>
        </w:rPr>
      </w:pPr>
      <w:r>
        <w:rPr>
          <w:rFonts w:hint="eastAsia"/>
          <w:u w:val="single"/>
        </w:rPr>
        <w:t>图纸；</w:t>
      </w:r>
    </w:p>
    <w:p>
      <w:pPr>
        <w:pStyle w:val="8"/>
        <w:numPr>
          <w:ilvl w:val="2"/>
          <w:numId w:val="30"/>
        </w:numPr>
        <w:spacing w:before="139"/>
        <w:rPr>
          <w:u w:val="single"/>
        </w:rPr>
      </w:pPr>
      <w:r>
        <w:rPr>
          <w:rFonts w:hint="eastAsia"/>
          <w:u w:val="single"/>
        </w:rPr>
        <w:t>投标书及其附件；</w:t>
      </w:r>
    </w:p>
    <w:p>
      <w:pPr>
        <w:pStyle w:val="8"/>
        <w:numPr>
          <w:ilvl w:val="2"/>
          <w:numId w:val="30"/>
        </w:numPr>
        <w:spacing w:before="139"/>
      </w:pPr>
      <w:r>
        <w:rPr>
          <w:rFonts w:hint="eastAsia"/>
          <w:u w:val="single"/>
        </w:rPr>
        <w:t>标准、规范及有关技术文件</w:t>
      </w:r>
      <w:r>
        <w:rPr>
          <w:rFonts w:hint="eastAsia"/>
          <w:u w:val="single"/>
          <w:lang w:eastAsia="zh-CN"/>
        </w:rPr>
        <w:t>；</w:t>
      </w:r>
    </w:p>
    <w:p>
      <w:pPr>
        <w:pStyle w:val="8"/>
        <w:spacing w:before="140" w:line="364" w:lineRule="auto"/>
        <w:ind w:left="838" w:right="1798" w:firstLine="480"/>
      </w:pPr>
      <w:r>
        <w:rPr>
          <w:rFonts w:hint="eastAsia"/>
          <w:spacing w:val="1"/>
        </w:rPr>
        <w:t>（</w:t>
      </w:r>
      <w:r>
        <w:rPr>
          <w:rFonts w:hint="eastAsia"/>
          <w:spacing w:val="-35"/>
        </w:rPr>
        <w:t>说明：</w:t>
      </w:r>
      <w:r>
        <w:rPr>
          <w:rFonts w:hint="eastAsia"/>
          <w:spacing w:val="1"/>
        </w:rPr>
        <w:t>（</w:t>
      </w:r>
      <w:r>
        <w:rPr>
          <w:spacing w:val="1"/>
        </w:rPr>
        <w:t>6</w:t>
      </w:r>
      <w:r>
        <w:rPr>
          <w:rFonts w:hint="eastAsia"/>
          <w:spacing w:val="-103"/>
        </w:rPr>
        <w:t>）</w:t>
      </w:r>
      <w:r>
        <w:rPr>
          <w:rFonts w:hint="eastAsia"/>
          <w:spacing w:val="-104"/>
        </w:rPr>
        <w:t>、</w:t>
      </w:r>
      <w:r>
        <w:rPr>
          <w:rFonts w:hint="eastAsia"/>
          <w:spacing w:val="1"/>
        </w:rPr>
        <w:t>（</w:t>
      </w:r>
      <w:r>
        <w:rPr>
          <w:spacing w:val="1"/>
        </w:rPr>
        <w:t>7</w:t>
      </w:r>
      <w:r>
        <w:rPr>
          <w:rFonts w:hint="eastAsia"/>
          <w:spacing w:val="-104"/>
        </w:rPr>
        <w:t>）、</w:t>
      </w:r>
      <w:r>
        <w:rPr>
          <w:rFonts w:hint="eastAsia"/>
          <w:spacing w:val="1"/>
        </w:rPr>
        <w:t>（</w:t>
      </w:r>
      <w:r>
        <w:rPr>
          <w:spacing w:val="1"/>
        </w:rPr>
        <w:t>8</w:t>
      </w:r>
      <w:r>
        <w:rPr>
          <w:rFonts w:hint="eastAsia"/>
          <w:spacing w:val="1"/>
        </w:rPr>
        <w:t>）</w:t>
      </w:r>
      <w:r>
        <w:rPr>
          <w:rFonts w:hint="eastAsia"/>
        </w:rPr>
        <w:t>填空内容分别限于技术标准和要求、图纸、已标价工程量清</w:t>
      </w:r>
      <w:r>
        <w:rPr>
          <w:rFonts w:hint="eastAsia"/>
          <w:spacing w:val="-18"/>
        </w:rPr>
        <w:t>单三者之一。</w:t>
      </w:r>
      <w:r>
        <w:rPr>
          <w:rFonts w:hint="eastAsia"/>
        </w:rPr>
        <w:t>）</w:t>
      </w:r>
      <w:r>
        <w:t xml:space="preserve"> </w:t>
      </w:r>
    </w:p>
    <w:p>
      <w:pPr>
        <w:pStyle w:val="7"/>
        <w:numPr>
          <w:ilvl w:val="1"/>
          <w:numId w:val="30"/>
        </w:numPr>
        <w:tabs>
          <w:tab w:val="left" w:pos="1199"/>
        </w:tabs>
        <w:spacing w:before="120"/>
      </w:pPr>
      <w:bookmarkStart w:id="21" w:name="_bookmark97"/>
      <w:bookmarkEnd w:id="21"/>
      <w:r>
        <w:rPr>
          <w:rFonts w:hint="eastAsia"/>
        </w:rPr>
        <w:t>合同协议书</w:t>
      </w:r>
      <w:r>
        <w:t xml:space="preserve"> </w:t>
      </w:r>
    </w:p>
    <w:p>
      <w:pPr>
        <w:pStyle w:val="8"/>
        <w:spacing w:before="9"/>
      </w:pPr>
    </w:p>
    <w:p>
      <w:pPr>
        <w:pStyle w:val="8"/>
        <w:ind w:left="1258" w:right="1709" w:rightChars="777"/>
        <w:rPr>
          <w:u w:val="single"/>
        </w:rPr>
      </w:pPr>
      <w:r>
        <w:rPr>
          <w:rFonts w:hint="eastAsia"/>
        </w:rPr>
        <w:t>合同生效的条件：</w:t>
      </w:r>
      <w:r>
        <w:rPr>
          <w:u w:val="single"/>
        </w:rPr>
        <w:t xml:space="preserve"> </w:t>
      </w:r>
      <w:r>
        <w:rPr>
          <w:rFonts w:hint="eastAsia"/>
          <w:u w:val="single"/>
        </w:rPr>
        <w:t>双方法定代表人或授权代表签字（或盖章）并加盖公章或合同章后</w:t>
      </w:r>
    </w:p>
    <w:p>
      <w:pPr>
        <w:pStyle w:val="8"/>
        <w:ind w:right="1709" w:rightChars="777" w:firstLine="2940" w:firstLineChars="1400"/>
      </w:pPr>
      <w:r>
        <w:rPr>
          <w:rFonts w:hint="eastAsia"/>
          <w:u w:val="single"/>
        </w:rPr>
        <w:t>即日生效。</w:t>
      </w:r>
      <w:r>
        <w:rPr>
          <w:u w:val="single"/>
        </w:rPr>
        <w:t xml:space="preserve"> </w:t>
      </w:r>
      <w:r>
        <w:t xml:space="preserve"> </w:t>
      </w:r>
    </w:p>
    <w:p>
      <w:pPr>
        <w:pStyle w:val="8"/>
        <w:spacing w:before="3"/>
        <w:rPr>
          <w:sz w:val="15"/>
        </w:rPr>
      </w:pPr>
    </w:p>
    <w:p>
      <w:pPr>
        <w:pStyle w:val="7"/>
        <w:numPr>
          <w:ilvl w:val="1"/>
          <w:numId w:val="30"/>
        </w:numPr>
        <w:tabs>
          <w:tab w:val="left" w:pos="1199"/>
        </w:tabs>
        <w:ind w:right="6628" w:hanging="1199"/>
      </w:pPr>
      <w:bookmarkStart w:id="22" w:name="_bookmark98"/>
      <w:bookmarkEnd w:id="22"/>
      <w:r>
        <w:rPr>
          <w:rFonts w:hint="eastAsia"/>
        </w:rPr>
        <w:t>图纸和承包人文件</w:t>
      </w:r>
      <w:r>
        <w:t xml:space="preserve"> </w:t>
      </w:r>
    </w:p>
    <w:p>
      <w:pPr>
        <w:pStyle w:val="8"/>
        <w:spacing w:before="9"/>
      </w:pPr>
    </w:p>
    <w:p>
      <w:pPr>
        <w:pStyle w:val="33"/>
        <w:numPr>
          <w:ilvl w:val="2"/>
          <w:numId w:val="31"/>
        </w:numPr>
        <w:tabs>
          <w:tab w:val="left" w:pos="1784"/>
        </w:tabs>
        <w:ind w:right="6539" w:hanging="1784"/>
        <w:rPr>
          <w:sz w:val="21"/>
        </w:rPr>
      </w:pPr>
      <w:r>
        <w:rPr>
          <w:rFonts w:hint="eastAsia"/>
          <w:sz w:val="21"/>
        </w:rPr>
        <w:t>图纸的提供</w:t>
      </w:r>
      <w:r>
        <w:rPr>
          <w:sz w:val="21"/>
        </w:rPr>
        <w:t xml:space="preserve"> </w:t>
      </w:r>
    </w:p>
    <w:p>
      <w:pPr>
        <w:pStyle w:val="8"/>
        <w:numPr>
          <w:ilvl w:val="0"/>
          <w:numId w:val="32"/>
        </w:numPr>
        <w:spacing w:before="139" w:line="364" w:lineRule="auto"/>
        <w:ind w:left="801" w:right="1708" w:firstLine="55"/>
        <w:jc w:val="both"/>
      </w:pPr>
      <w:r>
        <w:rPr>
          <w:rFonts w:hint="eastAsia"/>
        </w:rPr>
        <w:t>发包人提供图纸的期限：</w:t>
      </w:r>
      <w:r>
        <w:rPr>
          <w:rFonts w:hint="eastAsia"/>
          <w:u w:val="single"/>
        </w:rPr>
        <w:t>开工前</w:t>
      </w:r>
      <w:r>
        <w:rPr>
          <w:u w:val="single"/>
        </w:rPr>
        <w:t>7</w:t>
      </w:r>
      <w:r>
        <w:rPr>
          <w:rFonts w:hint="eastAsia"/>
          <w:u w:val="single"/>
        </w:rPr>
        <w:t>日内</w:t>
      </w:r>
    </w:p>
    <w:p>
      <w:pPr>
        <w:pStyle w:val="8"/>
        <w:spacing w:before="139" w:line="364" w:lineRule="auto"/>
        <w:ind w:right="1708" w:firstLine="1470" w:firstLineChars="700"/>
        <w:jc w:val="both"/>
      </w:pPr>
      <w:r>
        <w:rPr>
          <w:rFonts w:hint="eastAsia"/>
        </w:rPr>
        <w:t>发包人提供图纸的数量：</w:t>
      </w:r>
      <w:r>
        <w:rPr>
          <w:u w:val="single"/>
        </w:rPr>
        <w:t>9</w:t>
      </w:r>
      <w:r>
        <w:rPr>
          <w:rFonts w:hint="eastAsia"/>
          <w:u w:val="single"/>
        </w:rPr>
        <w:t>套施工图（其中包含</w:t>
      </w:r>
      <w:r>
        <w:rPr>
          <w:u w:val="single"/>
        </w:rPr>
        <w:t>1</w:t>
      </w:r>
      <w:r>
        <w:rPr>
          <w:rFonts w:hint="eastAsia"/>
          <w:u w:val="single"/>
        </w:rPr>
        <w:t>套施工图</w:t>
      </w:r>
      <w:r>
        <w:rPr>
          <w:u w:val="single"/>
        </w:rPr>
        <w:t xml:space="preserve"> </w:t>
      </w:r>
      <w:r>
        <w:rPr>
          <w:rFonts w:hint="eastAsia"/>
          <w:u w:val="single"/>
        </w:rPr>
        <w:t>，</w:t>
      </w:r>
      <w:r>
        <w:rPr>
          <w:u w:val="single"/>
        </w:rPr>
        <w:t>8</w:t>
      </w:r>
      <w:r>
        <w:rPr>
          <w:rFonts w:hint="eastAsia"/>
          <w:u w:val="single"/>
        </w:rPr>
        <w:t>套竣工用图）</w:t>
      </w:r>
    </w:p>
    <w:p>
      <w:pPr>
        <w:pStyle w:val="8"/>
        <w:spacing w:before="139" w:line="364" w:lineRule="auto"/>
        <w:ind w:right="1490" w:firstLine="1470" w:firstLineChars="700"/>
        <w:jc w:val="both"/>
      </w:pPr>
      <w:r>
        <w:rPr>
          <w:rFonts w:hint="eastAsia"/>
        </w:rPr>
        <w:t>其他约定：</w:t>
      </w:r>
      <w:r>
        <w:rPr>
          <w:rFonts w:hint="eastAsia"/>
          <w:u w:val="single"/>
        </w:rPr>
        <w:t>承包人需要增加图纸套数的，发包人应代为复制，复制费用由承包人承担。</w:t>
      </w:r>
      <w:r>
        <w:t xml:space="preserve"> </w:t>
      </w:r>
    </w:p>
    <w:p>
      <w:pPr>
        <w:pStyle w:val="33"/>
        <w:numPr>
          <w:ilvl w:val="2"/>
          <w:numId w:val="31"/>
        </w:numPr>
        <w:spacing w:line="267" w:lineRule="exact"/>
        <w:ind w:hanging="1784"/>
        <w:rPr>
          <w:sz w:val="21"/>
        </w:rPr>
      </w:pPr>
      <w:r>
        <w:rPr>
          <w:rFonts w:hint="eastAsia"/>
          <w:sz w:val="21"/>
        </w:rPr>
        <w:t>承包人提供的文件</w:t>
      </w:r>
      <w:r>
        <w:rPr>
          <w:sz w:val="21"/>
        </w:rPr>
        <w:t xml:space="preserve"> </w:t>
      </w:r>
    </w:p>
    <w:p>
      <w:pPr>
        <w:pStyle w:val="8"/>
        <w:spacing w:before="140"/>
        <w:ind w:left="1096" w:leftChars="381" w:right="1708" w:hanging="258" w:hangingChars="123"/>
        <w:jc w:val="both"/>
      </w:pPr>
      <w:r>
        <w:rPr>
          <w:rFonts w:hint="eastAsia"/>
        </w:rPr>
        <w:t>（</w:t>
      </w:r>
      <w:r>
        <w:t>1</w:t>
      </w:r>
      <w:r>
        <w:rPr>
          <w:rFonts w:hint="eastAsia"/>
        </w:rPr>
        <w:t>）由承包人提供的文件范围：</w:t>
      </w:r>
      <w:r>
        <w:rPr>
          <w:u w:val="single"/>
        </w:rPr>
        <w:t xml:space="preserve"> </w:t>
      </w:r>
      <w:r>
        <w:rPr>
          <w:rFonts w:hint="eastAsia"/>
          <w:u w:val="single"/>
        </w:rPr>
        <w:t>包括但不限于当月工程统计报表和下月计划报表；承包人范围内需进行施工所需要的二次深化设计文件（包括但不限于深化设计图、施工详图、配制图、翻样图、计算书及设计说明）、加工图、大样图以及其他发包人在合理时间内要求的图纸，图纸一式九套，同时提供完整的</w:t>
      </w:r>
      <w:r>
        <w:rPr>
          <w:u w:val="single"/>
        </w:rPr>
        <w:t xml:space="preserve"> CAD </w:t>
      </w:r>
      <w:r>
        <w:rPr>
          <w:rFonts w:hint="eastAsia"/>
          <w:u w:val="single"/>
        </w:rPr>
        <w:t>电子版一份、</w:t>
      </w:r>
      <w:r>
        <w:rPr>
          <w:u w:val="single"/>
        </w:rPr>
        <w:t>PDF</w:t>
      </w:r>
      <w:r>
        <w:rPr>
          <w:rFonts w:hint="eastAsia"/>
          <w:u w:val="single"/>
        </w:rPr>
        <w:t>版一份，相关费用已包含在签约合同价中。</w:t>
      </w:r>
      <w:r>
        <w:rPr>
          <w:u w:val="single"/>
        </w:rPr>
        <w:t xml:space="preserve"> </w:t>
      </w:r>
      <w:r>
        <w:t xml:space="preserve">             </w:t>
      </w:r>
      <w:r>
        <w:rPr>
          <w:spacing w:val="-1"/>
        </w:rPr>
        <w:t xml:space="preserve"> </w:t>
      </w:r>
      <w:r>
        <w:t xml:space="preserve">                   </w:t>
      </w:r>
      <w:r>
        <w:rPr>
          <w:spacing w:val="-2"/>
        </w:rPr>
        <w:t xml:space="preserve"> </w:t>
      </w:r>
      <w:r>
        <w:t xml:space="preserve">              </w:t>
      </w:r>
      <w:r>
        <w:rPr>
          <w:spacing w:val="-1"/>
        </w:rPr>
        <w:t xml:space="preserve"> </w:t>
      </w:r>
      <w: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2"/>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t xml:space="preserve"> </w:t>
      </w:r>
    </w:p>
    <w:p>
      <w:pPr>
        <w:pStyle w:val="8"/>
        <w:spacing w:before="139"/>
        <w:ind w:left="1100" w:leftChars="500" w:right="1708" w:firstLine="159" w:firstLineChars="76"/>
        <w:jc w:val="both"/>
      </w:pPr>
      <w:r>
        <w:rPr>
          <w:rFonts w:hint="eastAsia"/>
        </w:rPr>
        <w:t>承包人提供文件的期限：</w:t>
      </w:r>
      <w:r>
        <w:rPr>
          <w:u w:val="single"/>
        </w:rPr>
        <w:t xml:space="preserve">  </w:t>
      </w:r>
      <w:r>
        <w:rPr>
          <w:rFonts w:hint="eastAsia"/>
          <w:u w:val="single"/>
        </w:rPr>
        <w:t>在本合同签订后</w:t>
      </w:r>
      <w:r>
        <w:rPr>
          <w:u w:val="single"/>
        </w:rPr>
        <w:t>3</w:t>
      </w:r>
      <w:r>
        <w:rPr>
          <w:rFonts w:hint="eastAsia"/>
          <w:u w:val="single"/>
        </w:rPr>
        <w:t>日内，应按监理工程师要求，向监理人提交一份完整的工程进度计划，并于每月</w:t>
      </w:r>
      <w:r>
        <w:rPr>
          <w:u w:val="single"/>
        </w:rPr>
        <w:t>25</w:t>
      </w:r>
      <w:r>
        <w:rPr>
          <w:rFonts w:hint="eastAsia"/>
          <w:u w:val="single"/>
        </w:rPr>
        <w:t>日提供当月工程统计报表及下月计划报表。</w:t>
      </w:r>
      <w:r>
        <w:rPr>
          <w:u w:val="single"/>
        </w:rPr>
        <w:t xml:space="preserve"> </w:t>
      </w:r>
      <w: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t xml:space="preserve"> </w:t>
      </w:r>
    </w:p>
    <w:p>
      <w:pPr>
        <w:pStyle w:val="8"/>
        <w:spacing w:before="139"/>
        <w:ind w:right="1708" w:firstLine="1260" w:firstLineChars="600"/>
        <w:jc w:val="both"/>
      </w:pPr>
      <w:r>
        <w:rPr>
          <w:rFonts w:hint="eastAsia"/>
        </w:rPr>
        <w:t>承包人提供文件的数量：</w:t>
      </w:r>
      <w:r>
        <w:rPr>
          <w:u w:val="single"/>
        </w:rPr>
        <w:t xml:space="preserve">  9</w:t>
      </w:r>
      <w:r>
        <w:rPr>
          <w:rFonts w:hint="eastAsia"/>
          <w:u w:val="single"/>
        </w:rPr>
        <w:t>套</w:t>
      </w:r>
      <w:r>
        <w:rPr>
          <w:u w:val="single"/>
        </w:rPr>
        <w:t xml:space="preserve"> </w:t>
      </w:r>
      <w:r>
        <w:t xml:space="preserve">                      </w:t>
      </w:r>
      <w:r>
        <w:rPr>
          <w:spacing w:val="-2"/>
        </w:rPr>
        <w:t xml:space="preserve"> </w:t>
      </w:r>
      <w:r>
        <w:t xml:space="preserve">          </w:t>
      </w:r>
      <w:r>
        <w:rPr>
          <w:spacing w:val="-1"/>
        </w:rPr>
        <w:t xml:space="preserve"> </w:t>
      </w:r>
      <w: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t xml:space="preserve"> </w:t>
      </w:r>
    </w:p>
    <w:p>
      <w:pPr>
        <w:pStyle w:val="8"/>
        <w:spacing w:before="140"/>
        <w:ind w:left="1100" w:leftChars="500" w:right="1708" w:firstLine="159" w:firstLineChars="76"/>
        <w:jc w:val="both"/>
      </w:pPr>
      <w:r>
        <w:rPr>
          <w:rFonts w:hint="eastAsia"/>
        </w:rPr>
        <w:t>监理人批复承包人提供文件的期限：</w:t>
      </w:r>
      <w:r>
        <w:rPr>
          <w:u w:val="single"/>
        </w:rPr>
        <w:t xml:space="preserve"> </w:t>
      </w:r>
      <w:r>
        <w:rPr>
          <w:rFonts w:hint="eastAsia"/>
          <w:u w:val="single"/>
        </w:rPr>
        <w:t>监理人收到承包人提供的文件后</w:t>
      </w:r>
      <w:r>
        <w:rPr>
          <w:u w:val="single"/>
        </w:rPr>
        <w:t>7</w:t>
      </w:r>
      <w:r>
        <w:rPr>
          <w:rFonts w:hint="eastAsia"/>
          <w:u w:val="single"/>
        </w:rPr>
        <w:t>天内批复并将批复意见报送发包人，发包人应在收到文件后</w:t>
      </w:r>
      <w:r>
        <w:rPr>
          <w:u w:val="single"/>
        </w:rPr>
        <w:t>7</w:t>
      </w:r>
      <w:r>
        <w:rPr>
          <w:rFonts w:hint="eastAsia"/>
          <w:u w:val="single"/>
        </w:rPr>
        <w:t>天内审核确认并将确认文件送交监理人，监理人收到发包人审核确认文件后送达承包人</w:t>
      </w:r>
      <w:r>
        <w:rPr>
          <w:u w:val="single"/>
        </w:rPr>
        <w:t xml:space="preserve"> </w:t>
      </w:r>
      <w:r>
        <w:t xml:space="preserve"> </w:t>
      </w:r>
    </w:p>
    <w:p>
      <w:pPr>
        <w:pStyle w:val="8"/>
        <w:spacing w:before="139"/>
        <w:ind w:right="1709"/>
        <w:jc w:val="right"/>
      </w:pP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t xml:space="preserve"> </w:t>
      </w:r>
    </w:p>
    <w:p>
      <w:pPr>
        <w:pStyle w:val="8"/>
        <w:spacing w:before="140"/>
        <w:ind w:left="1098" w:leftChars="499" w:right="1709"/>
        <w:jc w:val="both"/>
      </w:pPr>
      <w:r>
        <w:rPr>
          <w:rFonts w:hint="eastAsia"/>
        </w:rPr>
        <w:t>其他约定：</w:t>
      </w:r>
      <w:r>
        <w:rPr>
          <w:rFonts w:hint="eastAsia"/>
          <w:u w:val="single"/>
        </w:rPr>
        <w:t>承包人负责编制竣工图纸</w:t>
      </w:r>
      <w:r>
        <w:rPr>
          <w:u w:val="single"/>
        </w:rPr>
        <w:t xml:space="preserve"> 8 </w:t>
      </w:r>
      <w:r>
        <w:rPr>
          <w:rFonts w:hint="eastAsia"/>
          <w:u w:val="single"/>
        </w:rPr>
        <w:t>套，竣工图纸编制（包含设计院签认证明、竣工图章）、工程竣工资料、深化设计工作、图纸缩印、工程竣工资料电子版编制等一切所涉承包人应提供文件的费用均已包含在签约合同价中。</w:t>
      </w:r>
      <w:r>
        <w:t xml:space="preserve"> </w:t>
      </w:r>
    </w:p>
    <w:p>
      <w:pPr>
        <w:pStyle w:val="8"/>
        <w:spacing w:before="139"/>
        <w:ind w:left="1098" w:right="1709" w:hanging="1098" w:hangingChars="523"/>
        <w:jc w:val="right"/>
        <w:rPr>
          <w:sz w:val="15"/>
        </w:rPr>
      </w:pP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2"/>
          <w:u w:val="single"/>
        </w:rPr>
        <w:t xml:space="preserve"> </w:t>
      </w:r>
      <w:r>
        <w:rPr>
          <w:u w:val="single"/>
        </w:rPr>
        <w:t xml:space="preserve">                     </w:t>
      </w:r>
      <w:r>
        <w:rPr>
          <w:spacing w:val="-2"/>
          <w:u w:val="single"/>
        </w:rPr>
        <w:t xml:space="preserve"> </w:t>
      </w:r>
      <w:r>
        <w:rPr>
          <w:u w:val="single"/>
        </w:rPr>
        <w:t xml:space="preserve">  </w:t>
      </w:r>
      <w:r>
        <w:t xml:space="preserve"> </w:t>
      </w:r>
    </w:p>
    <w:p>
      <w:pPr>
        <w:pStyle w:val="7"/>
        <w:ind w:left="838"/>
      </w:pPr>
      <w:bookmarkStart w:id="23" w:name="_bookmark99"/>
      <w:bookmarkEnd w:id="23"/>
      <w:r>
        <w:t xml:space="preserve">1.7 </w:t>
      </w:r>
      <w:r>
        <w:rPr>
          <w:rFonts w:hint="eastAsia"/>
        </w:rPr>
        <w:t>联</w:t>
      </w:r>
      <w:r>
        <w:t xml:space="preserve"> </w:t>
      </w:r>
      <w:r>
        <w:rPr>
          <w:rFonts w:hint="eastAsia"/>
        </w:rPr>
        <w:t>络</w:t>
      </w:r>
      <w:r>
        <w:t xml:space="preserve"> </w:t>
      </w:r>
    </w:p>
    <w:p>
      <w:pPr>
        <w:pStyle w:val="8"/>
        <w:spacing w:before="9"/>
      </w:pPr>
    </w:p>
    <w:p>
      <w:pPr>
        <w:pStyle w:val="8"/>
        <w:ind w:left="1258"/>
      </w:pPr>
      <w:r>
        <w:t xml:space="preserve">1.7.2 </w:t>
      </w:r>
      <w:r>
        <w:rPr>
          <w:rFonts w:hint="eastAsia"/>
        </w:rPr>
        <w:t>联络来往函件的送达和接收</w:t>
      </w:r>
      <w:r>
        <w:t xml:space="preserve"> </w:t>
      </w:r>
    </w:p>
    <w:p>
      <w:pPr>
        <w:pStyle w:val="8"/>
        <w:spacing w:before="139" w:line="364" w:lineRule="auto"/>
        <w:ind w:left="1405" w:right="1771" w:hanging="148"/>
      </w:pPr>
      <w:r>
        <w:rPr>
          <w:rFonts w:hint="eastAsia"/>
        </w:rPr>
        <w:t>（</w:t>
      </w:r>
      <w:r>
        <w:t>2</w:t>
      </w:r>
      <w:r>
        <w:rPr>
          <w:rFonts w:hint="eastAsia"/>
        </w:rPr>
        <w:t>）发包人指定的接收地点：</w:t>
      </w:r>
      <w:r>
        <w:rPr>
          <w:u w:val="single"/>
        </w:rPr>
        <w:t xml:space="preserve">     </w:t>
      </w:r>
      <w:r>
        <w:rPr>
          <w:rFonts w:hint="eastAsia"/>
          <w:u w:val="single"/>
          <w:lang w:val="en-US" w:eastAsia="zh-CN"/>
        </w:rPr>
        <w:t>待定</w:t>
      </w:r>
      <w:r>
        <w:rPr>
          <w:u w:val="single"/>
        </w:rPr>
        <w:t xml:space="preserve">                                         </w:t>
      </w:r>
      <w:r>
        <w:t xml:space="preserve"> </w:t>
      </w:r>
      <w:r>
        <w:rPr>
          <w:rFonts w:hint="eastAsia"/>
        </w:rPr>
        <w:t>发包人指定的接收人为：</w:t>
      </w:r>
      <w:r>
        <w:rPr>
          <w:u w:val="single"/>
        </w:rPr>
        <w:t xml:space="preserve">      </w:t>
      </w:r>
      <w:r>
        <w:rPr>
          <w:rFonts w:hint="eastAsia"/>
          <w:u w:val="single"/>
          <w:lang w:val="en-US" w:eastAsia="zh-CN"/>
        </w:rPr>
        <w:t>待定</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t xml:space="preserve"> </w:t>
      </w:r>
    </w:p>
    <w:p>
      <w:pPr>
        <w:pStyle w:val="8"/>
        <w:spacing w:line="364" w:lineRule="auto"/>
        <w:ind w:left="1405" w:right="1771" w:hanging="148"/>
      </w:pPr>
      <w:r>
        <w:rPr>
          <w:rFonts w:hint="eastAsia"/>
        </w:rPr>
        <w:t>（</w:t>
      </w:r>
      <w:r>
        <w:t>3</w:t>
      </w:r>
      <w:r>
        <w:rPr>
          <w:rFonts w:hint="eastAsia"/>
        </w:rPr>
        <w:t>）监理人指定的接收地点：</w:t>
      </w:r>
      <w:r>
        <w:rPr>
          <w:u w:val="single"/>
        </w:rPr>
        <w:t xml:space="preserve">   </w:t>
      </w:r>
      <w:r>
        <w:rPr>
          <w:rFonts w:hint="eastAsia"/>
          <w:u w:val="single"/>
          <w:lang w:val="en-US" w:eastAsia="zh-CN"/>
        </w:rPr>
        <w:t>待定</w:t>
      </w:r>
      <w:r>
        <w:rPr>
          <w:u w:val="single"/>
        </w:rPr>
        <w:t xml:space="preserve">                                        </w:t>
      </w:r>
      <w:r>
        <w:t xml:space="preserve"> </w:t>
      </w:r>
      <w:r>
        <w:rPr>
          <w:rFonts w:hint="eastAsia"/>
        </w:rPr>
        <w:t>监理人指定的接收人为：</w:t>
      </w:r>
      <w:r>
        <w:rPr>
          <w:u w:val="single"/>
        </w:rPr>
        <w:t xml:space="preserve"> </w:t>
      </w:r>
      <w:r>
        <w:rPr>
          <w:spacing w:val="-1"/>
          <w:u w:val="single"/>
        </w:rPr>
        <w:t xml:space="preserve"> </w:t>
      </w:r>
      <w:r>
        <w:rPr>
          <w:u w:val="single"/>
        </w:rPr>
        <w:t xml:space="preserve"> </w:t>
      </w:r>
      <w:r>
        <w:rPr>
          <w:rFonts w:hint="eastAsia"/>
          <w:u w:val="single"/>
          <w:lang w:val="en-US" w:eastAsia="zh-CN"/>
        </w:rPr>
        <w:t>待定</w:t>
      </w:r>
      <w:r>
        <w:rPr>
          <w:u w:val="single"/>
        </w:rPr>
        <w:t xml:space="preserve">            </w:t>
      </w:r>
      <w:r>
        <w:rPr>
          <w:spacing w:val="-2"/>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2"/>
          <w:u w:val="single"/>
        </w:rPr>
        <w:t xml:space="preserve"> </w:t>
      </w:r>
      <w:r>
        <w:t xml:space="preserve"> </w:t>
      </w:r>
    </w:p>
    <w:p>
      <w:pPr>
        <w:pStyle w:val="8"/>
        <w:spacing w:before="3"/>
        <w:ind w:firstLine="1260" w:firstLineChars="600"/>
        <w:rPr>
          <w:sz w:val="17"/>
        </w:rPr>
      </w:pPr>
      <w:r>
        <w:rPr>
          <w:rFonts w:hint="eastAsia"/>
        </w:rPr>
        <w:t>（</w:t>
      </w:r>
      <w:r>
        <w:t>4</w:t>
      </w:r>
      <w:r>
        <w:rPr>
          <w:rFonts w:hint="eastAsia"/>
        </w:rPr>
        <w:t>）承包人指定的接收地点：</w:t>
      </w:r>
      <w:r>
        <w:rPr>
          <w:u w:val="single"/>
        </w:rPr>
        <w:t xml:space="preserve">   </w:t>
      </w:r>
      <w:r>
        <w:rPr>
          <w:rFonts w:hint="eastAsia"/>
          <w:u w:val="single"/>
          <w:lang w:val="en-US" w:eastAsia="zh-CN"/>
        </w:rPr>
        <w:t>待定</w:t>
      </w:r>
      <w:r>
        <w:rPr>
          <w:u w:val="single"/>
        </w:rPr>
        <w:t xml:space="preserve">                                        </w:t>
      </w:r>
    </w:p>
    <w:p>
      <w:pPr>
        <w:pStyle w:val="6"/>
        <w:numPr>
          <w:ilvl w:val="0"/>
          <w:numId w:val="28"/>
        </w:numPr>
        <w:tabs>
          <w:tab w:val="left" w:pos="1120"/>
        </w:tabs>
      </w:pPr>
      <w:bookmarkStart w:id="24" w:name="_bookmark100"/>
      <w:bookmarkEnd w:id="24"/>
      <w:r>
        <w:rPr>
          <w:rFonts w:hint="eastAsia"/>
        </w:rPr>
        <w:t>发包人义务</w:t>
      </w:r>
      <w:r>
        <w:t xml:space="preserve"> </w:t>
      </w:r>
    </w:p>
    <w:p>
      <w:pPr>
        <w:pStyle w:val="8"/>
        <w:spacing w:before="11"/>
        <w:rPr>
          <w:sz w:val="23"/>
        </w:rPr>
      </w:pPr>
    </w:p>
    <w:p>
      <w:pPr>
        <w:pStyle w:val="7"/>
        <w:numPr>
          <w:ilvl w:val="1"/>
          <w:numId w:val="33"/>
        </w:numPr>
        <w:tabs>
          <w:tab w:val="left" w:pos="1199"/>
        </w:tabs>
        <w:spacing w:before="0"/>
      </w:pPr>
      <w:bookmarkStart w:id="25" w:name="_bookmark101"/>
      <w:bookmarkEnd w:id="25"/>
      <w:r>
        <w:rPr>
          <w:rFonts w:hint="eastAsia"/>
        </w:rPr>
        <w:t>提供基础资料、施工条件</w:t>
      </w:r>
      <w:r>
        <w:t xml:space="preserve"> </w:t>
      </w:r>
    </w:p>
    <w:p>
      <w:pPr>
        <w:pStyle w:val="8"/>
        <w:spacing w:before="9"/>
      </w:pPr>
    </w:p>
    <w:p>
      <w:pPr>
        <w:pStyle w:val="33"/>
        <w:numPr>
          <w:ilvl w:val="2"/>
          <w:numId w:val="33"/>
        </w:numPr>
        <w:tabs>
          <w:tab w:val="left" w:pos="526"/>
          <w:tab w:val="left" w:pos="1046"/>
        </w:tabs>
        <w:ind w:left="1544" w:right="1707" w:hanging="664"/>
        <w:jc w:val="both"/>
        <w:rPr>
          <w:sz w:val="21"/>
        </w:rPr>
      </w:pPr>
      <w:r>
        <w:rPr>
          <w:rFonts w:hint="eastAsia"/>
          <w:spacing w:val="-1"/>
          <w:sz w:val="21"/>
        </w:rPr>
        <w:t>发包人向承包人提供履行本合同所需的相应基础资料的期限</w:t>
      </w:r>
      <w:r>
        <w:rPr>
          <w:spacing w:val="-1"/>
          <w:sz w:val="21"/>
          <w:u w:val="single"/>
        </w:rPr>
        <w:t xml:space="preserve">    </w:t>
      </w:r>
      <w:r>
        <w:rPr>
          <w:spacing w:val="-1"/>
          <w:sz w:val="21"/>
          <w:u w:val="single"/>
          <w:lang w:val="en-US" w:eastAsia="zh-CN"/>
        </w:rPr>
        <w:t>7</w:t>
      </w:r>
      <w:r>
        <w:rPr>
          <w:rFonts w:hint="eastAsia"/>
          <w:spacing w:val="-1"/>
          <w:sz w:val="21"/>
          <w:u w:val="single"/>
          <w:lang w:val="en-US" w:eastAsia="zh-CN"/>
        </w:rPr>
        <w:t>天</w:t>
      </w:r>
      <w:r>
        <w:rPr>
          <w:spacing w:val="-1"/>
          <w:sz w:val="21"/>
          <w:u w:val="single"/>
        </w:rPr>
        <w:t xml:space="preserve">         </w:t>
      </w:r>
      <w:r>
        <w:rPr>
          <w:spacing w:val="-2"/>
          <w:sz w:val="21"/>
          <w:u w:val="single"/>
        </w:rPr>
        <w:t xml:space="preserve"> </w:t>
      </w:r>
      <w:r>
        <w:rPr>
          <w:sz w:val="21"/>
          <w:u w:val="single"/>
        </w:rPr>
        <w:t xml:space="preserve">  </w:t>
      </w:r>
      <w:r>
        <w:rPr>
          <w:sz w:val="21"/>
        </w:rPr>
        <w:t xml:space="preserve"> </w:t>
      </w:r>
    </w:p>
    <w:p>
      <w:pPr>
        <w:pStyle w:val="8"/>
        <w:spacing w:before="139"/>
        <w:ind w:right="1707" w:firstLine="879" w:firstLineChars="419"/>
        <w:jc w:val="both"/>
      </w:pPr>
      <w:r>
        <w:t xml:space="preserve">2.3.2 </w:t>
      </w:r>
      <w:r>
        <w:rPr>
          <w:rFonts w:hint="eastAsia"/>
        </w:rPr>
        <w:t>发包人向承包人提供与工程有关的施工场地的期限：</w:t>
      </w:r>
      <w:r>
        <w:rPr>
          <w:u w:val="single"/>
        </w:rPr>
        <w:t xml:space="preserve">      </w:t>
      </w:r>
      <w:r>
        <w:rPr>
          <w:u w:val="single"/>
          <w:lang w:val="en-US" w:eastAsia="zh-CN"/>
        </w:rPr>
        <w:t>7</w:t>
      </w:r>
      <w:r>
        <w:rPr>
          <w:rFonts w:hint="eastAsia"/>
          <w:u w:val="single"/>
          <w:lang w:val="en-US" w:eastAsia="zh-CN"/>
        </w:rPr>
        <w:t>天</w:t>
      </w:r>
      <w:r>
        <w:rPr>
          <w:u w:val="single"/>
        </w:rPr>
        <w:t xml:space="preserve">             </w:t>
      </w:r>
      <w:r>
        <w:rPr>
          <w:spacing w:val="-2"/>
          <w:u w:val="single"/>
        </w:rPr>
        <w:t xml:space="preserve"> </w:t>
      </w:r>
      <w:r>
        <w:rPr>
          <w:u w:val="single"/>
        </w:rPr>
        <w:t xml:space="preserve">  </w:t>
      </w:r>
      <w:r>
        <w:t xml:space="preserve"> </w:t>
      </w:r>
    </w:p>
    <w:p>
      <w:pPr>
        <w:pStyle w:val="8"/>
        <w:spacing w:before="141"/>
        <w:ind w:right="1709"/>
        <w:jc w:val="right"/>
      </w:pP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t xml:space="preserve"> </w:t>
      </w:r>
    </w:p>
    <w:p>
      <w:pPr>
        <w:pStyle w:val="8"/>
        <w:spacing w:before="1"/>
        <w:rPr>
          <w:sz w:val="15"/>
        </w:rPr>
      </w:pPr>
    </w:p>
    <w:p>
      <w:pPr>
        <w:pStyle w:val="7"/>
        <w:spacing w:before="67"/>
        <w:ind w:left="838"/>
      </w:pPr>
      <w:bookmarkStart w:id="26" w:name="_bookmark102"/>
      <w:bookmarkEnd w:id="26"/>
      <w:r>
        <w:t xml:space="preserve">2.8 </w:t>
      </w:r>
      <w:r>
        <w:rPr>
          <w:rFonts w:hint="eastAsia"/>
        </w:rPr>
        <w:t>向承包人提交支付担保</w:t>
      </w:r>
      <w:r>
        <w:t xml:space="preserve"> </w:t>
      </w:r>
    </w:p>
    <w:p>
      <w:pPr>
        <w:pStyle w:val="8"/>
        <w:spacing w:before="8"/>
      </w:pPr>
    </w:p>
    <w:p>
      <w:pPr>
        <w:pStyle w:val="8"/>
        <w:spacing w:before="1"/>
        <w:ind w:left="1258"/>
      </w:pPr>
      <w:r>
        <w:rPr>
          <w:rFonts w:hint="eastAsia"/>
        </w:rPr>
        <w:t>（</w:t>
      </w:r>
      <w:r>
        <w:t>1</w:t>
      </w:r>
      <w:r>
        <w:rPr>
          <w:rFonts w:hint="eastAsia"/>
        </w:rPr>
        <w:t>）发包人</w:t>
      </w:r>
      <w:r>
        <w:rPr>
          <w:lang w:val="en-US" w:eastAsia="zh-CN"/>
        </w:rPr>
        <w:t xml:space="preserve"> </w:t>
      </w:r>
      <w:r>
        <w:rPr>
          <w:rFonts w:hint="eastAsia"/>
          <w:u w:val="single"/>
          <w:lang w:val="en-US" w:eastAsia="zh-CN"/>
        </w:rPr>
        <w:t>不向</w:t>
      </w:r>
      <w:r>
        <w:rPr>
          <w:spacing w:val="103"/>
          <w:u w:val="single"/>
        </w:rPr>
        <w:t xml:space="preserve"> </w:t>
      </w:r>
      <w:r>
        <w:rPr>
          <w:rFonts w:hint="eastAsia"/>
        </w:rPr>
        <w:t>（向</w:t>
      </w:r>
      <w:r>
        <w:t>/</w:t>
      </w:r>
      <w:r>
        <w:rPr>
          <w:rFonts w:hint="eastAsia"/>
        </w:rPr>
        <w:t>不向）承包人提供支付担保。</w:t>
      </w:r>
      <w:r>
        <w:t xml:space="preserve"> </w:t>
      </w:r>
    </w:p>
    <w:p>
      <w:pPr>
        <w:pStyle w:val="8"/>
        <w:spacing w:before="140"/>
        <w:ind w:left="1258"/>
      </w:pPr>
      <w:r>
        <w:rPr>
          <w:rFonts w:hint="eastAsia"/>
        </w:rPr>
        <w:t>发包人向承包人提交支付担保的金额：</w:t>
      </w:r>
      <w:r>
        <w:rPr>
          <w:u w:val="single"/>
        </w:rPr>
        <w:t xml:space="preserve">         </w:t>
      </w:r>
      <w:r>
        <w:rPr>
          <w:u w:val="single"/>
          <w:lang w:val="en-US" w:eastAsia="zh-CN"/>
        </w:rPr>
        <w:t>/</w:t>
      </w:r>
      <w:r>
        <w:rPr>
          <w:u w:val="single"/>
        </w:rPr>
        <w:t xml:space="preserve">                                </w:t>
      </w:r>
      <w:r>
        <w:t xml:space="preserve"> </w:t>
      </w:r>
    </w:p>
    <w:p>
      <w:pPr>
        <w:pStyle w:val="8"/>
        <w:spacing w:before="1"/>
        <w:rPr>
          <w:sz w:val="15"/>
        </w:rPr>
      </w:pPr>
    </w:p>
    <w:p>
      <w:pPr>
        <w:pStyle w:val="7"/>
        <w:spacing w:before="67"/>
        <w:ind w:left="838"/>
      </w:pPr>
      <w:bookmarkStart w:id="27" w:name="_bookmark103"/>
      <w:bookmarkEnd w:id="27"/>
      <w:r>
        <w:t xml:space="preserve">2.13 </w:t>
      </w:r>
      <w:r>
        <w:rPr>
          <w:rFonts w:hint="eastAsia"/>
        </w:rPr>
        <w:t>其他义务</w:t>
      </w:r>
      <w:r>
        <w:t xml:space="preserve"> </w:t>
      </w:r>
    </w:p>
    <w:p>
      <w:pPr>
        <w:pStyle w:val="8"/>
        <w:spacing w:before="8"/>
      </w:pPr>
    </w:p>
    <w:p>
      <w:pPr>
        <w:pStyle w:val="8"/>
        <w:spacing w:before="1"/>
        <w:ind w:right="1708" w:firstLine="1260" w:firstLineChars="600"/>
        <w:jc w:val="both"/>
      </w:pPr>
      <w:r>
        <w:rPr>
          <w:rFonts w:hint="eastAsia"/>
        </w:rPr>
        <w:t>发包人应履行的其他义务：</w:t>
      </w:r>
      <w:r>
        <w:rPr>
          <w:u w:val="single"/>
        </w:rPr>
        <w:t xml:space="preserve">           </w:t>
      </w:r>
      <w:r>
        <w:rPr>
          <w:u w:val="single"/>
          <w:lang w:val="en-US" w:eastAsia="zh-CN"/>
        </w:rPr>
        <w:t>/</w:t>
      </w:r>
      <w:r>
        <w:rPr>
          <w:u w:val="single"/>
        </w:rPr>
        <w:t xml:space="preserve">                                        </w:t>
      </w:r>
      <w:r>
        <w:t xml:space="preserve"> </w:t>
      </w:r>
    </w:p>
    <w:p>
      <w:pPr>
        <w:pStyle w:val="8"/>
        <w:spacing w:before="140"/>
        <w:ind w:right="1709"/>
        <w:jc w:val="right"/>
      </w:pP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t xml:space="preserve"> </w:t>
      </w:r>
    </w:p>
    <w:p>
      <w:pPr>
        <w:pStyle w:val="8"/>
        <w:spacing w:before="8"/>
        <w:rPr>
          <w:sz w:val="15"/>
        </w:rPr>
      </w:pPr>
    </w:p>
    <w:p>
      <w:pPr>
        <w:pStyle w:val="6"/>
        <w:numPr>
          <w:ilvl w:val="0"/>
          <w:numId w:val="28"/>
        </w:numPr>
        <w:tabs>
          <w:tab w:val="left" w:pos="1120"/>
        </w:tabs>
        <w:spacing w:before="61"/>
      </w:pPr>
      <w:bookmarkStart w:id="28" w:name="_bookmark104"/>
      <w:bookmarkEnd w:id="28"/>
      <w:r>
        <w:rPr>
          <w:rFonts w:hint="eastAsia"/>
        </w:rPr>
        <w:t>监理人</w:t>
      </w:r>
      <w:r>
        <w:t xml:space="preserve"> </w:t>
      </w:r>
    </w:p>
    <w:p>
      <w:pPr>
        <w:pStyle w:val="8"/>
        <w:spacing w:before="10"/>
        <w:rPr>
          <w:sz w:val="23"/>
        </w:rPr>
      </w:pPr>
    </w:p>
    <w:p>
      <w:pPr>
        <w:pStyle w:val="7"/>
        <w:numPr>
          <w:ilvl w:val="1"/>
          <w:numId w:val="28"/>
        </w:numPr>
        <w:tabs>
          <w:tab w:val="left" w:pos="1199"/>
        </w:tabs>
        <w:spacing w:before="0"/>
      </w:pPr>
      <w:bookmarkStart w:id="29" w:name="_bookmark105"/>
      <w:bookmarkEnd w:id="29"/>
      <w:r>
        <w:rPr>
          <w:rFonts w:hint="eastAsia"/>
        </w:rPr>
        <w:t>监理人的职责和权力</w:t>
      </w:r>
      <w:r>
        <w:t xml:space="preserve"> </w:t>
      </w:r>
    </w:p>
    <w:p>
      <w:pPr>
        <w:pStyle w:val="8"/>
        <w:spacing w:before="9"/>
      </w:pPr>
    </w:p>
    <w:p>
      <w:pPr>
        <w:pStyle w:val="8"/>
        <w:spacing w:before="1"/>
        <w:ind w:left="877" w:leftChars="381" w:right="1708" w:hanging="39" w:hangingChars="19"/>
        <w:jc w:val="both"/>
      </w:pPr>
      <w:r>
        <w:t xml:space="preserve">3.1.1 </w:t>
      </w:r>
      <w:r>
        <w:rPr>
          <w:rFonts w:hint="eastAsia"/>
        </w:rPr>
        <w:t>发包人需批准明确行使的权力：</w:t>
      </w:r>
      <w:r>
        <w:rPr>
          <w:u w:val="single"/>
        </w:rPr>
        <w:t xml:space="preserve"> </w:t>
      </w:r>
      <w:r>
        <w:rPr>
          <w:rFonts w:hint="eastAsia"/>
          <w:u w:val="single"/>
        </w:rPr>
        <w:t>监理人无权对工程合同（包括本合同、供应合同等）</w:t>
      </w:r>
      <w:r>
        <w:rPr>
          <w:u w:val="single"/>
        </w:rPr>
        <w:t xml:space="preserve"> </w:t>
      </w:r>
      <w:r>
        <w:rPr>
          <w:rFonts w:hint="eastAsia"/>
          <w:u w:val="single"/>
        </w:rPr>
        <w:t>做出任何实质或内容的修改、变更或解除。所有由监理人发出的通知、批准、证书、指示、</w:t>
      </w:r>
      <w:r>
        <w:rPr>
          <w:u w:val="single"/>
        </w:rPr>
        <w:t xml:space="preserve"> </w:t>
      </w:r>
      <w:r>
        <w:rPr>
          <w:rFonts w:hint="eastAsia"/>
          <w:u w:val="single"/>
        </w:rPr>
        <w:t>要求、请求、同意、意见、确定和决定，只要与本工程的人员、合同、价格、支付、计量、</w:t>
      </w:r>
      <w:r>
        <w:rPr>
          <w:u w:val="single"/>
        </w:rPr>
        <w:t xml:space="preserve"> </w:t>
      </w:r>
      <w:r>
        <w:rPr>
          <w:rFonts w:hint="eastAsia"/>
          <w:u w:val="single"/>
        </w:rPr>
        <w:t>计价、工期、工期延长、质量、建筑使用功能、分包人和承包人的选择、材料和工程设备审批等有关，须事先经过发包人的书面审核并批准，并有发包人或其合法授权人的签字，方可成为发包人和承包人之间有合同约束力的文件。</w:t>
      </w:r>
      <w:r>
        <w:rPr>
          <w:u w:val="single"/>
        </w:rPr>
        <w:t xml:space="preserve"> </w:t>
      </w:r>
      <w:r>
        <w:t xml:space="preserve"> </w:t>
      </w:r>
    </w:p>
    <w:p>
      <w:pPr>
        <w:pStyle w:val="8"/>
        <w:spacing w:before="8"/>
        <w:rPr>
          <w:sz w:val="15"/>
        </w:rPr>
      </w:pPr>
    </w:p>
    <w:p>
      <w:pPr>
        <w:pStyle w:val="6"/>
        <w:numPr>
          <w:ilvl w:val="0"/>
          <w:numId w:val="28"/>
        </w:numPr>
        <w:tabs>
          <w:tab w:val="left" w:pos="1120"/>
        </w:tabs>
      </w:pPr>
      <w:bookmarkStart w:id="30" w:name="_bookmark106"/>
      <w:bookmarkEnd w:id="30"/>
      <w:r>
        <w:rPr>
          <w:rFonts w:hint="eastAsia"/>
        </w:rPr>
        <w:t>承包人</w:t>
      </w:r>
      <w:r>
        <w:t xml:space="preserve"> </w:t>
      </w:r>
    </w:p>
    <w:p>
      <w:pPr>
        <w:pStyle w:val="8"/>
        <w:spacing w:before="11"/>
        <w:rPr>
          <w:sz w:val="23"/>
        </w:rPr>
      </w:pPr>
    </w:p>
    <w:p>
      <w:pPr>
        <w:pStyle w:val="7"/>
        <w:numPr>
          <w:ilvl w:val="1"/>
          <w:numId w:val="28"/>
        </w:numPr>
        <w:tabs>
          <w:tab w:val="left" w:pos="1199"/>
        </w:tabs>
        <w:spacing w:before="0"/>
      </w:pPr>
      <w:bookmarkStart w:id="31" w:name="_bookmark107"/>
      <w:bookmarkEnd w:id="31"/>
      <w:r>
        <w:rPr>
          <w:rFonts w:hint="eastAsia"/>
        </w:rPr>
        <w:t>承包人的一般义务</w:t>
      </w:r>
      <w:r>
        <w:t xml:space="preserve"> </w:t>
      </w:r>
    </w:p>
    <w:p>
      <w:pPr>
        <w:pStyle w:val="8"/>
        <w:spacing w:before="9"/>
      </w:pPr>
    </w:p>
    <w:p>
      <w:pPr>
        <w:pStyle w:val="8"/>
        <w:ind w:left="1258"/>
      </w:pPr>
      <w:r>
        <w:t xml:space="preserve">4.1.8 </w:t>
      </w:r>
      <w:r>
        <w:rPr>
          <w:rFonts w:hint="eastAsia"/>
        </w:rPr>
        <w:t>为他人提供方便</w:t>
      </w:r>
      <w:r>
        <w:t xml:space="preserve"> </w:t>
      </w:r>
    </w:p>
    <w:p>
      <w:pPr>
        <w:pStyle w:val="8"/>
        <w:spacing w:line="364" w:lineRule="auto"/>
        <w:ind w:left="1258" w:right="1709" w:hanging="420"/>
        <w:rPr>
          <w:spacing w:val="-1"/>
          <w:u w:val="single"/>
        </w:rPr>
      </w:pPr>
      <w:r>
        <w:rPr>
          <w:rFonts w:hint="eastAsia"/>
        </w:rPr>
        <w:t>（</w:t>
      </w:r>
      <w:r>
        <w:t>1</w:t>
      </w:r>
      <w:r>
        <w:rPr>
          <w:rFonts w:hint="eastAsia"/>
          <w:spacing w:val="-88"/>
        </w:rPr>
        <w:t>）</w:t>
      </w:r>
      <w:r>
        <w:rPr>
          <w:rFonts w:hint="eastAsia"/>
          <w:spacing w:val="-1"/>
        </w:rPr>
        <w:t>承包人应当对在施工场地或者附近实施与合同工程有关的其他工作的独立承包人履行管理、协调、配合、照管和服务义务的具体工作内容和要求：</w:t>
      </w:r>
      <w:r>
        <w:rPr>
          <w:spacing w:val="-1"/>
          <w:u w:val="single"/>
        </w:rPr>
        <w:t xml:space="preserve">  1</w:t>
      </w:r>
      <w:r>
        <w:rPr>
          <w:rFonts w:hint="eastAsia"/>
          <w:spacing w:val="-1"/>
          <w:u w:val="single"/>
        </w:rPr>
        <w:t>）承包人对分包的专业工程进行总承包管理和协调。主要包括承包人对分包工程及施工现场进行协调管理，为独立承包人安排合理的作业时间、对各专业交叉作业予以配合、协调分包工程的进度、分包工程的竣工验收资料的归档整理及竣工验收前的初验等内容。</w:t>
      </w:r>
      <w:r>
        <w:rPr>
          <w:spacing w:val="-1"/>
          <w:u w:val="single"/>
        </w:rPr>
        <w:t>2</w:t>
      </w:r>
      <w:r>
        <w:rPr>
          <w:rFonts w:hint="eastAsia"/>
          <w:spacing w:val="-1"/>
          <w:u w:val="single"/>
        </w:rPr>
        <w:t>）承包人对分包的专业工程提供配合服务。主要包括为其他独立承包人在使用施工用地、道路和其他公用设施等方面提供方便并做好预留预埋及衔接工作。即提供分包施工现场资源配合，如水电接驳、脚手架、垂直运输、临时设施等；根据分包工程的专业类别提供分包施工条件配合服务，如门窗洞口修补、墙面基底处理、屋面基底处理等，以及其它力所能及的配合服务。</w:t>
      </w:r>
    </w:p>
    <w:p>
      <w:pPr>
        <w:pStyle w:val="8"/>
        <w:spacing w:line="364" w:lineRule="auto"/>
        <w:ind w:left="1296" w:leftChars="503" w:right="1709" w:hanging="189" w:hangingChars="90"/>
      </w:pPr>
      <w:r>
        <w:t>4.1.10</w:t>
      </w:r>
      <w:r>
        <w:rPr>
          <w:spacing w:val="-1"/>
        </w:rPr>
        <w:t xml:space="preserve">  </w:t>
      </w:r>
      <w:r>
        <w:rPr>
          <w:rFonts w:hint="eastAsia"/>
          <w:spacing w:val="-1"/>
        </w:rPr>
        <w:t>承包人的设计工作</w:t>
      </w:r>
      <w:r>
        <w:rPr>
          <w:spacing w:val="-1"/>
        </w:rPr>
        <w:t xml:space="preserve"> </w:t>
      </w:r>
      <w:r>
        <w:t xml:space="preserve"> </w:t>
      </w:r>
    </w:p>
    <w:p>
      <w:pPr>
        <w:pStyle w:val="8"/>
        <w:spacing w:before="138" w:line="364" w:lineRule="auto"/>
        <w:ind w:left="1258" w:right="1709" w:hanging="420"/>
      </w:pPr>
      <w:r>
        <w:rPr>
          <w:rFonts w:hint="eastAsia"/>
        </w:rPr>
        <w:t>承包人承担的施工图设计或与工程配套的设计工作内容：</w:t>
      </w:r>
      <w:r>
        <w:rPr>
          <w:u w:val="single"/>
        </w:rPr>
        <w:t xml:space="preserve"> </w:t>
      </w:r>
      <w:r>
        <w:rPr>
          <w:rFonts w:hint="eastAsia"/>
          <w:u w:val="single"/>
          <w:lang w:val="en-US" w:eastAsia="zh-CN"/>
        </w:rPr>
        <w:t>承包人自施范围内需要专业厂家二次深化设计的内容</w:t>
      </w:r>
      <w:r>
        <w:rPr>
          <w:u w:val="single"/>
          <w:lang w:val="en-US" w:eastAsia="zh-CN"/>
        </w:rPr>
        <w:t>(</w:t>
      </w:r>
      <w:r>
        <w:rPr>
          <w:rFonts w:hint="eastAsia"/>
          <w:u w:val="single"/>
          <w:lang w:val="en-US" w:eastAsia="zh-CN"/>
        </w:rPr>
        <w:t>加工图、大样图不属于二次深化设计的内容</w:t>
      </w:r>
      <w:r>
        <w:rPr>
          <w:u w:val="single"/>
          <w:lang w:val="en-US" w:eastAsia="zh-CN"/>
        </w:rPr>
        <w:t>)</w:t>
      </w:r>
      <w:r>
        <w:rPr>
          <w:rFonts w:hint="eastAsia"/>
          <w:u w:val="single"/>
          <w:lang w:val="en-US" w:eastAsia="zh-CN"/>
        </w:rPr>
        <w:t>，二次深化设计费含在合同价中。</w:t>
      </w:r>
      <w:r>
        <w:t xml:space="preserve"> </w:t>
      </w:r>
    </w:p>
    <w:p>
      <w:pPr>
        <w:pStyle w:val="8"/>
        <w:spacing w:before="138" w:line="364" w:lineRule="auto"/>
        <w:ind w:left="1258" w:right="1709" w:hanging="420"/>
      </w:pPr>
      <w:r>
        <w:t>4.1.12</w:t>
      </w:r>
      <w:r>
        <w:rPr>
          <w:spacing w:val="-1"/>
        </w:rPr>
        <w:t xml:space="preserve">  </w:t>
      </w:r>
      <w:r>
        <w:rPr>
          <w:rFonts w:hint="eastAsia"/>
          <w:spacing w:val="-1"/>
        </w:rPr>
        <w:t>其他义务</w:t>
      </w:r>
      <w:r>
        <w:rPr>
          <w:spacing w:val="-1"/>
        </w:rPr>
        <w:t xml:space="preserve">  </w:t>
      </w:r>
      <w:r>
        <w:t xml:space="preserve"> </w:t>
      </w:r>
    </w:p>
    <w:p>
      <w:pPr>
        <w:pStyle w:val="33"/>
        <w:tabs>
          <w:tab w:val="left" w:pos="1681"/>
        </w:tabs>
        <w:spacing w:line="268" w:lineRule="exact"/>
        <w:ind w:left="0" w:firstLine="840" w:firstLineChars="400"/>
        <w:rPr>
          <w:sz w:val="21"/>
        </w:rPr>
      </w:pPr>
      <w:r>
        <w:rPr>
          <w:rFonts w:hint="eastAsia"/>
          <w:sz w:val="21"/>
          <w:lang w:eastAsia="zh-CN"/>
        </w:rPr>
        <w:t>（</w:t>
      </w:r>
      <w:r>
        <w:rPr>
          <w:sz w:val="21"/>
          <w:lang w:val="en-US" w:eastAsia="zh-CN"/>
        </w:rPr>
        <w:t>1</w:t>
      </w:r>
      <w:r>
        <w:rPr>
          <w:rFonts w:hint="eastAsia"/>
          <w:sz w:val="21"/>
          <w:lang w:eastAsia="zh-CN"/>
        </w:rPr>
        <w:t>）</w:t>
      </w:r>
      <w:r>
        <w:rPr>
          <w:rFonts w:hint="eastAsia"/>
          <w:sz w:val="21"/>
        </w:rPr>
        <w:t>安全文明施工费由承包人管理，承包人对工程安全文明施工负责。</w:t>
      </w:r>
      <w:r>
        <w:rPr>
          <w:sz w:val="21"/>
        </w:rPr>
        <w:t xml:space="preserve"> </w:t>
      </w:r>
    </w:p>
    <w:p>
      <w:pPr>
        <w:pStyle w:val="33"/>
        <w:tabs>
          <w:tab w:val="left" w:pos="1681"/>
        </w:tabs>
        <w:spacing w:before="141" w:line="364" w:lineRule="auto"/>
        <w:ind w:left="1316" w:leftChars="381" w:right="1792" w:hanging="478" w:hangingChars="228"/>
        <w:jc w:val="both"/>
        <w:rPr>
          <w:sz w:val="14"/>
        </w:rPr>
      </w:pPr>
      <w:r>
        <w:rPr>
          <w:rFonts w:hint="eastAsia"/>
          <w:sz w:val="21"/>
          <w:lang w:eastAsia="zh-CN"/>
        </w:rPr>
        <w:t>（</w:t>
      </w:r>
      <w:r>
        <w:rPr>
          <w:sz w:val="21"/>
          <w:lang w:val="en-US" w:eastAsia="zh-CN"/>
        </w:rPr>
        <w:t>2</w:t>
      </w:r>
      <w:r>
        <w:rPr>
          <w:rFonts w:hint="eastAsia"/>
          <w:sz w:val="21"/>
          <w:lang w:eastAsia="zh-CN"/>
        </w:rPr>
        <w:t>）</w:t>
      </w:r>
      <w:r>
        <w:rPr>
          <w:rFonts w:hint="eastAsia"/>
          <w:sz w:val="21"/>
        </w:rPr>
        <w:t>对于超过一定规模的危大工程（如有</w:t>
      </w:r>
      <w:r>
        <w:rPr>
          <w:rFonts w:hint="eastAsia"/>
          <w:spacing w:val="-105"/>
          <w:sz w:val="21"/>
        </w:rPr>
        <w:t>）</w:t>
      </w:r>
      <w:r>
        <w:rPr>
          <w:rFonts w:hint="eastAsia"/>
          <w:spacing w:val="-1"/>
          <w:sz w:val="21"/>
        </w:rPr>
        <w:t>，承包人应当组织召开专家论证会对专项施</w:t>
      </w:r>
      <w:r>
        <w:rPr>
          <w:rFonts w:hint="eastAsia"/>
          <w:spacing w:val="-9"/>
          <w:sz w:val="21"/>
        </w:rPr>
        <w:t>工方案进行论证，并根据专家论证意见对专项方案进行调整，发包人原因造成的专项方案调</w:t>
      </w:r>
      <w:r>
        <w:rPr>
          <w:rFonts w:hint="eastAsia"/>
          <w:sz w:val="21"/>
        </w:rPr>
        <w:t>整</w:t>
      </w:r>
      <w:r>
        <w:rPr>
          <w:rFonts w:hint="eastAsia"/>
          <w:sz w:val="21"/>
          <w:lang w:eastAsia="zh-CN"/>
        </w:rPr>
        <w:t>。</w:t>
      </w:r>
    </w:p>
    <w:p>
      <w:pPr>
        <w:pStyle w:val="8"/>
        <w:spacing w:before="70"/>
        <w:ind w:right="1708" w:firstLine="840" w:firstLineChars="400"/>
        <w:jc w:val="both"/>
      </w:pPr>
      <w:r>
        <w:rPr>
          <w:rFonts w:hint="eastAsia"/>
        </w:rPr>
        <w:t>（</w:t>
      </w:r>
      <w:r>
        <w:t>3</w:t>
      </w:r>
      <w:r>
        <w:rPr>
          <w:rFonts w:hint="eastAsia"/>
        </w:rPr>
        <w:t>）承包人应履行的其他义务：</w:t>
      </w:r>
      <w:r>
        <w:t xml:space="preserve"> </w:t>
      </w:r>
    </w:p>
    <w:p>
      <w:pPr>
        <w:spacing w:line="364" w:lineRule="auto"/>
        <w:ind w:firstLine="840" w:firstLineChars="400"/>
        <w:jc w:val="both"/>
        <w:rPr>
          <w:sz w:val="21"/>
          <w:u w:val="single"/>
        </w:rPr>
      </w:pPr>
      <w:r>
        <w:rPr>
          <w:rFonts w:hint="eastAsia"/>
          <w:sz w:val="21"/>
          <w:u w:val="single"/>
          <w:lang w:eastAsia="zh-CN"/>
        </w:rPr>
        <w:t>（</w:t>
      </w:r>
      <w:r>
        <w:rPr>
          <w:sz w:val="21"/>
          <w:u w:val="single"/>
          <w:lang w:val="en-US" w:eastAsia="zh-CN"/>
        </w:rPr>
        <w:t>1</w:t>
      </w:r>
      <w:r>
        <w:rPr>
          <w:rFonts w:hint="eastAsia"/>
          <w:sz w:val="21"/>
          <w:u w:val="single"/>
          <w:lang w:eastAsia="zh-CN"/>
        </w:rPr>
        <w:t>）</w:t>
      </w:r>
      <w:r>
        <w:rPr>
          <w:sz w:val="21"/>
          <w:u w:val="single"/>
        </w:rPr>
        <w:t xml:space="preserve"> </w:t>
      </w:r>
      <w:r>
        <w:rPr>
          <w:rFonts w:hint="eastAsia"/>
          <w:sz w:val="21"/>
          <w:u w:val="single"/>
        </w:rPr>
        <w:t>保证工程施工和人员的安全</w:t>
      </w:r>
    </w:p>
    <w:p>
      <w:pPr>
        <w:spacing w:line="364" w:lineRule="auto"/>
        <w:ind w:left="880" w:leftChars="400" w:right="1709" w:rightChars="777"/>
        <w:jc w:val="both"/>
        <w:rPr>
          <w:sz w:val="21"/>
          <w:u w:val="single"/>
        </w:rPr>
      </w:pPr>
      <w:r>
        <w:rPr>
          <w:rFonts w:hint="eastAsia"/>
          <w:sz w:val="21"/>
          <w:u w:val="single"/>
        </w:rPr>
        <w:t>承包人应严格执行住建委及北京市关于《建筑工程安全防护、文明施工措施费用及使用管理规定》最新适用的有关规定。除通用条款外，承包人还应按以下条款执行：</w:t>
      </w:r>
    </w:p>
    <w:p>
      <w:pPr>
        <w:spacing w:line="364" w:lineRule="auto"/>
        <w:ind w:left="880" w:leftChars="400" w:right="1709" w:rightChars="777"/>
        <w:jc w:val="both"/>
        <w:rPr>
          <w:sz w:val="21"/>
          <w:u w:val="single"/>
        </w:rPr>
      </w:pPr>
      <w:r>
        <w:rPr>
          <w:rFonts w:hint="eastAsia"/>
          <w:sz w:val="21"/>
          <w:u w:val="single"/>
        </w:rPr>
        <w:t>（</w:t>
      </w:r>
      <w:r>
        <w:rPr>
          <w:sz w:val="21"/>
          <w:u w:val="single"/>
        </w:rPr>
        <w:t>a</w:t>
      </w:r>
      <w:r>
        <w:rPr>
          <w:rFonts w:hint="eastAsia"/>
          <w:sz w:val="21"/>
          <w:u w:val="single"/>
        </w:rPr>
        <w:t>）承包人对建筑工程安全文明施工费的使用承担全部责任。承包人应当按照分包合同约定及时向分包单位支付安全文明施工费。承包人不按照合同约定支付费用，造成分包单位不能及时落实安全防护措施导致发生事故的，由承包人负责。因此给发包人造成的全部损失，承包人承担相应责任。</w:t>
      </w:r>
    </w:p>
    <w:p>
      <w:pPr>
        <w:spacing w:line="364" w:lineRule="auto"/>
        <w:ind w:left="880" w:leftChars="400" w:right="1489" w:rightChars="677"/>
        <w:jc w:val="both"/>
        <w:rPr>
          <w:sz w:val="21"/>
          <w:u w:val="single"/>
        </w:rPr>
      </w:pPr>
      <w:r>
        <w:rPr>
          <w:rFonts w:hint="eastAsia"/>
          <w:sz w:val="21"/>
          <w:u w:val="single"/>
        </w:rPr>
        <w:t>（</w:t>
      </w:r>
      <w:r>
        <w:rPr>
          <w:sz w:val="21"/>
          <w:u w:val="single"/>
        </w:rPr>
        <w:t>b</w:t>
      </w:r>
      <w:r>
        <w:rPr>
          <w:rFonts w:hint="eastAsia"/>
          <w:sz w:val="21"/>
          <w:u w:val="single"/>
        </w:rPr>
        <w:t>）承包人必须认真组织实施施工组织设计中制定的安全文明施工措施。承包人应严格执行北京市安全文明施工的各项规定，否则由此引起的一切责任由承包人承担。</w:t>
      </w:r>
    </w:p>
    <w:p>
      <w:pPr>
        <w:spacing w:line="364" w:lineRule="auto"/>
        <w:ind w:left="880" w:leftChars="400" w:right="1489" w:rightChars="677"/>
        <w:jc w:val="both"/>
        <w:rPr>
          <w:sz w:val="21"/>
          <w:u w:val="single"/>
        </w:rPr>
      </w:pPr>
      <w:r>
        <w:rPr>
          <w:rFonts w:hint="eastAsia"/>
          <w:sz w:val="21"/>
          <w:u w:val="single"/>
        </w:rPr>
        <w:t>（</w:t>
      </w:r>
      <w:r>
        <w:rPr>
          <w:sz w:val="21"/>
          <w:u w:val="single"/>
        </w:rPr>
        <w:t>c</w:t>
      </w:r>
      <w:r>
        <w:rPr>
          <w:rFonts w:hint="eastAsia"/>
          <w:sz w:val="21"/>
          <w:u w:val="single"/>
        </w:rPr>
        <w:t>）承包人应订立严格的规章制度，采取预防事故的措施，确保施工安全和第三者的安全，杜绝火灾以及坠落物对过往行人、机动车辆的伤害、损毁。对一切现场作业和施工方法的稳定性、安全性负全责。承包人还应对可能发生的重大伤亡事故制定应急预案，若发生此类事故则应由承包人承担法律责任和经济损失，并立即报告发包人和建设主管部门。</w:t>
      </w:r>
      <w:r>
        <w:rPr>
          <w:sz w:val="21"/>
          <w:u w:val="single"/>
        </w:rPr>
        <w:t xml:space="preserve"> </w:t>
      </w:r>
    </w:p>
    <w:p>
      <w:pPr>
        <w:spacing w:line="364" w:lineRule="auto"/>
        <w:ind w:left="880" w:leftChars="400" w:right="1489" w:rightChars="677"/>
        <w:jc w:val="both"/>
        <w:rPr>
          <w:sz w:val="21"/>
          <w:u w:val="single"/>
        </w:rPr>
      </w:pPr>
      <w:r>
        <w:rPr>
          <w:rFonts w:hint="eastAsia"/>
          <w:sz w:val="21"/>
          <w:u w:val="single"/>
        </w:rPr>
        <w:t>（</w:t>
      </w:r>
      <w:r>
        <w:rPr>
          <w:sz w:val="21"/>
          <w:u w:val="single"/>
        </w:rPr>
        <w:t>d</w:t>
      </w:r>
      <w:r>
        <w:rPr>
          <w:rFonts w:hint="eastAsia"/>
          <w:sz w:val="21"/>
          <w:u w:val="single"/>
        </w:rPr>
        <w:t>）承包人必须接受发包人、监理工程师和政府监督机构发出的关于安全施工的整改指令并在规定期限内实施整改。</w:t>
      </w:r>
    </w:p>
    <w:p>
      <w:pPr>
        <w:spacing w:line="364" w:lineRule="auto"/>
        <w:ind w:left="880" w:leftChars="400" w:right="1489" w:rightChars="677"/>
        <w:jc w:val="both"/>
        <w:rPr>
          <w:sz w:val="21"/>
          <w:u w:val="single"/>
        </w:rPr>
      </w:pPr>
      <w:r>
        <w:rPr>
          <w:rFonts w:hint="eastAsia"/>
          <w:sz w:val="21"/>
          <w:u w:val="single"/>
        </w:rPr>
        <w:t>（</w:t>
      </w:r>
      <w:r>
        <w:rPr>
          <w:sz w:val="21"/>
          <w:u w:val="single"/>
        </w:rPr>
        <w:t>e</w:t>
      </w:r>
      <w:r>
        <w:rPr>
          <w:rFonts w:hint="eastAsia"/>
          <w:sz w:val="21"/>
          <w:u w:val="single"/>
        </w:rPr>
        <w:t>）承包人应严格遵守《建设工程安全生产管理条例》的要求，所有承包人因执行并满足此条例而产生的费用，应视为已包括在合同协议书第</w:t>
      </w:r>
      <w:r>
        <w:rPr>
          <w:sz w:val="21"/>
          <w:u w:val="single"/>
        </w:rPr>
        <w:t>3</w:t>
      </w:r>
      <w:r>
        <w:rPr>
          <w:rFonts w:hint="eastAsia"/>
          <w:sz w:val="21"/>
          <w:u w:val="single"/>
        </w:rPr>
        <w:t>条约定的合同金额内。</w:t>
      </w:r>
    </w:p>
    <w:p>
      <w:pPr>
        <w:spacing w:line="364" w:lineRule="auto"/>
        <w:ind w:left="880" w:leftChars="400" w:right="1489" w:rightChars="677"/>
        <w:jc w:val="both"/>
        <w:rPr>
          <w:sz w:val="21"/>
          <w:u w:val="single"/>
        </w:rPr>
      </w:pPr>
      <w:r>
        <w:rPr>
          <w:rFonts w:hint="eastAsia"/>
          <w:sz w:val="21"/>
          <w:u w:val="single"/>
        </w:rPr>
        <w:t>（</w:t>
      </w:r>
      <w:r>
        <w:rPr>
          <w:sz w:val="21"/>
          <w:u w:val="single"/>
        </w:rPr>
        <w:t>f</w:t>
      </w:r>
      <w:r>
        <w:rPr>
          <w:rFonts w:hint="eastAsia"/>
          <w:sz w:val="21"/>
          <w:u w:val="single"/>
        </w:rPr>
        <w:t>）承包人安全生产管理机构和专职安全生产管理人员负责对建筑工程安全文明施工措施的组织实施进行现场监督检查，并有权向建设主管部门反映情况。</w:t>
      </w:r>
    </w:p>
    <w:p>
      <w:pPr>
        <w:spacing w:line="364" w:lineRule="auto"/>
        <w:ind w:left="880" w:leftChars="400" w:right="1489" w:rightChars="677"/>
        <w:jc w:val="both"/>
        <w:rPr>
          <w:sz w:val="21"/>
          <w:u w:val="single"/>
        </w:rPr>
      </w:pPr>
      <w:r>
        <w:rPr>
          <w:rFonts w:hint="eastAsia"/>
          <w:sz w:val="21"/>
          <w:u w:val="single"/>
        </w:rPr>
        <w:t>（</w:t>
      </w:r>
      <w:r>
        <w:rPr>
          <w:sz w:val="21"/>
          <w:u w:val="single"/>
        </w:rPr>
        <w:t>g</w:t>
      </w:r>
      <w:r>
        <w:rPr>
          <w:rFonts w:hint="eastAsia"/>
          <w:sz w:val="21"/>
          <w:u w:val="single"/>
        </w:rPr>
        <w:t>）施工现场的安全生产标准化和绿色施工管理按照北京市住房和城乡建设委员会《关于全面推行施工现场安全生产标准化和绿色施工管理的通知》（京建发〔</w:t>
      </w:r>
      <w:r>
        <w:rPr>
          <w:sz w:val="21"/>
          <w:u w:val="single"/>
        </w:rPr>
        <w:t>2011</w:t>
      </w:r>
      <w:r>
        <w:rPr>
          <w:rFonts w:hint="eastAsia"/>
          <w:sz w:val="21"/>
          <w:u w:val="single"/>
        </w:rPr>
        <w:t>〕</w:t>
      </w:r>
      <w:r>
        <w:rPr>
          <w:sz w:val="21"/>
          <w:u w:val="single"/>
        </w:rPr>
        <w:t>42</w:t>
      </w:r>
      <w:r>
        <w:rPr>
          <w:rFonts w:hint="eastAsia"/>
          <w:sz w:val="21"/>
          <w:u w:val="single"/>
        </w:rPr>
        <w:t>号）文的有关规定执行。</w:t>
      </w:r>
    </w:p>
    <w:p>
      <w:pPr>
        <w:spacing w:line="364" w:lineRule="auto"/>
        <w:ind w:left="880" w:leftChars="400" w:right="1489" w:rightChars="677"/>
        <w:jc w:val="both"/>
        <w:rPr>
          <w:sz w:val="21"/>
          <w:u w:val="single"/>
        </w:rPr>
      </w:pPr>
      <w:r>
        <w:rPr>
          <w:rFonts w:hint="eastAsia"/>
          <w:sz w:val="21"/>
          <w:u w:val="single"/>
          <w:lang w:eastAsia="zh-CN"/>
        </w:rPr>
        <w:t>（</w:t>
      </w:r>
      <w:r>
        <w:rPr>
          <w:sz w:val="21"/>
          <w:u w:val="single"/>
          <w:lang w:val="en-US" w:eastAsia="zh-CN"/>
        </w:rPr>
        <w:t>2</w:t>
      </w:r>
      <w:r>
        <w:rPr>
          <w:rFonts w:hint="eastAsia"/>
          <w:sz w:val="21"/>
          <w:u w:val="single"/>
          <w:lang w:eastAsia="zh-CN"/>
        </w:rPr>
        <w:t>）</w:t>
      </w:r>
      <w:r>
        <w:rPr>
          <w:sz w:val="21"/>
          <w:u w:val="single"/>
        </w:rPr>
        <w:t xml:space="preserve"> </w:t>
      </w:r>
      <w:r>
        <w:rPr>
          <w:rFonts w:hint="eastAsia"/>
          <w:sz w:val="21"/>
          <w:u w:val="single"/>
        </w:rPr>
        <w:t>承包人提供施工组织设计（施工方案）和进度计划的时间：</w:t>
      </w:r>
    </w:p>
    <w:p>
      <w:pPr>
        <w:spacing w:line="364" w:lineRule="auto"/>
        <w:ind w:left="880" w:leftChars="400" w:right="1489" w:rightChars="677"/>
        <w:jc w:val="both"/>
        <w:rPr>
          <w:sz w:val="21"/>
          <w:u w:val="single"/>
        </w:rPr>
      </w:pPr>
      <w:r>
        <w:rPr>
          <w:rFonts w:hint="eastAsia"/>
          <w:sz w:val="21"/>
          <w:u w:val="single"/>
        </w:rPr>
        <w:t>承包人应在收到监理人发出的开工通知后</w:t>
      </w:r>
      <w:r>
        <w:rPr>
          <w:sz w:val="21"/>
          <w:u w:val="single"/>
        </w:rPr>
        <w:t>7</w:t>
      </w:r>
      <w:r>
        <w:rPr>
          <w:rFonts w:hint="eastAsia"/>
          <w:sz w:val="21"/>
          <w:u w:val="single"/>
        </w:rPr>
        <w:t>天内提供，承包人提供的进度计划应包括详细的专业分包人的进场时间、材料和设备供货时间和数量。</w:t>
      </w:r>
    </w:p>
    <w:p>
      <w:pPr>
        <w:spacing w:line="364" w:lineRule="auto"/>
        <w:ind w:left="880" w:leftChars="400" w:right="1489" w:rightChars="677"/>
        <w:jc w:val="both"/>
        <w:rPr>
          <w:sz w:val="21"/>
          <w:u w:val="single"/>
        </w:rPr>
      </w:pPr>
      <w:r>
        <w:rPr>
          <w:rFonts w:hint="eastAsia"/>
          <w:sz w:val="21"/>
          <w:u w:val="single"/>
          <w:lang w:eastAsia="zh-CN"/>
        </w:rPr>
        <w:t>（</w:t>
      </w:r>
      <w:r>
        <w:rPr>
          <w:sz w:val="21"/>
          <w:u w:val="single"/>
          <w:lang w:val="en-US" w:eastAsia="zh-CN"/>
        </w:rPr>
        <w:t>3</w:t>
      </w:r>
      <w:r>
        <w:rPr>
          <w:rFonts w:hint="eastAsia"/>
          <w:sz w:val="21"/>
          <w:u w:val="single"/>
          <w:lang w:eastAsia="zh-CN"/>
        </w:rPr>
        <w:t>）</w:t>
      </w:r>
      <w:r>
        <w:rPr>
          <w:rFonts w:hint="eastAsia"/>
          <w:sz w:val="21"/>
          <w:u w:val="single"/>
        </w:rPr>
        <w:t>已完工程成品保护：</w:t>
      </w:r>
    </w:p>
    <w:p>
      <w:pPr>
        <w:spacing w:line="364" w:lineRule="auto"/>
        <w:ind w:left="880" w:leftChars="400" w:right="1489" w:rightChars="677"/>
        <w:jc w:val="both"/>
        <w:rPr>
          <w:sz w:val="21"/>
          <w:u w:val="single"/>
        </w:rPr>
      </w:pPr>
      <w:r>
        <w:rPr>
          <w:rFonts w:hint="eastAsia"/>
          <w:sz w:val="21"/>
          <w:u w:val="single"/>
        </w:rPr>
        <w:t>成品、半成品由承包人负责保护。在工程移交之前由于保护不当发生损坏，由承包人承担相应责任；如因发包人提前使用而发生的损坏，相应责任由发包人承担。</w:t>
      </w:r>
    </w:p>
    <w:p>
      <w:pPr>
        <w:spacing w:line="364" w:lineRule="auto"/>
        <w:ind w:left="880" w:leftChars="400" w:right="1489" w:rightChars="677"/>
        <w:jc w:val="both"/>
        <w:rPr>
          <w:sz w:val="21"/>
          <w:u w:val="single"/>
        </w:rPr>
      </w:pPr>
      <w:r>
        <w:rPr>
          <w:rFonts w:hint="eastAsia"/>
          <w:sz w:val="21"/>
          <w:u w:val="single"/>
          <w:lang w:eastAsia="zh-CN"/>
        </w:rPr>
        <w:t>（</w:t>
      </w:r>
      <w:r>
        <w:rPr>
          <w:sz w:val="21"/>
          <w:u w:val="single"/>
          <w:lang w:val="en-US" w:eastAsia="zh-CN"/>
        </w:rPr>
        <w:t>4</w:t>
      </w:r>
      <w:r>
        <w:rPr>
          <w:rFonts w:hint="eastAsia"/>
          <w:sz w:val="21"/>
          <w:u w:val="single"/>
          <w:lang w:eastAsia="zh-CN"/>
        </w:rPr>
        <w:t>）</w:t>
      </w:r>
      <w:r>
        <w:rPr>
          <w:sz w:val="21"/>
          <w:u w:val="single"/>
        </w:rPr>
        <w:t xml:space="preserve"> </w:t>
      </w:r>
      <w:r>
        <w:rPr>
          <w:rFonts w:hint="eastAsia"/>
          <w:sz w:val="21"/>
          <w:u w:val="single"/>
        </w:rPr>
        <w:t>需承包人办理的有关施工场地交通、环卫和施工噪声管理等手续：</w:t>
      </w:r>
    </w:p>
    <w:p>
      <w:pPr>
        <w:spacing w:line="364" w:lineRule="auto"/>
        <w:ind w:left="880" w:leftChars="400" w:right="1489" w:rightChars="677"/>
        <w:jc w:val="both"/>
        <w:rPr>
          <w:sz w:val="21"/>
          <w:u w:val="single"/>
        </w:rPr>
      </w:pPr>
      <w:r>
        <w:rPr>
          <w:sz w:val="21"/>
          <w:u w:val="single"/>
        </w:rPr>
        <w:t>(a</w:t>
      </w:r>
      <w:r>
        <w:rPr>
          <w:rFonts w:hint="eastAsia"/>
          <w:sz w:val="21"/>
          <w:u w:val="single"/>
        </w:rPr>
        <w:t>）需要办理交通特别通行证时，由承包人办理有关手续；</w:t>
      </w:r>
      <w:r>
        <w:rPr>
          <w:sz w:val="21"/>
          <w:u w:val="single"/>
        </w:rPr>
        <w:t xml:space="preserve">   </w:t>
      </w:r>
    </w:p>
    <w:p>
      <w:pPr>
        <w:spacing w:line="364" w:lineRule="auto"/>
        <w:ind w:left="880" w:leftChars="400" w:right="1489" w:rightChars="677"/>
        <w:jc w:val="both"/>
        <w:rPr>
          <w:sz w:val="21"/>
          <w:u w:val="single"/>
        </w:rPr>
      </w:pPr>
      <w:r>
        <w:rPr>
          <w:sz w:val="21"/>
          <w:u w:val="single"/>
        </w:rPr>
        <w:t>(b</w:t>
      </w:r>
      <w:r>
        <w:rPr>
          <w:rFonts w:hint="eastAsia"/>
          <w:sz w:val="21"/>
          <w:u w:val="single"/>
        </w:rPr>
        <w:t>）施工现场需要排放有害污水时，由承包人办理有关手续；</w:t>
      </w:r>
      <w:r>
        <w:rPr>
          <w:sz w:val="21"/>
          <w:u w:val="single"/>
        </w:rPr>
        <w:t xml:space="preserve"> </w:t>
      </w:r>
    </w:p>
    <w:p>
      <w:pPr>
        <w:spacing w:line="364" w:lineRule="auto"/>
        <w:ind w:left="880" w:leftChars="400" w:right="1489" w:rightChars="677"/>
        <w:jc w:val="both"/>
        <w:rPr>
          <w:sz w:val="21"/>
          <w:u w:val="single"/>
        </w:rPr>
      </w:pPr>
      <w:r>
        <w:rPr>
          <w:sz w:val="21"/>
          <w:u w:val="single"/>
        </w:rPr>
        <w:t>(c</w:t>
      </w:r>
      <w:r>
        <w:rPr>
          <w:rFonts w:hint="eastAsia"/>
          <w:sz w:val="21"/>
          <w:u w:val="single"/>
        </w:rPr>
        <w:t>）施工噪音的控制要按照当地主管部门的规定，由承包人提出具体措施，并经监理和发包人认可。按北京市有关规定办理，发、承包人负责处理扰民问题并承担费用；</w:t>
      </w:r>
    </w:p>
    <w:p>
      <w:pPr>
        <w:spacing w:line="364" w:lineRule="auto"/>
        <w:ind w:left="880" w:leftChars="400" w:right="1489" w:rightChars="677"/>
        <w:jc w:val="both"/>
        <w:rPr>
          <w:sz w:val="21"/>
          <w:u w:val="single"/>
        </w:rPr>
      </w:pPr>
      <w:r>
        <w:rPr>
          <w:sz w:val="21"/>
          <w:u w:val="single"/>
        </w:rPr>
        <w:t>(d</w:t>
      </w:r>
      <w:r>
        <w:rPr>
          <w:rFonts w:hint="eastAsia"/>
          <w:sz w:val="21"/>
          <w:u w:val="single"/>
        </w:rPr>
        <w:t>）承包人需严格遵守地方政府和有关部门对施工场地交通、施工噪声、施工现场环境卫生和场外污染等管理规定，并办理有关手续，由于承包人责任造成的后果由承包人承担相应责任。</w:t>
      </w:r>
    </w:p>
    <w:p>
      <w:pPr>
        <w:spacing w:line="364" w:lineRule="auto"/>
        <w:ind w:left="880" w:leftChars="400" w:right="1489" w:rightChars="677"/>
        <w:jc w:val="both"/>
        <w:rPr>
          <w:sz w:val="21"/>
          <w:u w:val="single"/>
        </w:rPr>
      </w:pPr>
      <w:r>
        <w:rPr>
          <w:sz w:val="21"/>
          <w:u w:val="single"/>
        </w:rPr>
        <w:t>(e</w:t>
      </w:r>
      <w:r>
        <w:rPr>
          <w:rFonts w:hint="eastAsia"/>
          <w:sz w:val="21"/>
          <w:u w:val="single"/>
        </w:rPr>
        <w:t>）协调与市容、环保、交通、城管及街道等有关各方关系。</w:t>
      </w:r>
    </w:p>
    <w:p>
      <w:pPr>
        <w:spacing w:line="364" w:lineRule="auto"/>
        <w:ind w:left="880" w:leftChars="400" w:right="1489" w:rightChars="677"/>
        <w:jc w:val="both"/>
        <w:rPr>
          <w:sz w:val="21"/>
          <w:u w:val="single"/>
        </w:rPr>
      </w:pPr>
      <w:r>
        <w:rPr>
          <w:rFonts w:hint="eastAsia"/>
          <w:sz w:val="21"/>
          <w:u w:val="single"/>
          <w:lang w:eastAsia="zh-CN"/>
        </w:rPr>
        <w:t>（</w:t>
      </w:r>
      <w:r>
        <w:rPr>
          <w:sz w:val="21"/>
          <w:u w:val="single"/>
          <w:lang w:val="en-US" w:eastAsia="zh-CN"/>
        </w:rPr>
        <w:t>5</w:t>
      </w:r>
      <w:r>
        <w:rPr>
          <w:rFonts w:hint="eastAsia"/>
          <w:sz w:val="21"/>
          <w:u w:val="single"/>
          <w:lang w:eastAsia="zh-CN"/>
        </w:rPr>
        <w:t>）</w:t>
      </w:r>
      <w:r>
        <w:rPr>
          <w:sz w:val="21"/>
          <w:u w:val="single"/>
        </w:rPr>
        <w:t xml:space="preserve"> </w:t>
      </w:r>
      <w:r>
        <w:rPr>
          <w:rFonts w:hint="eastAsia"/>
          <w:sz w:val="21"/>
          <w:u w:val="single"/>
        </w:rPr>
        <w:t>承包人不得拖欠民工工资。</w:t>
      </w:r>
    </w:p>
    <w:p>
      <w:pPr>
        <w:spacing w:line="364" w:lineRule="auto"/>
        <w:ind w:left="880" w:leftChars="400" w:right="1489" w:rightChars="677"/>
        <w:jc w:val="both"/>
        <w:rPr>
          <w:sz w:val="21"/>
          <w:u w:val="single"/>
        </w:rPr>
      </w:pPr>
      <w:r>
        <w:rPr>
          <w:rFonts w:hint="eastAsia"/>
          <w:sz w:val="21"/>
          <w:u w:val="single"/>
          <w:lang w:eastAsia="zh-CN"/>
        </w:rPr>
        <w:t>（</w:t>
      </w:r>
      <w:r>
        <w:rPr>
          <w:sz w:val="21"/>
          <w:u w:val="single"/>
          <w:lang w:val="en-US" w:eastAsia="zh-CN"/>
        </w:rPr>
        <w:t>6</w:t>
      </w:r>
      <w:r>
        <w:rPr>
          <w:rFonts w:hint="eastAsia"/>
          <w:sz w:val="21"/>
          <w:u w:val="single"/>
          <w:lang w:eastAsia="zh-CN"/>
        </w:rPr>
        <w:t>）</w:t>
      </w:r>
      <w:r>
        <w:rPr>
          <w:rFonts w:hint="eastAsia"/>
          <w:sz w:val="21"/>
          <w:u w:val="single"/>
        </w:rPr>
        <w:t>分包</w:t>
      </w:r>
    </w:p>
    <w:p>
      <w:pPr>
        <w:spacing w:line="364" w:lineRule="auto"/>
        <w:ind w:left="880" w:leftChars="400" w:right="1489" w:rightChars="677"/>
        <w:jc w:val="both"/>
        <w:rPr>
          <w:sz w:val="21"/>
          <w:u w:val="single"/>
        </w:rPr>
      </w:pPr>
      <w:r>
        <w:rPr>
          <w:sz w:val="21"/>
          <w:u w:val="single"/>
        </w:rPr>
        <w:t xml:space="preserve">(a) </w:t>
      </w:r>
      <w:r>
        <w:rPr>
          <w:rFonts w:hint="eastAsia"/>
          <w:sz w:val="21"/>
          <w:u w:val="single"/>
        </w:rPr>
        <w:t>分包商（含材料暂估单价项目承包人）应有三家或以上且具有相应分包资质（或生产许可证－若有行业要求）的分包单位（或承包人）供选择；</w:t>
      </w:r>
    </w:p>
    <w:p>
      <w:pPr>
        <w:spacing w:line="364" w:lineRule="auto"/>
        <w:ind w:left="880" w:leftChars="400" w:right="1489" w:rightChars="677"/>
        <w:jc w:val="both"/>
        <w:rPr>
          <w:sz w:val="21"/>
          <w:u w:val="single"/>
        </w:rPr>
      </w:pPr>
      <w:r>
        <w:rPr>
          <w:sz w:val="21"/>
          <w:u w:val="single"/>
        </w:rPr>
        <w:t xml:space="preserve">(b) </w:t>
      </w:r>
      <w:r>
        <w:rPr>
          <w:rFonts w:hint="eastAsia"/>
          <w:sz w:val="21"/>
          <w:u w:val="single"/>
        </w:rPr>
        <w:t>专业分包管理由承包人负责，承包人对其安全、质量承担全部责任；</w:t>
      </w:r>
    </w:p>
    <w:p>
      <w:pPr>
        <w:spacing w:line="364" w:lineRule="auto"/>
        <w:ind w:left="880" w:leftChars="400" w:right="1489" w:rightChars="677"/>
        <w:jc w:val="both"/>
        <w:rPr>
          <w:sz w:val="21"/>
          <w:u w:val="single"/>
        </w:rPr>
      </w:pPr>
      <w:r>
        <w:rPr>
          <w:sz w:val="21"/>
          <w:u w:val="single"/>
        </w:rPr>
        <w:t xml:space="preserve">(c) </w:t>
      </w:r>
      <w:r>
        <w:rPr>
          <w:rFonts w:hint="eastAsia"/>
          <w:sz w:val="21"/>
          <w:u w:val="single"/>
        </w:rPr>
        <w:t>专业分包单位及材料设备暂估单价项目的选择，须征得发包人的同意。</w:t>
      </w:r>
    </w:p>
    <w:p>
      <w:pPr>
        <w:spacing w:line="364" w:lineRule="auto"/>
        <w:ind w:left="880" w:leftChars="400" w:right="1489" w:rightChars="677"/>
        <w:jc w:val="both"/>
        <w:rPr>
          <w:sz w:val="21"/>
          <w:u w:val="single"/>
        </w:rPr>
      </w:pPr>
      <w:r>
        <w:rPr>
          <w:rFonts w:hint="eastAsia"/>
          <w:sz w:val="21"/>
          <w:u w:val="single"/>
          <w:lang w:eastAsia="zh-CN"/>
        </w:rPr>
        <w:t>（</w:t>
      </w:r>
      <w:r>
        <w:rPr>
          <w:sz w:val="21"/>
          <w:u w:val="single"/>
          <w:lang w:val="en-US" w:eastAsia="zh-CN"/>
        </w:rPr>
        <w:t>7</w:t>
      </w:r>
      <w:r>
        <w:rPr>
          <w:rFonts w:hint="eastAsia"/>
          <w:sz w:val="21"/>
          <w:u w:val="single"/>
          <w:lang w:eastAsia="zh-CN"/>
        </w:rPr>
        <w:t>）</w:t>
      </w:r>
      <w:r>
        <w:rPr>
          <w:sz w:val="21"/>
          <w:u w:val="single"/>
        </w:rPr>
        <w:t xml:space="preserve"> </w:t>
      </w:r>
      <w:r>
        <w:rPr>
          <w:rFonts w:hint="eastAsia"/>
          <w:sz w:val="21"/>
          <w:u w:val="single"/>
        </w:rPr>
        <w:t>承包人负责保护水准点、坐标控制点，由于破坏或失准带来的重新测量、放点费用以及由此造成的其他损失由承包人承担相应责任。</w:t>
      </w:r>
    </w:p>
    <w:p>
      <w:pPr>
        <w:spacing w:line="364" w:lineRule="auto"/>
        <w:ind w:left="880" w:leftChars="400" w:right="1489" w:rightChars="677"/>
        <w:jc w:val="both"/>
        <w:rPr>
          <w:sz w:val="21"/>
          <w:u w:val="single"/>
        </w:rPr>
      </w:pPr>
      <w:r>
        <w:rPr>
          <w:rFonts w:hint="eastAsia"/>
          <w:sz w:val="21"/>
          <w:u w:val="single"/>
          <w:lang w:eastAsia="zh-CN"/>
        </w:rPr>
        <w:t>（</w:t>
      </w:r>
      <w:r>
        <w:rPr>
          <w:sz w:val="21"/>
          <w:u w:val="single"/>
          <w:lang w:val="en-US" w:eastAsia="zh-CN"/>
        </w:rPr>
        <w:t>8</w:t>
      </w:r>
      <w:r>
        <w:rPr>
          <w:rFonts w:hint="eastAsia"/>
          <w:sz w:val="21"/>
          <w:u w:val="single"/>
          <w:lang w:eastAsia="zh-CN"/>
        </w:rPr>
        <w:t>）</w:t>
      </w:r>
      <w:r>
        <w:rPr>
          <w:rFonts w:hint="eastAsia"/>
          <w:sz w:val="21"/>
          <w:u w:val="single"/>
        </w:rPr>
        <w:t>依法纳税：承包人依法应交纳的营业税金及其附加及规费应由承包人自行交纳，并向发包人提供缴纳发票和完税证明。</w:t>
      </w:r>
    </w:p>
    <w:p>
      <w:pPr>
        <w:spacing w:line="364" w:lineRule="auto"/>
        <w:ind w:left="880" w:leftChars="400" w:right="1489" w:rightChars="677"/>
        <w:jc w:val="both"/>
        <w:rPr>
          <w:sz w:val="21"/>
          <w:u w:val="single"/>
        </w:rPr>
      </w:pPr>
      <w:r>
        <w:rPr>
          <w:rFonts w:hint="eastAsia"/>
          <w:sz w:val="21"/>
          <w:u w:val="single"/>
          <w:lang w:eastAsia="zh-CN"/>
        </w:rPr>
        <w:t>（</w:t>
      </w:r>
      <w:r>
        <w:rPr>
          <w:sz w:val="21"/>
          <w:u w:val="single"/>
          <w:lang w:val="en-US" w:eastAsia="zh-CN"/>
        </w:rPr>
        <w:t>9</w:t>
      </w:r>
      <w:r>
        <w:rPr>
          <w:rFonts w:hint="eastAsia"/>
          <w:sz w:val="21"/>
          <w:u w:val="single"/>
          <w:lang w:eastAsia="zh-CN"/>
        </w:rPr>
        <w:t>）</w:t>
      </w:r>
      <w:r>
        <w:rPr>
          <w:rFonts w:hint="eastAsia"/>
          <w:sz w:val="21"/>
          <w:u w:val="single"/>
        </w:rPr>
        <w:t>法律、法规规定以及本合同约定的其他义务。</w:t>
      </w:r>
    </w:p>
    <w:p>
      <w:pPr>
        <w:spacing w:line="364" w:lineRule="auto"/>
        <w:ind w:left="880" w:leftChars="400" w:right="1489" w:rightChars="677"/>
        <w:jc w:val="both"/>
        <w:rPr>
          <w:sz w:val="21"/>
          <w:u w:val="single"/>
        </w:rPr>
      </w:pPr>
      <w:r>
        <w:rPr>
          <w:rFonts w:hint="eastAsia"/>
          <w:sz w:val="21"/>
          <w:u w:val="single"/>
          <w:lang w:eastAsia="zh-CN"/>
        </w:rPr>
        <w:t>（</w:t>
      </w:r>
      <w:r>
        <w:rPr>
          <w:sz w:val="21"/>
          <w:u w:val="single"/>
          <w:lang w:val="en-US" w:eastAsia="zh-CN"/>
        </w:rPr>
        <w:t>10</w:t>
      </w:r>
      <w:r>
        <w:rPr>
          <w:rFonts w:hint="eastAsia"/>
          <w:sz w:val="21"/>
          <w:u w:val="single"/>
          <w:lang w:eastAsia="zh-CN"/>
        </w:rPr>
        <w:t>）</w:t>
      </w:r>
      <w:r>
        <w:rPr>
          <w:rFonts w:hint="eastAsia"/>
          <w:sz w:val="21"/>
          <w:u w:val="single"/>
        </w:rPr>
        <w:t>其他：</w:t>
      </w:r>
    </w:p>
    <w:p>
      <w:pPr>
        <w:spacing w:line="364" w:lineRule="auto"/>
        <w:ind w:left="880" w:leftChars="400" w:right="1489" w:rightChars="677"/>
        <w:jc w:val="both"/>
        <w:rPr>
          <w:sz w:val="21"/>
          <w:u w:val="single"/>
        </w:rPr>
      </w:pPr>
      <w:r>
        <w:rPr>
          <w:rFonts w:hint="eastAsia"/>
          <w:sz w:val="21"/>
          <w:u w:val="single"/>
        </w:rPr>
        <w:t>（</w:t>
      </w:r>
      <w:r>
        <w:rPr>
          <w:sz w:val="21"/>
          <w:u w:val="single"/>
        </w:rPr>
        <w:t>a</w:t>
      </w:r>
      <w:r>
        <w:rPr>
          <w:rFonts w:hint="eastAsia"/>
          <w:sz w:val="21"/>
          <w:u w:val="single"/>
        </w:rPr>
        <w:t>）承担施工安全保卫工作及非夜间施工照明的责任和要求：</w:t>
      </w:r>
      <w:r>
        <w:rPr>
          <w:sz w:val="21"/>
          <w:u w:val="single"/>
        </w:rPr>
        <w:t xml:space="preserve"> </w:t>
      </w:r>
      <w:r>
        <w:rPr>
          <w:rFonts w:hint="eastAsia"/>
          <w:sz w:val="21"/>
          <w:u w:val="single"/>
        </w:rPr>
        <w:t>由承包人负责并承担由此发生的费用。</w:t>
      </w:r>
    </w:p>
    <w:p>
      <w:pPr>
        <w:spacing w:line="364" w:lineRule="auto"/>
        <w:ind w:left="880" w:leftChars="400" w:right="1489" w:rightChars="677"/>
        <w:jc w:val="both"/>
        <w:rPr>
          <w:sz w:val="21"/>
          <w:u w:val="single"/>
        </w:rPr>
      </w:pPr>
      <w:r>
        <w:rPr>
          <w:rFonts w:hint="eastAsia"/>
          <w:sz w:val="21"/>
          <w:u w:val="single"/>
        </w:rPr>
        <w:t>（</w:t>
      </w:r>
      <w:r>
        <w:rPr>
          <w:sz w:val="21"/>
          <w:u w:val="single"/>
        </w:rPr>
        <w:t>b</w:t>
      </w:r>
      <w:r>
        <w:rPr>
          <w:rFonts w:hint="eastAsia"/>
          <w:sz w:val="21"/>
          <w:u w:val="single"/>
        </w:rPr>
        <w:t>）施工场地清洁卫生的要求：对生产和生活垃圾应及时清运，并使发包人满意。承包人承担由此发生的费用。承包人违反本条约定，给发包人、承包人、第三人造成损失以及因此遭受有关单位处罚等，责任由承包人全部承担，造成工程延期的，还应当依照本合同约定承担违约责任。</w:t>
      </w:r>
      <w:r>
        <w:rPr>
          <w:sz w:val="21"/>
          <w:u w:val="single"/>
        </w:rPr>
        <w:t xml:space="preserve">  </w:t>
      </w:r>
    </w:p>
    <w:p>
      <w:pPr>
        <w:spacing w:line="364" w:lineRule="auto"/>
        <w:ind w:left="880" w:leftChars="400" w:right="1489" w:rightChars="677"/>
        <w:jc w:val="both"/>
        <w:rPr>
          <w:sz w:val="21"/>
          <w:u w:val="single"/>
        </w:rPr>
      </w:pPr>
      <w:r>
        <w:rPr>
          <w:rFonts w:hint="eastAsia"/>
          <w:sz w:val="21"/>
          <w:u w:val="single"/>
        </w:rPr>
        <w:t>（</w:t>
      </w:r>
      <w:r>
        <w:rPr>
          <w:sz w:val="21"/>
          <w:u w:val="single"/>
        </w:rPr>
        <w:t>c</w:t>
      </w:r>
      <w:r>
        <w:rPr>
          <w:rFonts w:hint="eastAsia"/>
          <w:sz w:val="21"/>
          <w:u w:val="single"/>
        </w:rPr>
        <w:t>）施工图纸未明确但属于使用功能内的，施工（相关）规范有要求的或明显影响美观效果的，承包人有责任和义务自行完善。</w:t>
      </w:r>
    </w:p>
    <w:p>
      <w:pPr>
        <w:spacing w:line="364" w:lineRule="auto"/>
        <w:ind w:left="880" w:leftChars="400" w:right="1489" w:rightChars="677"/>
        <w:jc w:val="both"/>
        <w:rPr>
          <w:sz w:val="21"/>
          <w:u w:val="single"/>
        </w:rPr>
      </w:pPr>
      <w:r>
        <w:rPr>
          <w:rFonts w:hint="eastAsia"/>
          <w:sz w:val="21"/>
          <w:u w:val="single"/>
        </w:rPr>
        <w:t>（</w:t>
      </w:r>
      <w:r>
        <w:rPr>
          <w:sz w:val="21"/>
          <w:u w:val="single"/>
        </w:rPr>
        <w:t>d</w:t>
      </w:r>
      <w:r>
        <w:rPr>
          <w:rFonts w:hint="eastAsia"/>
          <w:sz w:val="21"/>
          <w:u w:val="single"/>
        </w:rPr>
        <w:t>）施工图中出现错误或明显不合理的情况，应及时通知发包人，并提出相应的处理方案，经发包人同意后实施。</w:t>
      </w:r>
      <w:r>
        <w:rPr>
          <w:sz w:val="21"/>
          <w:u w:val="single"/>
        </w:rPr>
        <w:t xml:space="preserve"> </w:t>
      </w:r>
    </w:p>
    <w:p>
      <w:pPr>
        <w:spacing w:line="364" w:lineRule="auto"/>
        <w:ind w:left="880" w:leftChars="400" w:right="1489" w:rightChars="677"/>
        <w:jc w:val="both"/>
        <w:rPr>
          <w:sz w:val="21"/>
          <w:u w:val="single"/>
        </w:rPr>
      </w:pPr>
      <w:r>
        <w:rPr>
          <w:rFonts w:hint="eastAsia"/>
          <w:sz w:val="21"/>
          <w:u w:val="single"/>
        </w:rPr>
        <w:t>（</w:t>
      </w:r>
      <w:r>
        <w:rPr>
          <w:sz w:val="21"/>
          <w:u w:val="single"/>
        </w:rPr>
        <w:t>e</w:t>
      </w:r>
      <w:r>
        <w:rPr>
          <w:rFonts w:hint="eastAsia"/>
          <w:sz w:val="21"/>
          <w:u w:val="single"/>
        </w:rPr>
        <w:t>）承包人应承担本工程深化设计的工程，并得到施工图设计单位及监理单位的认可。</w:t>
      </w:r>
    </w:p>
    <w:p>
      <w:pPr>
        <w:spacing w:line="364" w:lineRule="auto"/>
        <w:ind w:left="880" w:leftChars="400" w:right="1489" w:rightChars="677"/>
        <w:jc w:val="both"/>
        <w:rPr>
          <w:sz w:val="21"/>
          <w:u w:val="single"/>
        </w:rPr>
      </w:pPr>
      <w:r>
        <w:rPr>
          <w:rFonts w:hint="eastAsia"/>
          <w:sz w:val="21"/>
          <w:u w:val="single"/>
        </w:rPr>
        <w:t>（</w:t>
      </w:r>
      <w:r>
        <w:rPr>
          <w:sz w:val="21"/>
          <w:u w:val="single"/>
        </w:rPr>
        <w:t>f</w:t>
      </w:r>
      <w:r>
        <w:rPr>
          <w:rFonts w:hint="eastAsia"/>
          <w:sz w:val="21"/>
          <w:u w:val="single"/>
        </w:rPr>
        <w:t>）无论发包人是否就施工场地基础情况、各类隐蔽管线、设施提供资料或所提供资料是否齐全，承包人须独立尽职调查包括向有关的市政部门、管线监管部门调查、现场详细勘查等以</w:t>
      </w:r>
      <w:r>
        <w:rPr>
          <w:sz w:val="21"/>
          <w:u w:val="single"/>
        </w:rPr>
        <w:t>/</w:t>
      </w:r>
      <w:r>
        <w:rPr>
          <w:rFonts w:hint="eastAsia"/>
          <w:sz w:val="21"/>
          <w:u w:val="single"/>
        </w:rPr>
        <w:t>并获得全部资料，任何因资料所发生或引起的损害赔偿责任均应当由承包人自行独立承担，与发包人无关，承包人不得依赖发包人或任何他方的资料作为其相信调查结果的依据。</w:t>
      </w:r>
    </w:p>
    <w:p>
      <w:pPr>
        <w:spacing w:line="364" w:lineRule="auto"/>
        <w:ind w:left="880" w:leftChars="400" w:right="1489" w:rightChars="677"/>
        <w:jc w:val="both"/>
        <w:rPr>
          <w:sz w:val="21"/>
          <w:u w:val="single"/>
        </w:rPr>
      </w:pPr>
      <w:r>
        <w:rPr>
          <w:rFonts w:hint="eastAsia"/>
          <w:sz w:val="21"/>
          <w:u w:val="single"/>
        </w:rPr>
        <w:t>（</w:t>
      </w:r>
      <w:r>
        <w:rPr>
          <w:sz w:val="21"/>
          <w:u w:val="single"/>
        </w:rPr>
        <w:t>g</w:t>
      </w:r>
      <w:r>
        <w:rPr>
          <w:rFonts w:hint="eastAsia"/>
          <w:sz w:val="21"/>
          <w:u w:val="single"/>
        </w:rPr>
        <w:t>）承包人负责组织并完成竣工资料的移交（包括向城建档案馆的移交）工作。</w:t>
      </w:r>
    </w:p>
    <w:p>
      <w:pPr>
        <w:pStyle w:val="8"/>
        <w:tabs>
          <w:tab w:val="left" w:pos="8291"/>
        </w:tabs>
        <w:spacing w:before="139"/>
        <w:ind w:right="1709"/>
        <w:jc w:val="right"/>
      </w:pPr>
      <w:r>
        <w:rPr>
          <w:rFonts w:hint="eastAsia"/>
          <w:u w:val="single"/>
        </w:rPr>
        <w:t>（</w:t>
      </w:r>
      <w:r>
        <w:rPr>
          <w:u w:val="single"/>
        </w:rPr>
        <w:t>h</w:t>
      </w:r>
      <w:r>
        <w:rPr>
          <w:rFonts w:hint="eastAsia"/>
          <w:u w:val="single"/>
        </w:rPr>
        <w:t>）承包人施工现场应做好扰民防护措施，由于施工扰民造成的责任由承包人承担。</w:t>
      </w:r>
      <w:r>
        <w:t xml:space="preserve"> </w:t>
      </w:r>
    </w:p>
    <w:p>
      <w:pPr>
        <w:pStyle w:val="8"/>
        <w:spacing w:before="3"/>
        <w:rPr>
          <w:sz w:val="15"/>
        </w:rPr>
      </w:pPr>
    </w:p>
    <w:p>
      <w:pPr>
        <w:pStyle w:val="7"/>
        <w:numPr>
          <w:ilvl w:val="1"/>
          <w:numId w:val="28"/>
        </w:numPr>
        <w:tabs>
          <w:tab w:val="left" w:pos="1199"/>
        </w:tabs>
      </w:pPr>
      <w:bookmarkStart w:id="32" w:name="_bookmark108"/>
      <w:bookmarkEnd w:id="32"/>
      <w:r>
        <w:rPr>
          <w:rFonts w:hint="eastAsia"/>
        </w:rPr>
        <w:t>履约担保</w:t>
      </w:r>
      <w:r>
        <w:t xml:space="preserve">  </w:t>
      </w:r>
    </w:p>
    <w:p>
      <w:pPr>
        <w:pStyle w:val="8"/>
        <w:spacing w:before="10"/>
      </w:pPr>
    </w:p>
    <w:p>
      <w:pPr>
        <w:pStyle w:val="33"/>
        <w:numPr>
          <w:ilvl w:val="2"/>
          <w:numId w:val="28"/>
        </w:numPr>
        <w:tabs>
          <w:tab w:val="left" w:pos="1784"/>
        </w:tabs>
        <w:rPr>
          <w:sz w:val="21"/>
        </w:rPr>
      </w:pPr>
      <w:r>
        <w:rPr>
          <w:rFonts w:hint="eastAsia"/>
          <w:sz w:val="21"/>
        </w:rPr>
        <w:t>承包人履约担保的格式和金额</w:t>
      </w:r>
      <w:r>
        <w:rPr>
          <w:sz w:val="21"/>
        </w:rPr>
        <w:t xml:space="preserve"> </w:t>
      </w:r>
    </w:p>
    <w:p>
      <w:pPr>
        <w:pStyle w:val="8"/>
        <w:spacing w:before="139"/>
        <w:ind w:left="1258"/>
      </w:pPr>
      <w:r>
        <w:rPr>
          <w:rFonts w:hint="eastAsia"/>
        </w:rPr>
        <w:t>发包人</w:t>
      </w:r>
      <w:r>
        <w:rPr>
          <w:rFonts w:hint="eastAsia"/>
          <w:spacing w:val="103"/>
          <w:u w:val="single"/>
          <w:lang w:val="en-US" w:eastAsia="zh-CN"/>
        </w:rPr>
        <w:t>不要求</w:t>
      </w:r>
      <w:r>
        <w:rPr>
          <w:rFonts w:hint="eastAsia"/>
        </w:rPr>
        <w:t>（要求</w:t>
      </w:r>
      <w:r>
        <w:t>/</w:t>
      </w:r>
      <w:r>
        <w:rPr>
          <w:rFonts w:hint="eastAsia"/>
        </w:rPr>
        <w:t>不要求）承包人提供承包人履约担保。</w:t>
      </w:r>
      <w:r>
        <w:t xml:space="preserve"> </w:t>
      </w:r>
    </w:p>
    <w:p>
      <w:pPr>
        <w:pStyle w:val="8"/>
        <w:spacing w:before="140"/>
        <w:ind w:left="1258"/>
      </w:pPr>
      <w:r>
        <w:rPr>
          <w:rFonts w:hint="eastAsia"/>
        </w:rPr>
        <w:t>承包人履约担保的金额为</w:t>
      </w:r>
      <w:r>
        <w:rPr>
          <w:u w:val="single"/>
        </w:rPr>
        <w:t xml:space="preserve">     </w:t>
      </w:r>
      <w:r>
        <w:rPr>
          <w:u w:val="single"/>
          <w:lang w:val="en-US" w:eastAsia="zh-CN"/>
        </w:rPr>
        <w:t>/</w:t>
      </w:r>
      <w:r>
        <w:rPr>
          <w:u w:val="single"/>
        </w:rPr>
        <w:t xml:space="preserve">     </w:t>
      </w:r>
      <w:r>
        <w:t xml:space="preserve"> </w:t>
      </w:r>
    </w:p>
    <w:p>
      <w:pPr>
        <w:pStyle w:val="8"/>
        <w:spacing w:before="1"/>
        <w:rPr>
          <w:sz w:val="15"/>
        </w:rPr>
      </w:pPr>
    </w:p>
    <w:p>
      <w:pPr>
        <w:pStyle w:val="7"/>
        <w:spacing w:before="67"/>
        <w:ind w:left="838"/>
      </w:pPr>
      <w:bookmarkStart w:id="33" w:name="_bookmark109"/>
      <w:bookmarkEnd w:id="33"/>
      <w:r>
        <w:t xml:space="preserve">4.11 </w:t>
      </w:r>
      <w:r>
        <w:rPr>
          <w:rFonts w:hint="eastAsia"/>
        </w:rPr>
        <w:t>不利物质条件</w:t>
      </w:r>
      <w:r>
        <w:t xml:space="preserve"> </w:t>
      </w:r>
    </w:p>
    <w:p>
      <w:pPr>
        <w:pStyle w:val="8"/>
        <w:spacing w:before="9"/>
      </w:pPr>
    </w:p>
    <w:p>
      <w:pPr>
        <w:pStyle w:val="8"/>
        <w:ind w:left="1316" w:leftChars="381" w:right="1708" w:hanging="478" w:hangingChars="228"/>
        <w:jc w:val="both"/>
        <w:rPr>
          <w:u w:val="single"/>
        </w:rPr>
      </w:pPr>
      <w:r>
        <w:t xml:space="preserve">4.11.1 </w:t>
      </w:r>
      <w:r>
        <w:rPr>
          <w:rFonts w:hint="eastAsia"/>
        </w:rPr>
        <w:t>不利物质条件的范围：</w:t>
      </w:r>
      <w:r>
        <w:rPr>
          <w:u w:val="single"/>
        </w:rPr>
        <w:t xml:space="preserve">  </w:t>
      </w:r>
      <w:r>
        <w:rPr>
          <w:rFonts w:hint="eastAsia"/>
          <w:u w:val="single"/>
        </w:rPr>
        <w:t>（</w:t>
      </w:r>
      <w:r>
        <w:rPr>
          <w:u w:val="single"/>
        </w:rPr>
        <w:t>1</w:t>
      </w:r>
      <w:r>
        <w:rPr>
          <w:rFonts w:hint="eastAsia"/>
          <w:u w:val="single"/>
        </w:rPr>
        <w:t>）在施工场地遇见的不可预见的自然物质条件，包括地下各种既有管网障碍（谈判人未予事先提供的），地下文物障碍，流沙、暗河等不良地质条件，地下建筑障碍物等。</w:t>
      </w:r>
    </w:p>
    <w:p>
      <w:pPr>
        <w:pStyle w:val="8"/>
        <w:ind w:right="1708" w:firstLine="1260" w:firstLineChars="600"/>
        <w:jc w:val="both"/>
      </w:pPr>
      <w:r>
        <w:rPr>
          <w:rFonts w:hint="eastAsia"/>
          <w:u w:val="single"/>
        </w:rPr>
        <w:t>（</w:t>
      </w:r>
      <w:r>
        <w:rPr>
          <w:u w:val="single"/>
        </w:rPr>
        <w:t>2</w:t>
      </w:r>
      <w:r>
        <w:rPr>
          <w:rFonts w:hint="eastAsia"/>
          <w:u w:val="single"/>
        </w:rPr>
        <w:t>）非自然物质障碍，包括污染物等</w:t>
      </w:r>
      <w:r>
        <w:rPr>
          <w:u w:val="single"/>
        </w:rPr>
        <w:t xml:space="preserve"> </w:t>
      </w:r>
      <w:r>
        <w:t xml:space="preserve"> </w:t>
      </w:r>
    </w:p>
    <w:p>
      <w:pPr>
        <w:pStyle w:val="6"/>
        <w:numPr>
          <w:ilvl w:val="0"/>
          <w:numId w:val="28"/>
        </w:numPr>
        <w:tabs>
          <w:tab w:val="left" w:pos="1120"/>
        </w:tabs>
        <w:spacing w:before="61"/>
      </w:pPr>
      <w:bookmarkStart w:id="34" w:name="_bookmark110"/>
      <w:bookmarkEnd w:id="34"/>
      <w:r>
        <w:rPr>
          <w:rFonts w:hint="eastAsia"/>
        </w:rPr>
        <w:t>材料和工程设备</w:t>
      </w:r>
      <w:r>
        <w:t xml:space="preserve"> </w:t>
      </w:r>
    </w:p>
    <w:p>
      <w:pPr>
        <w:pStyle w:val="8"/>
        <w:spacing w:before="10"/>
        <w:rPr>
          <w:sz w:val="23"/>
        </w:rPr>
      </w:pPr>
    </w:p>
    <w:p>
      <w:pPr>
        <w:pStyle w:val="7"/>
        <w:numPr>
          <w:ilvl w:val="1"/>
          <w:numId w:val="28"/>
        </w:numPr>
        <w:tabs>
          <w:tab w:val="left" w:pos="1199"/>
        </w:tabs>
        <w:spacing w:before="0"/>
      </w:pPr>
      <w:bookmarkStart w:id="35" w:name="_bookmark111"/>
      <w:bookmarkEnd w:id="35"/>
      <w:r>
        <w:rPr>
          <w:rFonts w:hint="eastAsia"/>
        </w:rPr>
        <w:t>承包人提供的材料和工程设备</w:t>
      </w:r>
      <w:r>
        <w:t xml:space="preserve"> </w:t>
      </w:r>
    </w:p>
    <w:p>
      <w:pPr>
        <w:pStyle w:val="8"/>
        <w:spacing w:before="9"/>
      </w:pPr>
    </w:p>
    <w:p>
      <w:pPr>
        <w:pStyle w:val="8"/>
        <w:spacing w:line="364" w:lineRule="auto"/>
        <w:ind w:left="838" w:right="1793" w:firstLine="420"/>
      </w:pPr>
      <w:r>
        <w:t>5.1.2</w:t>
      </w:r>
      <w:r>
        <w:rPr>
          <w:spacing w:val="-6"/>
        </w:rPr>
        <w:t xml:space="preserve"> </w:t>
      </w:r>
      <w:r>
        <w:rPr>
          <w:rFonts w:hint="eastAsia"/>
          <w:spacing w:val="-6"/>
        </w:rPr>
        <w:t>承包人将由其提供的材料和工程设备的供货人和品种、规格、数量及供货时间等</w:t>
      </w:r>
      <w:r>
        <w:rPr>
          <w:rFonts w:hint="eastAsia"/>
        </w:rPr>
        <w:t>报送监理人审批的期限：</w:t>
      </w:r>
      <w:r>
        <w:rPr>
          <w:rFonts w:hint="eastAsia"/>
          <w:u w:val="single"/>
        </w:rPr>
        <w:t>采购前</w:t>
      </w:r>
      <w:r>
        <w:rPr>
          <w:u w:val="single"/>
        </w:rPr>
        <w:t>30</w:t>
      </w:r>
      <w:r>
        <w:rPr>
          <w:rFonts w:hint="eastAsia"/>
          <w:u w:val="single"/>
        </w:rPr>
        <w:t>天。如果承包人未通知监理人组织三方检验，则承包人应负责材料和工程设备的保管，丢失损坏由承包人负责。</w:t>
      </w:r>
      <w:r>
        <w:t xml:space="preserve"> </w:t>
      </w:r>
    </w:p>
    <w:p>
      <w:pPr>
        <w:pStyle w:val="6"/>
        <w:numPr>
          <w:ilvl w:val="0"/>
          <w:numId w:val="28"/>
        </w:numPr>
        <w:tabs>
          <w:tab w:val="left" w:pos="1120"/>
        </w:tabs>
        <w:spacing w:before="122"/>
      </w:pPr>
      <w:bookmarkStart w:id="36" w:name="_bookmark112"/>
      <w:bookmarkEnd w:id="36"/>
      <w:r>
        <w:rPr>
          <w:rFonts w:hint="eastAsia"/>
        </w:rPr>
        <w:t>施工设备和临时设施</w:t>
      </w:r>
      <w:r>
        <w:t xml:space="preserve"> </w:t>
      </w:r>
    </w:p>
    <w:p>
      <w:pPr>
        <w:pStyle w:val="8"/>
        <w:spacing w:before="10"/>
        <w:rPr>
          <w:sz w:val="23"/>
        </w:rPr>
      </w:pPr>
    </w:p>
    <w:p>
      <w:pPr>
        <w:pStyle w:val="7"/>
        <w:numPr>
          <w:ilvl w:val="1"/>
          <w:numId w:val="28"/>
        </w:numPr>
        <w:tabs>
          <w:tab w:val="left" w:pos="1199"/>
        </w:tabs>
        <w:spacing w:before="1"/>
      </w:pPr>
      <w:bookmarkStart w:id="37" w:name="_bookmark113"/>
      <w:bookmarkEnd w:id="37"/>
      <w:r>
        <w:rPr>
          <w:rFonts w:hint="eastAsia"/>
        </w:rPr>
        <w:t>承包人提供的施工设备和临时设施</w:t>
      </w:r>
      <w:r>
        <w:t xml:space="preserve"> </w:t>
      </w:r>
    </w:p>
    <w:p>
      <w:pPr>
        <w:pStyle w:val="8"/>
        <w:spacing w:before="8"/>
      </w:pPr>
    </w:p>
    <w:p>
      <w:pPr>
        <w:pStyle w:val="8"/>
        <w:spacing w:before="1"/>
        <w:ind w:right="1708" w:firstLine="840" w:firstLineChars="400"/>
        <w:jc w:val="both"/>
      </w:pPr>
      <w:r>
        <w:t xml:space="preserve">6.1.2 </w:t>
      </w:r>
      <w:r>
        <w:rPr>
          <w:rFonts w:hint="eastAsia"/>
        </w:rPr>
        <w:t>发包人承担修建临时设施费用的范围：</w:t>
      </w:r>
      <w:r>
        <w:rPr>
          <w:u w:val="single"/>
        </w:rPr>
        <w:t xml:space="preserve"> </w:t>
      </w:r>
      <w:r>
        <w:rPr>
          <w:rFonts w:hint="eastAsia"/>
          <w:u w:val="single"/>
        </w:rPr>
        <w:t>修建临时设施费用均由承包人承担</w:t>
      </w:r>
      <w:r>
        <w:rPr>
          <w:spacing w:val="-1"/>
          <w:u w:val="single"/>
        </w:rPr>
        <w:t xml:space="preserve"> </w:t>
      </w:r>
      <w:r>
        <w:t xml:space="preserve"> </w:t>
      </w:r>
    </w:p>
    <w:p>
      <w:pPr>
        <w:pStyle w:val="8"/>
        <w:spacing w:before="139"/>
        <w:ind w:right="1707" w:firstLine="840" w:firstLineChars="400"/>
        <w:jc w:val="both"/>
      </w:pPr>
      <w:r>
        <w:rPr>
          <w:rFonts w:hint="eastAsia"/>
        </w:rPr>
        <w:t>需要发包人办理申请手续并承担相关费用的临时占地：</w:t>
      </w:r>
      <w:r>
        <w:rPr>
          <w:u w:val="single"/>
        </w:rPr>
        <w:t xml:space="preserve">  </w:t>
      </w:r>
      <w:r>
        <w:rPr>
          <w:spacing w:val="-1"/>
          <w:u w:val="single"/>
        </w:rPr>
        <w:t xml:space="preserve"> </w:t>
      </w:r>
      <w:r>
        <w:rPr>
          <w:u w:val="single"/>
          <w:lang w:val="en-US" w:eastAsia="zh-CN"/>
        </w:rPr>
        <w:t>/</w:t>
      </w:r>
      <w:r>
        <w:rPr>
          <w:u w:val="single"/>
        </w:rPr>
        <w:t xml:space="preserve"> </w:t>
      </w:r>
      <w:r>
        <w:rPr>
          <w:spacing w:val="-2"/>
          <w:u w:val="single"/>
        </w:rPr>
        <w:t xml:space="preserve"> </w:t>
      </w:r>
      <w:r>
        <w:rPr>
          <w:u w:val="single"/>
        </w:rPr>
        <w:t xml:space="preserve">  </w:t>
      </w:r>
      <w:r>
        <w:t xml:space="preserve">  </w:t>
      </w:r>
    </w:p>
    <w:p>
      <w:pPr>
        <w:pStyle w:val="8"/>
        <w:spacing w:before="1"/>
        <w:rPr>
          <w:sz w:val="15"/>
        </w:rPr>
      </w:pPr>
    </w:p>
    <w:p>
      <w:pPr>
        <w:pStyle w:val="7"/>
        <w:numPr>
          <w:ilvl w:val="1"/>
          <w:numId w:val="28"/>
        </w:numPr>
        <w:tabs>
          <w:tab w:val="left" w:pos="1199"/>
        </w:tabs>
        <w:spacing w:before="67"/>
      </w:pPr>
      <w:bookmarkStart w:id="38" w:name="_bookmark114"/>
      <w:bookmarkEnd w:id="38"/>
      <w:r>
        <w:rPr>
          <w:rFonts w:hint="eastAsia"/>
        </w:rPr>
        <w:t>发包人提供的施工设备和临时设施</w:t>
      </w:r>
      <w:r>
        <w:t xml:space="preserve"> </w:t>
      </w:r>
    </w:p>
    <w:p>
      <w:pPr>
        <w:pStyle w:val="8"/>
        <w:spacing w:before="9"/>
      </w:pPr>
    </w:p>
    <w:p>
      <w:pPr>
        <w:pStyle w:val="8"/>
        <w:spacing w:line="364" w:lineRule="auto"/>
        <w:ind w:left="1258" w:right="1811"/>
      </w:pPr>
      <w:r>
        <w:rPr>
          <w:rFonts w:hint="eastAsia"/>
        </w:rPr>
        <w:t>发包人提供的施工设备和临时设施：</w:t>
      </w:r>
      <w:r>
        <w:rPr>
          <w:u w:val="single"/>
        </w:rPr>
        <w:t xml:space="preserve">          </w:t>
      </w:r>
      <w:r>
        <w:rPr>
          <w:u w:val="single"/>
          <w:lang w:val="en-US" w:eastAsia="zh-CN"/>
        </w:rPr>
        <w:t>/</w:t>
      </w:r>
      <w:r>
        <w:rPr>
          <w:u w:val="single"/>
        </w:rPr>
        <w:t xml:space="preserve">                               </w:t>
      </w:r>
      <w:r>
        <w:t xml:space="preserve"> </w:t>
      </w:r>
      <w:r>
        <w:rPr>
          <w:rFonts w:hint="eastAsia"/>
        </w:rPr>
        <w:t>发包人提供的施工设备和临时设施的运行、维护、拆除、清运费用的承担人：</w:t>
      </w:r>
      <w:r>
        <w:rPr>
          <w:u w:val="single"/>
        </w:rPr>
        <w:t xml:space="preserve">   </w:t>
      </w:r>
      <w:r>
        <w:rPr>
          <w:u w:val="single"/>
          <w:lang w:val="en-US" w:eastAsia="zh-CN"/>
        </w:rPr>
        <w:t>/</w:t>
      </w:r>
      <w:r>
        <w:rPr>
          <w:u w:val="single"/>
        </w:rPr>
        <w:t xml:space="preserve">  </w:t>
      </w:r>
      <w:r>
        <w:rPr>
          <w:spacing w:val="-2"/>
          <w:u w:val="single"/>
        </w:rPr>
        <w:t xml:space="preserve"> </w:t>
      </w:r>
      <w:r>
        <w:t xml:space="preserve"> </w:t>
      </w:r>
    </w:p>
    <w:p>
      <w:pPr>
        <w:pStyle w:val="6"/>
        <w:numPr>
          <w:ilvl w:val="0"/>
          <w:numId w:val="28"/>
        </w:numPr>
        <w:tabs>
          <w:tab w:val="left" w:pos="1120"/>
        </w:tabs>
        <w:spacing w:before="121"/>
      </w:pPr>
      <w:bookmarkStart w:id="39" w:name="_bookmark115"/>
      <w:bookmarkEnd w:id="39"/>
      <w:r>
        <w:rPr>
          <w:rFonts w:hint="eastAsia"/>
        </w:rPr>
        <w:t>交通运输</w:t>
      </w:r>
      <w:r>
        <w:t xml:space="preserve"> </w:t>
      </w:r>
    </w:p>
    <w:p>
      <w:pPr>
        <w:pStyle w:val="8"/>
        <w:spacing w:before="10"/>
        <w:rPr>
          <w:sz w:val="23"/>
        </w:rPr>
      </w:pPr>
    </w:p>
    <w:p>
      <w:pPr>
        <w:pStyle w:val="7"/>
        <w:numPr>
          <w:ilvl w:val="1"/>
          <w:numId w:val="28"/>
        </w:numPr>
        <w:tabs>
          <w:tab w:val="left" w:pos="1199"/>
        </w:tabs>
        <w:spacing w:before="1"/>
      </w:pPr>
      <w:bookmarkStart w:id="40" w:name="_bookmark116"/>
      <w:bookmarkEnd w:id="40"/>
      <w:r>
        <w:rPr>
          <w:rFonts w:hint="eastAsia"/>
        </w:rPr>
        <w:t>道路通行权和场外设施</w:t>
      </w:r>
      <w:r>
        <w:t xml:space="preserve"> </w:t>
      </w:r>
    </w:p>
    <w:p>
      <w:pPr>
        <w:pStyle w:val="8"/>
        <w:spacing w:before="8"/>
      </w:pPr>
    </w:p>
    <w:p>
      <w:pPr>
        <w:pStyle w:val="8"/>
        <w:spacing w:before="1" w:line="364" w:lineRule="auto"/>
        <w:ind w:left="838" w:right="1792" w:firstLine="420"/>
      </w:pPr>
      <w:r>
        <w:rPr>
          <w:rFonts w:hint="eastAsia"/>
        </w:rPr>
        <w:t>负责取得道路通行权、场外设施修建权的办理人</w:t>
      </w:r>
      <w:r>
        <w:t>:</w:t>
      </w:r>
      <w:r>
        <w:rPr>
          <w:u w:val="single"/>
        </w:rPr>
        <w:t xml:space="preserve">  </w:t>
      </w:r>
      <w:r>
        <w:rPr>
          <w:rFonts w:hint="eastAsia"/>
          <w:u w:val="single"/>
          <w:lang w:val="en-US" w:eastAsia="zh-CN"/>
        </w:rPr>
        <w:t>承包人</w:t>
      </w:r>
      <w:r>
        <w:rPr>
          <w:u w:val="single"/>
        </w:rPr>
        <w:t xml:space="preserve">   </w:t>
      </w:r>
      <w:r>
        <w:t xml:space="preserve"> </w:t>
      </w:r>
      <w:r>
        <w:rPr>
          <w:rFonts w:hint="eastAsia"/>
        </w:rPr>
        <w:t>，其相关费用由发包人承担。</w:t>
      </w:r>
      <w:r>
        <w:t xml:space="preserve">  </w:t>
      </w:r>
    </w:p>
    <w:p>
      <w:pPr>
        <w:pStyle w:val="7"/>
        <w:numPr>
          <w:ilvl w:val="1"/>
          <w:numId w:val="28"/>
        </w:numPr>
        <w:tabs>
          <w:tab w:val="left" w:pos="1199"/>
        </w:tabs>
        <w:spacing w:before="120"/>
      </w:pPr>
      <w:bookmarkStart w:id="41" w:name="_bookmark117"/>
      <w:bookmarkEnd w:id="41"/>
      <w:r>
        <w:rPr>
          <w:rFonts w:hint="eastAsia"/>
        </w:rPr>
        <w:t>场内施工道路</w:t>
      </w:r>
      <w:r>
        <w:t xml:space="preserve"> </w:t>
      </w:r>
    </w:p>
    <w:p>
      <w:pPr>
        <w:pStyle w:val="8"/>
        <w:spacing w:before="9"/>
      </w:pPr>
    </w:p>
    <w:p>
      <w:pPr>
        <w:pStyle w:val="8"/>
        <w:spacing w:before="4"/>
        <w:ind w:right="1709" w:rightChars="777" w:firstLine="768" w:firstLineChars="400"/>
        <w:rPr>
          <w:lang w:val="en-US" w:eastAsia="zh-CN"/>
        </w:rPr>
      </w:pPr>
      <w:r>
        <w:rPr>
          <w:rFonts w:hint="eastAsia"/>
          <w:spacing w:val="-9"/>
        </w:rPr>
        <w:t>施工所需的场内临时道路和交通设施的修建、维护、养护和管理人：</w:t>
      </w:r>
      <w:r>
        <w:rPr>
          <w:rFonts w:hint="eastAsia"/>
          <w:spacing w:val="-21"/>
          <w:u w:val="single"/>
          <w:lang w:val="en-US" w:eastAsia="zh-CN"/>
        </w:rPr>
        <w:t>承包人</w:t>
      </w:r>
      <w:r>
        <w:rPr>
          <w:rFonts w:hint="eastAsia"/>
          <w:spacing w:val="-21"/>
        </w:rPr>
        <w:t>，</w:t>
      </w:r>
      <w:r>
        <w:rPr>
          <w:rFonts w:hint="eastAsia"/>
        </w:rPr>
        <w:t>相关费用由</w:t>
      </w:r>
      <w:r>
        <w:rPr>
          <w:rFonts w:hint="eastAsia"/>
          <w:u w:val="single"/>
          <w:lang w:val="en-US" w:eastAsia="zh-CN"/>
        </w:rPr>
        <w:t>承包人</w:t>
      </w:r>
    </w:p>
    <w:p>
      <w:pPr>
        <w:pStyle w:val="8"/>
        <w:spacing w:before="4"/>
        <w:ind w:right="1709" w:rightChars="777" w:firstLine="840" w:firstLineChars="400"/>
      </w:pPr>
      <w:r>
        <w:rPr>
          <w:rFonts w:hint="eastAsia"/>
          <w:lang w:val="en-US" w:eastAsia="zh-CN"/>
        </w:rPr>
        <w:t>承</w:t>
      </w:r>
      <w:r>
        <w:rPr>
          <w:rFonts w:hint="eastAsia"/>
        </w:rPr>
        <w:t>担</w:t>
      </w:r>
      <w:r>
        <w:t xml:space="preserve"> </w:t>
      </w:r>
      <w:r>
        <w:rPr>
          <w:rFonts w:hint="eastAsia"/>
        </w:rPr>
        <w:t>。</w:t>
      </w:r>
      <w:r>
        <w:t xml:space="preserve"> </w:t>
      </w:r>
    </w:p>
    <w:p>
      <w:pPr>
        <w:pStyle w:val="8"/>
        <w:spacing w:before="2"/>
        <w:rPr>
          <w:sz w:val="15"/>
        </w:rPr>
      </w:pPr>
    </w:p>
    <w:p>
      <w:pPr>
        <w:pStyle w:val="7"/>
        <w:ind w:left="838"/>
      </w:pPr>
      <w:bookmarkStart w:id="42" w:name="_bookmark118"/>
      <w:bookmarkEnd w:id="42"/>
      <w:r>
        <w:t xml:space="preserve">7.4 </w:t>
      </w:r>
      <w:r>
        <w:rPr>
          <w:rFonts w:hint="eastAsia"/>
        </w:rPr>
        <w:t>超大件和超重件的运输</w:t>
      </w:r>
      <w:r>
        <w:t xml:space="preserve"> </w:t>
      </w:r>
    </w:p>
    <w:p>
      <w:pPr>
        <w:pStyle w:val="8"/>
        <w:spacing w:before="9"/>
      </w:pPr>
    </w:p>
    <w:p>
      <w:pPr>
        <w:pStyle w:val="8"/>
        <w:ind w:left="1258"/>
      </w:pPr>
      <w:r>
        <w:rPr>
          <w:rFonts w:hint="eastAsia"/>
        </w:rPr>
        <w:t>运输超大件或超重件所需的道路和桥梁临时加固改造等费用的承担人：</w:t>
      </w:r>
      <w:r>
        <w:rPr>
          <w:u w:val="single"/>
        </w:rPr>
        <w:t xml:space="preserve">  </w:t>
      </w:r>
      <w:r>
        <w:rPr>
          <w:rFonts w:hint="eastAsia"/>
          <w:u w:val="single"/>
          <w:lang w:val="en-US" w:eastAsia="zh-CN"/>
        </w:rPr>
        <w:t>承包人</w:t>
      </w:r>
      <w:r>
        <w:rPr>
          <w:u w:val="single"/>
        </w:rPr>
        <w:t xml:space="preserve">  </w:t>
      </w:r>
      <w:r>
        <w:t xml:space="preserve"> </w:t>
      </w:r>
    </w:p>
    <w:p>
      <w:pPr>
        <w:pStyle w:val="8"/>
        <w:spacing w:before="10"/>
        <w:rPr>
          <w:sz w:val="15"/>
        </w:rPr>
      </w:pPr>
    </w:p>
    <w:p>
      <w:pPr>
        <w:pStyle w:val="6"/>
        <w:numPr>
          <w:ilvl w:val="0"/>
          <w:numId w:val="28"/>
        </w:numPr>
        <w:tabs>
          <w:tab w:val="left" w:pos="1120"/>
        </w:tabs>
        <w:spacing w:before="61"/>
        <w:rPr>
          <w:sz w:val="23"/>
        </w:rPr>
      </w:pPr>
      <w:bookmarkStart w:id="43" w:name="_bookmark119"/>
      <w:bookmarkEnd w:id="43"/>
      <w:r>
        <w:rPr>
          <w:rFonts w:hint="eastAsia"/>
        </w:rPr>
        <w:t>测量放线</w:t>
      </w:r>
      <w:r>
        <w:t xml:space="preserve"> </w:t>
      </w:r>
    </w:p>
    <w:p>
      <w:pPr>
        <w:pStyle w:val="7"/>
        <w:numPr>
          <w:ilvl w:val="1"/>
          <w:numId w:val="28"/>
        </w:numPr>
        <w:tabs>
          <w:tab w:val="left" w:pos="1199"/>
        </w:tabs>
        <w:spacing w:before="0"/>
      </w:pPr>
      <w:bookmarkStart w:id="44" w:name="_bookmark120"/>
      <w:bookmarkEnd w:id="44"/>
      <w:r>
        <w:rPr>
          <w:rFonts w:hint="eastAsia"/>
        </w:rPr>
        <w:t>施工控制网</w:t>
      </w:r>
      <w:r>
        <w:t xml:space="preserve"> </w:t>
      </w:r>
    </w:p>
    <w:p>
      <w:pPr>
        <w:pStyle w:val="8"/>
        <w:spacing w:before="9"/>
      </w:pPr>
    </w:p>
    <w:p>
      <w:pPr>
        <w:pStyle w:val="33"/>
        <w:numPr>
          <w:ilvl w:val="2"/>
          <w:numId w:val="28"/>
        </w:numPr>
        <w:tabs>
          <w:tab w:val="left" w:pos="526"/>
        </w:tabs>
        <w:ind w:right="1706" w:hanging="904"/>
        <w:jc w:val="center"/>
        <w:rPr>
          <w:sz w:val="21"/>
        </w:rPr>
      </w:pPr>
      <w:r>
        <w:rPr>
          <w:rFonts w:hint="eastAsia"/>
          <w:spacing w:val="-1"/>
          <w:sz w:val="21"/>
        </w:rPr>
        <w:t>发包人通过监理人提供测量基准点、基准线和水准点及其书面资料的期限：</w:t>
      </w:r>
      <w:r>
        <w:rPr>
          <w:spacing w:val="-1"/>
          <w:sz w:val="21"/>
          <w:u w:val="single"/>
        </w:rPr>
        <w:t xml:space="preserve"> </w:t>
      </w:r>
    </w:p>
    <w:p>
      <w:pPr>
        <w:pStyle w:val="33"/>
        <w:tabs>
          <w:tab w:val="left" w:pos="526"/>
        </w:tabs>
        <w:ind w:left="880" w:right="1706" w:firstLine="1040" w:firstLineChars="500"/>
        <w:jc w:val="both"/>
        <w:rPr>
          <w:sz w:val="21"/>
        </w:rPr>
      </w:pPr>
      <w:r>
        <w:rPr>
          <w:rFonts w:hint="eastAsia"/>
          <w:spacing w:val="-1"/>
          <w:sz w:val="21"/>
          <w:u w:val="single"/>
        </w:rPr>
        <w:t>开工前</w:t>
      </w:r>
      <w:r>
        <w:rPr>
          <w:spacing w:val="-1"/>
          <w:sz w:val="21"/>
          <w:u w:val="single"/>
        </w:rPr>
        <w:t>7</w:t>
      </w:r>
      <w:r>
        <w:rPr>
          <w:rFonts w:hint="eastAsia"/>
          <w:spacing w:val="-1"/>
          <w:sz w:val="21"/>
          <w:u w:val="single"/>
        </w:rPr>
        <w:t>天</w:t>
      </w:r>
      <w:r>
        <w:rPr>
          <w:spacing w:val="-1"/>
          <w:sz w:val="21"/>
          <w:u w:val="single"/>
        </w:rPr>
        <w:t xml:space="preserve"> </w:t>
      </w:r>
      <w:r>
        <w:rPr>
          <w:sz w:val="21"/>
        </w:rPr>
        <w:t xml:space="preserve"> </w:t>
      </w:r>
    </w:p>
    <w:p>
      <w:pPr>
        <w:pStyle w:val="8"/>
        <w:spacing w:before="139" w:line="364" w:lineRule="auto"/>
        <w:ind w:left="1258" w:right="1708" w:hanging="420"/>
        <w:jc w:val="both"/>
      </w:pPr>
      <w:r>
        <w:t>8.1.4</w:t>
      </w:r>
      <w:r>
        <w:rPr>
          <w:spacing w:val="-2"/>
        </w:rPr>
        <w:t xml:space="preserve">  </w:t>
      </w:r>
      <w:r>
        <w:rPr>
          <w:rFonts w:hint="eastAsia"/>
          <w:spacing w:val="-2"/>
        </w:rPr>
        <w:t>承包人测设施工控制网及施工测量的其他要求：</w:t>
      </w:r>
      <w:r>
        <w:rPr>
          <w:spacing w:val="-2"/>
          <w:u w:val="single"/>
        </w:rPr>
        <w:t xml:space="preserve"> </w:t>
      </w:r>
      <w:r>
        <w:rPr>
          <w:spacing w:val="-1"/>
          <w:u w:val="single"/>
        </w:rPr>
        <w:t xml:space="preserve"> </w:t>
      </w:r>
      <w:r>
        <w:rPr>
          <w:u w:val="single"/>
        </w:rPr>
        <w:t xml:space="preserve">    </w:t>
      </w:r>
      <w:r>
        <w:rPr>
          <w:u w:val="single"/>
          <w:lang w:val="en-US" w:eastAsia="zh-CN"/>
        </w:rPr>
        <w:t>/</w:t>
      </w:r>
      <w:r>
        <w:rPr>
          <w:u w:val="single"/>
        </w:rPr>
        <w:t xml:space="preserve">       </w:t>
      </w:r>
      <w:r>
        <w:rPr>
          <w:spacing w:val="-2"/>
          <w:u w:val="single"/>
        </w:rPr>
        <w:t xml:space="preserve"> </w:t>
      </w:r>
      <w:r>
        <w:rPr>
          <w:u w:val="single"/>
        </w:rPr>
        <w:t xml:space="preserve">           </w:t>
      </w:r>
      <w:r>
        <w:rPr>
          <w:spacing w:val="-1"/>
          <w:u w:val="single"/>
        </w:rPr>
        <w:t xml:space="preserve"> </w:t>
      </w:r>
      <w:r>
        <w:t xml:space="preserve"> </w:t>
      </w:r>
    </w:p>
    <w:p>
      <w:pPr>
        <w:pStyle w:val="8"/>
        <w:spacing w:line="268" w:lineRule="exact"/>
        <w:ind w:right="1709"/>
        <w:jc w:val="right"/>
      </w:pP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t xml:space="preserve"> </w:t>
      </w:r>
    </w:p>
    <w:p>
      <w:pPr>
        <w:pStyle w:val="8"/>
        <w:spacing w:before="10"/>
        <w:rPr>
          <w:sz w:val="15"/>
        </w:rPr>
      </w:pPr>
    </w:p>
    <w:p>
      <w:pPr>
        <w:pStyle w:val="6"/>
        <w:numPr>
          <w:ilvl w:val="0"/>
          <w:numId w:val="28"/>
        </w:numPr>
        <w:tabs>
          <w:tab w:val="left" w:pos="1120"/>
        </w:tabs>
      </w:pPr>
      <w:bookmarkStart w:id="45" w:name="_bookmark121"/>
      <w:bookmarkEnd w:id="45"/>
      <w:r>
        <w:rPr>
          <w:rFonts w:hint="eastAsia"/>
        </w:rPr>
        <w:t>施工安全、治安保卫和环境保护</w:t>
      </w:r>
      <w:r>
        <w:t xml:space="preserve"> </w:t>
      </w:r>
    </w:p>
    <w:p>
      <w:pPr>
        <w:pStyle w:val="8"/>
        <w:spacing w:before="10"/>
        <w:rPr>
          <w:sz w:val="23"/>
        </w:rPr>
      </w:pPr>
    </w:p>
    <w:p>
      <w:pPr>
        <w:pStyle w:val="7"/>
        <w:numPr>
          <w:ilvl w:val="1"/>
          <w:numId w:val="34"/>
        </w:numPr>
        <w:tabs>
          <w:tab w:val="left" w:pos="1199"/>
        </w:tabs>
        <w:spacing w:before="1"/>
      </w:pPr>
      <w:bookmarkStart w:id="46" w:name="_bookmark122"/>
      <w:bookmarkEnd w:id="46"/>
      <w:r>
        <w:rPr>
          <w:rFonts w:hint="eastAsia"/>
        </w:rPr>
        <w:t>承包人的施工安全责任</w:t>
      </w:r>
      <w:r>
        <w:t xml:space="preserve"> </w:t>
      </w:r>
    </w:p>
    <w:p>
      <w:pPr>
        <w:pStyle w:val="8"/>
        <w:spacing w:before="9"/>
      </w:pPr>
    </w:p>
    <w:p>
      <w:pPr>
        <w:pStyle w:val="8"/>
        <w:ind w:left="1258" w:right="1709" w:rightChars="777"/>
      </w:pPr>
      <w:r>
        <w:t xml:space="preserve">9.2.1 </w:t>
      </w:r>
      <w:r>
        <w:rPr>
          <w:rFonts w:hint="eastAsia"/>
        </w:rPr>
        <w:t>承包人向监理人报送施工安全措施计划的期限：</w:t>
      </w:r>
      <w:r>
        <w:rPr>
          <w:u w:val="single"/>
        </w:rPr>
        <w:t xml:space="preserve"> </w:t>
      </w:r>
      <w:r>
        <w:rPr>
          <w:rFonts w:hint="eastAsia"/>
          <w:u w:val="single"/>
        </w:rPr>
        <w:t>在收到监理人按照通用条款第</w:t>
      </w:r>
      <w:r>
        <w:rPr>
          <w:u w:val="single"/>
        </w:rPr>
        <w:t>11.1.1</w:t>
      </w:r>
      <w:r>
        <w:rPr>
          <w:rFonts w:hint="eastAsia"/>
          <w:u w:val="single"/>
        </w:rPr>
        <w:t>项发出的开工通知后</w:t>
      </w:r>
      <w:r>
        <w:rPr>
          <w:u w:val="single"/>
        </w:rPr>
        <w:t xml:space="preserve"> 7</w:t>
      </w:r>
      <w:r>
        <w:rPr>
          <w:rFonts w:hint="eastAsia"/>
          <w:u w:val="single"/>
        </w:rPr>
        <w:t>天内。</w:t>
      </w:r>
      <w:r>
        <w:rPr>
          <w:u w:val="single"/>
        </w:rPr>
        <w:t xml:space="preserve"> </w:t>
      </w:r>
      <w:r>
        <w:t xml:space="preserve"> </w:t>
      </w:r>
    </w:p>
    <w:p>
      <w:pPr>
        <w:pStyle w:val="8"/>
        <w:spacing w:before="139"/>
        <w:ind w:left="1258"/>
      </w:pPr>
      <w:r>
        <w:rPr>
          <w:rFonts w:hint="eastAsia"/>
        </w:rPr>
        <w:t>监理人收到承包人报送的施工安全措施计划后应当在</w:t>
      </w:r>
      <w:r>
        <w:rPr>
          <w:spacing w:val="104"/>
          <w:u w:val="single"/>
          <w:lang w:val="en-US" w:eastAsia="zh-CN"/>
        </w:rPr>
        <w:t>7</w:t>
      </w:r>
      <w:r>
        <w:rPr>
          <w:rFonts w:hint="eastAsia"/>
        </w:rPr>
        <w:t>天内给予批复。</w:t>
      </w:r>
      <w:r>
        <w:t xml:space="preserve"> </w:t>
      </w:r>
    </w:p>
    <w:p>
      <w:pPr>
        <w:pStyle w:val="8"/>
        <w:spacing w:before="2"/>
        <w:rPr>
          <w:sz w:val="15"/>
        </w:rPr>
      </w:pPr>
    </w:p>
    <w:p>
      <w:pPr>
        <w:pStyle w:val="7"/>
        <w:numPr>
          <w:ilvl w:val="1"/>
          <w:numId w:val="34"/>
        </w:numPr>
        <w:tabs>
          <w:tab w:val="left" w:pos="1199"/>
        </w:tabs>
      </w:pPr>
      <w:bookmarkStart w:id="47" w:name="_bookmark123"/>
      <w:bookmarkEnd w:id="47"/>
      <w:r>
        <w:rPr>
          <w:rFonts w:hint="eastAsia"/>
        </w:rPr>
        <w:t>治安保卫</w:t>
      </w:r>
      <w:r>
        <w:t xml:space="preserve"> </w:t>
      </w:r>
    </w:p>
    <w:p>
      <w:pPr>
        <w:pStyle w:val="8"/>
        <w:spacing w:before="10"/>
      </w:pPr>
    </w:p>
    <w:p>
      <w:pPr>
        <w:ind w:left="1258"/>
        <w:rPr>
          <w:sz w:val="21"/>
        </w:rPr>
      </w:pPr>
      <w:r>
        <w:rPr>
          <w:sz w:val="21"/>
        </w:rPr>
        <w:t xml:space="preserve">9.3.3 </w:t>
      </w:r>
      <w:r>
        <w:rPr>
          <w:rFonts w:hint="eastAsia"/>
          <w:sz w:val="21"/>
        </w:rPr>
        <w:t>制定施工场地治安管理计划和突发治安事件紧急预案的责任人</w:t>
      </w:r>
      <w:r>
        <w:rPr>
          <w:rFonts w:hint="eastAsia"/>
          <w:sz w:val="20"/>
        </w:rPr>
        <w:t>：</w:t>
      </w:r>
      <w:r>
        <w:rPr>
          <w:sz w:val="20"/>
          <w:u w:val="single"/>
        </w:rPr>
        <w:t xml:space="preserve"> </w:t>
      </w:r>
      <w:r>
        <w:rPr>
          <w:rFonts w:hint="eastAsia"/>
          <w:sz w:val="20"/>
          <w:u w:val="single"/>
          <w:lang w:val="en-US" w:eastAsia="zh-CN"/>
        </w:rPr>
        <w:t>承包人</w:t>
      </w:r>
      <w:r>
        <w:rPr>
          <w:sz w:val="20"/>
          <w:u w:val="single"/>
        </w:rPr>
        <w:t xml:space="preserve"> </w:t>
      </w:r>
      <w:r>
        <w:rPr>
          <w:sz w:val="21"/>
        </w:rPr>
        <w:t xml:space="preserve"> </w:t>
      </w:r>
    </w:p>
    <w:p>
      <w:pPr>
        <w:pStyle w:val="8"/>
        <w:spacing w:before="2"/>
        <w:rPr>
          <w:sz w:val="15"/>
        </w:rPr>
      </w:pPr>
    </w:p>
    <w:p>
      <w:pPr>
        <w:pStyle w:val="7"/>
        <w:numPr>
          <w:ilvl w:val="1"/>
          <w:numId w:val="34"/>
        </w:numPr>
        <w:tabs>
          <w:tab w:val="left" w:pos="1199"/>
        </w:tabs>
      </w:pPr>
      <w:bookmarkStart w:id="48" w:name="_bookmark124"/>
      <w:bookmarkEnd w:id="48"/>
      <w:r>
        <w:rPr>
          <w:rFonts w:hint="eastAsia"/>
        </w:rPr>
        <w:t>环境保护</w:t>
      </w:r>
      <w:r>
        <w:t xml:space="preserve"> </w:t>
      </w:r>
    </w:p>
    <w:p>
      <w:pPr>
        <w:pStyle w:val="8"/>
        <w:spacing w:before="9"/>
      </w:pPr>
    </w:p>
    <w:p>
      <w:pPr>
        <w:ind w:left="1258"/>
        <w:rPr>
          <w:sz w:val="21"/>
        </w:rPr>
      </w:pPr>
      <w:r>
        <w:rPr>
          <w:sz w:val="21"/>
        </w:rPr>
        <w:t xml:space="preserve">9.4.3 </w:t>
      </w:r>
      <w:r>
        <w:rPr>
          <w:rFonts w:hint="eastAsia"/>
          <w:sz w:val="21"/>
        </w:rPr>
        <w:t>施工环保措施计划报送监理人审批的时间</w:t>
      </w:r>
      <w:r>
        <w:rPr>
          <w:rFonts w:hint="eastAsia"/>
          <w:sz w:val="20"/>
        </w:rPr>
        <w:t>：</w:t>
      </w:r>
      <w:r>
        <w:rPr>
          <w:sz w:val="20"/>
          <w:u w:val="single"/>
        </w:rPr>
        <w:t xml:space="preserve"> </w:t>
      </w:r>
      <w:r>
        <w:rPr>
          <w:rFonts w:hint="eastAsia"/>
          <w:sz w:val="20"/>
          <w:u w:val="single"/>
        </w:rPr>
        <w:t>签订合同后</w:t>
      </w:r>
      <w:r>
        <w:rPr>
          <w:sz w:val="20"/>
          <w:u w:val="single"/>
        </w:rPr>
        <w:t>7</w:t>
      </w:r>
      <w:r>
        <w:rPr>
          <w:rFonts w:hint="eastAsia"/>
          <w:sz w:val="20"/>
          <w:u w:val="single"/>
        </w:rPr>
        <w:t>天内</w:t>
      </w:r>
      <w:r>
        <w:rPr>
          <w:sz w:val="20"/>
          <w:u w:val="single"/>
        </w:rPr>
        <w:t xml:space="preserve">  </w:t>
      </w:r>
      <w:r>
        <w:rPr>
          <w:sz w:val="21"/>
        </w:rPr>
        <w:t xml:space="preserve"> </w:t>
      </w:r>
    </w:p>
    <w:p>
      <w:pPr>
        <w:pStyle w:val="8"/>
        <w:spacing w:before="139"/>
        <w:ind w:left="1258"/>
      </w:pPr>
      <w:r>
        <w:rPr>
          <w:rFonts w:hint="eastAsia"/>
        </w:rPr>
        <w:t>监理人收到承包人报送的施工环保措施计划后应当在</w:t>
      </w:r>
      <w:r>
        <w:rPr>
          <w:u w:val="single"/>
          <w:lang w:val="en-US" w:eastAsia="zh-CN"/>
        </w:rPr>
        <w:t>7</w:t>
      </w:r>
      <w:r>
        <w:rPr>
          <w:rFonts w:hint="eastAsia"/>
        </w:rPr>
        <w:t>天内给予批复。</w:t>
      </w:r>
      <w:r>
        <w:t xml:space="preserve"> </w:t>
      </w:r>
    </w:p>
    <w:p>
      <w:pPr>
        <w:pStyle w:val="8"/>
        <w:spacing w:before="3"/>
        <w:rPr>
          <w:sz w:val="15"/>
        </w:rPr>
      </w:pPr>
    </w:p>
    <w:p>
      <w:pPr>
        <w:pStyle w:val="7"/>
        <w:numPr>
          <w:ilvl w:val="1"/>
          <w:numId w:val="35"/>
        </w:numPr>
        <w:tabs>
          <w:tab w:val="left" w:pos="1199"/>
        </w:tabs>
      </w:pPr>
      <w:bookmarkStart w:id="49" w:name="_bookmark125"/>
      <w:bookmarkEnd w:id="49"/>
      <w:r>
        <w:rPr>
          <w:rFonts w:hint="eastAsia"/>
        </w:rPr>
        <w:t>施工现场安全生产标准化管理目标</w:t>
      </w:r>
      <w:r>
        <w:t xml:space="preserve"> </w:t>
      </w:r>
    </w:p>
    <w:p>
      <w:pPr>
        <w:pStyle w:val="8"/>
        <w:spacing w:before="9"/>
      </w:pPr>
    </w:p>
    <w:p>
      <w:pPr>
        <w:pStyle w:val="33"/>
        <w:numPr>
          <w:ilvl w:val="2"/>
          <w:numId w:val="35"/>
        </w:numPr>
        <w:tabs>
          <w:tab w:val="left" w:pos="1784"/>
        </w:tabs>
        <w:rPr>
          <w:sz w:val="21"/>
        </w:rPr>
      </w:pPr>
      <w:r>
        <w:rPr>
          <w:rFonts w:hint="eastAsia"/>
          <w:spacing w:val="2"/>
          <w:sz w:val="21"/>
        </w:rPr>
        <w:t>未达到合同协议书中约定的安全生产标准化管理目标等级的违约金或损失赔</w:t>
      </w:r>
    </w:p>
    <w:p>
      <w:pPr>
        <w:pStyle w:val="8"/>
        <w:spacing w:before="139"/>
        <w:ind w:left="1258"/>
      </w:pPr>
      <w:r>
        <w:rPr>
          <w:rFonts w:hint="eastAsia"/>
        </w:rPr>
        <w:t>偿金的金额或者计算方法：</w:t>
      </w:r>
      <w:r>
        <w:rPr>
          <w:u w:val="single"/>
        </w:rPr>
        <w:t xml:space="preserve">         </w:t>
      </w:r>
      <w:r>
        <w:rPr>
          <w:u w:val="single"/>
          <w:lang w:val="en-US" w:eastAsia="zh-CN"/>
        </w:rPr>
        <w:t>/</w:t>
      </w:r>
      <w:r>
        <w:rPr>
          <w:u w:val="single"/>
        </w:rPr>
        <w:t xml:space="preserve">                                         </w:t>
      </w:r>
      <w:r>
        <w:t xml:space="preserve">        </w:t>
      </w:r>
    </w:p>
    <w:p>
      <w:pPr>
        <w:pStyle w:val="8"/>
        <w:spacing w:before="140" w:line="364" w:lineRule="auto"/>
        <w:ind w:left="1258" w:right="1588" w:hanging="420"/>
        <w:rPr>
          <w:sz w:val="24"/>
        </w:rPr>
      </w:pPr>
      <w:r>
        <w:t>9.6.2</w:t>
      </w:r>
      <w:r>
        <w:rPr>
          <w:spacing w:val="-1"/>
        </w:rPr>
        <w:t xml:space="preserve">  </w:t>
      </w:r>
      <w:r>
        <w:rPr>
          <w:rFonts w:hint="eastAsia"/>
          <w:spacing w:val="-1"/>
        </w:rPr>
        <w:t>发包人</w:t>
      </w:r>
      <w:r>
        <w:rPr>
          <w:spacing w:val="-2"/>
          <w:u w:val="single"/>
        </w:rPr>
        <w:t xml:space="preserve">   </w:t>
      </w:r>
      <w:r>
        <w:rPr>
          <w:rFonts w:hint="eastAsia"/>
          <w:spacing w:val="-2"/>
          <w:u w:val="single"/>
          <w:lang w:val="en-US" w:eastAsia="zh-CN"/>
        </w:rPr>
        <w:t>不给予</w:t>
      </w:r>
      <w:r>
        <w:rPr>
          <w:spacing w:val="-2"/>
          <w:u w:val="single"/>
        </w:rPr>
        <w:t xml:space="preserve">  </w:t>
      </w:r>
      <w:r>
        <w:rPr>
          <w:rFonts w:hint="eastAsia"/>
          <w:spacing w:val="-2"/>
        </w:rPr>
        <w:t>（</w:t>
      </w:r>
      <w:r>
        <w:rPr>
          <w:rFonts w:hint="eastAsia"/>
        </w:rPr>
        <w:t>给予</w:t>
      </w:r>
      <w:r>
        <w:t>/</w:t>
      </w:r>
      <w:r>
        <w:rPr>
          <w:rFonts w:hint="eastAsia"/>
          <w:spacing w:val="-1"/>
        </w:rPr>
        <w:t>不给予</w:t>
      </w:r>
      <w:r>
        <w:rPr>
          <w:rFonts w:hint="eastAsia"/>
          <w:spacing w:val="-12"/>
        </w:rPr>
        <w:t>）</w:t>
      </w:r>
      <w:r>
        <w:rPr>
          <w:rFonts w:hint="eastAsia"/>
          <w:spacing w:val="-2"/>
        </w:rPr>
        <w:t>承包人创优奖励。发包人给予承包人创优奖励的，创优奖励金额或者计算方法：</w:t>
      </w:r>
      <w:r>
        <w:rPr>
          <w:spacing w:val="-2"/>
          <w:u w:val="single"/>
        </w:rPr>
        <w:t xml:space="preserve">   </w:t>
      </w:r>
      <w:r>
        <w:rPr>
          <w:spacing w:val="-2"/>
          <w:u w:val="single"/>
          <w:lang w:val="en-US" w:eastAsia="zh-CN"/>
        </w:rPr>
        <w:t>/</w:t>
      </w:r>
      <w:r>
        <w:rPr>
          <w:u w:val="single"/>
        </w:rPr>
        <w:t xml:space="preserve">   </w:t>
      </w:r>
      <w:r>
        <w:rPr>
          <w:spacing w:val="-1"/>
          <w:u w:val="single"/>
        </w:rPr>
        <w:t xml:space="preserve"> </w:t>
      </w:r>
      <w:r>
        <w:rPr>
          <w:sz w:val="24"/>
        </w:rPr>
        <w:t xml:space="preserve"> </w:t>
      </w:r>
    </w:p>
    <w:p>
      <w:pPr>
        <w:pStyle w:val="8"/>
        <w:spacing w:before="9"/>
        <w:rPr>
          <w:sz w:val="16"/>
        </w:rPr>
      </w:pPr>
    </w:p>
    <w:p>
      <w:pPr>
        <w:pStyle w:val="33"/>
        <w:numPr>
          <w:ilvl w:val="1"/>
          <w:numId w:val="35"/>
        </w:numPr>
        <w:tabs>
          <w:tab w:val="left" w:pos="1199"/>
        </w:tabs>
        <w:spacing w:before="66"/>
        <w:rPr>
          <w:sz w:val="24"/>
        </w:rPr>
      </w:pPr>
      <w:bookmarkStart w:id="50" w:name="_bookmark126"/>
      <w:bookmarkEnd w:id="50"/>
      <w:r>
        <w:rPr>
          <w:rFonts w:hint="eastAsia"/>
          <w:sz w:val="24"/>
        </w:rPr>
        <w:t>特殊安全文明施工</w:t>
      </w:r>
      <w:r>
        <w:rPr>
          <w:sz w:val="24"/>
        </w:rPr>
        <w:t xml:space="preserve"> </w:t>
      </w:r>
    </w:p>
    <w:p>
      <w:pPr>
        <w:pStyle w:val="8"/>
        <w:spacing w:before="9"/>
      </w:pPr>
    </w:p>
    <w:p>
      <w:pPr>
        <w:pStyle w:val="8"/>
        <w:spacing w:before="8"/>
        <w:ind w:right="1709" w:rightChars="777" w:firstLine="840" w:firstLineChars="400"/>
      </w:pPr>
      <w:r>
        <w:rPr>
          <w:rFonts w:hint="eastAsia"/>
        </w:rPr>
        <w:t>未达到合同约定的特殊安全文明施工要求的违约金或损失赔偿金的金额或者计算方法：</w:t>
      </w:r>
      <w:r>
        <w:rPr>
          <w:u w:val="single"/>
        </w:rPr>
        <w:t xml:space="preserve">  </w:t>
      </w:r>
      <w:r>
        <w:rPr>
          <w:u w:val="single"/>
          <w:lang w:val="en-US" w:eastAsia="zh-CN"/>
        </w:rPr>
        <w:t>/</w:t>
      </w:r>
      <w:r>
        <w:rPr>
          <w:u w:val="single"/>
        </w:rPr>
        <w:t xml:space="preserve">                                                                  </w:t>
      </w:r>
      <w:r>
        <w:t xml:space="preserve">    </w:t>
      </w:r>
    </w:p>
    <w:p>
      <w:pPr>
        <w:pStyle w:val="33"/>
        <w:numPr>
          <w:ilvl w:val="2"/>
          <w:numId w:val="35"/>
        </w:numPr>
        <w:tabs>
          <w:tab w:val="left" w:pos="1784"/>
        </w:tabs>
        <w:spacing w:before="159" w:line="364" w:lineRule="auto"/>
        <w:ind w:left="1100" w:right="1603" w:firstLine="0"/>
        <w:rPr>
          <w:sz w:val="17"/>
        </w:rPr>
      </w:pPr>
      <w:r>
        <w:rPr>
          <w:rFonts w:hint="eastAsia"/>
          <w:sz w:val="21"/>
        </w:rPr>
        <w:t>发包人</w:t>
      </w:r>
      <w:r>
        <w:rPr>
          <w:sz w:val="21"/>
          <w:u w:val="single"/>
        </w:rPr>
        <w:t xml:space="preserve">   </w:t>
      </w:r>
      <w:r>
        <w:rPr>
          <w:rFonts w:hint="eastAsia"/>
          <w:sz w:val="21"/>
          <w:u w:val="single"/>
        </w:rPr>
        <w:t>不给予</w:t>
      </w:r>
      <w:r>
        <w:rPr>
          <w:sz w:val="21"/>
          <w:u w:val="single"/>
        </w:rPr>
        <w:t xml:space="preserve">  </w:t>
      </w:r>
      <w:r>
        <w:rPr>
          <w:spacing w:val="87"/>
          <w:sz w:val="21"/>
        </w:rPr>
        <w:t xml:space="preserve"> </w:t>
      </w:r>
      <w:r>
        <w:rPr>
          <w:rFonts w:hint="eastAsia"/>
          <w:sz w:val="21"/>
        </w:rPr>
        <w:t>（给予</w:t>
      </w:r>
      <w:r>
        <w:rPr>
          <w:sz w:val="21"/>
        </w:rPr>
        <w:t>/</w:t>
      </w:r>
      <w:r>
        <w:rPr>
          <w:rFonts w:hint="eastAsia"/>
          <w:sz w:val="21"/>
        </w:rPr>
        <w:t>不给予</w:t>
      </w:r>
      <w:r>
        <w:rPr>
          <w:rFonts w:hint="eastAsia"/>
          <w:spacing w:val="-12"/>
          <w:sz w:val="21"/>
        </w:rPr>
        <w:t>）</w:t>
      </w:r>
      <w:r>
        <w:rPr>
          <w:rFonts w:hint="eastAsia"/>
          <w:spacing w:val="-2"/>
          <w:sz w:val="21"/>
        </w:rPr>
        <w:t>承包人创优奖励。发包人给予承包人创优奖励的，创优奖励金额或者计算方法：</w:t>
      </w:r>
      <w:r>
        <w:rPr>
          <w:spacing w:val="-2"/>
          <w:sz w:val="21"/>
          <w:u w:val="single"/>
        </w:rPr>
        <w:t xml:space="preserve">    </w:t>
      </w:r>
      <w:r>
        <w:rPr>
          <w:spacing w:val="-1"/>
          <w:sz w:val="21"/>
          <w:u w:val="single"/>
        </w:rPr>
        <w:t xml:space="preserve"> </w:t>
      </w:r>
      <w:r>
        <w:rPr>
          <w:sz w:val="21"/>
          <w:u w:val="single"/>
        </w:rPr>
        <w:t xml:space="preserve"> </w:t>
      </w:r>
      <w:r>
        <w:rPr>
          <w:sz w:val="21"/>
          <w:u w:val="single"/>
          <w:lang w:val="en-US" w:eastAsia="zh-CN"/>
        </w:rPr>
        <w:t>/</w:t>
      </w:r>
      <w:r>
        <w:rPr>
          <w:sz w:val="21"/>
          <w:u w:val="single"/>
        </w:rPr>
        <w:t xml:space="preserve">    </w:t>
      </w:r>
      <w:r>
        <w:rPr>
          <w:spacing w:val="-1"/>
          <w:sz w:val="21"/>
          <w:u w:val="single"/>
        </w:rPr>
        <w:t xml:space="preserve">  </w:t>
      </w:r>
      <w:r>
        <w:rPr>
          <w:sz w:val="21"/>
          <w:u w:val="single"/>
        </w:rPr>
        <w:t xml:space="preserve"> </w:t>
      </w:r>
      <w:r>
        <w:rPr>
          <w:spacing w:val="-1"/>
          <w:sz w:val="21"/>
          <w:u w:val="single"/>
        </w:rPr>
        <w:t xml:space="preserve"> </w:t>
      </w:r>
      <w:r>
        <w:rPr>
          <w:sz w:val="21"/>
          <w:u w:val="single"/>
        </w:rPr>
        <w:t xml:space="preserve"> </w:t>
      </w:r>
      <w:r>
        <w:rPr>
          <w:spacing w:val="-1"/>
          <w:sz w:val="21"/>
          <w:u w:val="single"/>
        </w:rPr>
        <w:t xml:space="preserve"> </w:t>
      </w:r>
      <w:r>
        <w:rPr>
          <w:sz w:val="21"/>
          <w:u w:val="single"/>
        </w:rPr>
        <w:t xml:space="preserve">  </w:t>
      </w:r>
      <w:r>
        <w:rPr>
          <w:spacing w:val="1"/>
          <w:sz w:val="21"/>
          <w:u w:val="single"/>
        </w:rPr>
        <w:t xml:space="preserve"> </w:t>
      </w:r>
      <w:r>
        <w:rPr>
          <w:sz w:val="21"/>
          <w:u w:val="single"/>
        </w:rPr>
        <w:t xml:space="preserve">   </w:t>
      </w:r>
      <w:r>
        <w:rPr>
          <w:spacing w:val="-2"/>
          <w:sz w:val="21"/>
          <w:u w:val="single"/>
        </w:rPr>
        <w:t xml:space="preserve"> </w:t>
      </w:r>
      <w:r>
        <w:rPr>
          <w:sz w:val="21"/>
          <w:u w:val="single"/>
        </w:rPr>
        <w:t xml:space="preserve">       </w:t>
      </w:r>
      <w:r>
        <w:rPr>
          <w:spacing w:val="-1"/>
          <w:sz w:val="21"/>
          <w:u w:val="single"/>
        </w:rPr>
        <w:t xml:space="preserve"> </w:t>
      </w:r>
      <w:r>
        <w:rPr>
          <w:sz w:val="21"/>
          <w:u w:val="single"/>
        </w:rPr>
        <w:t xml:space="preserve">  </w:t>
      </w:r>
      <w:r>
        <w:rPr>
          <w:spacing w:val="-2"/>
          <w:sz w:val="21"/>
          <w:u w:val="single"/>
        </w:rPr>
        <w:t xml:space="preserve"> </w:t>
      </w:r>
      <w:r>
        <w:rPr>
          <w:sz w:val="21"/>
          <w:u w:val="single"/>
        </w:rPr>
        <w:t xml:space="preserve">  </w:t>
      </w:r>
      <w:r>
        <w:rPr>
          <w:sz w:val="21"/>
        </w:rPr>
        <w:t xml:space="preserve"> </w:t>
      </w:r>
    </w:p>
    <w:p>
      <w:pPr>
        <w:pStyle w:val="33"/>
        <w:numPr>
          <w:ilvl w:val="0"/>
          <w:numId w:val="28"/>
        </w:numPr>
        <w:tabs>
          <w:tab w:val="left" w:pos="1260"/>
        </w:tabs>
        <w:spacing w:before="61"/>
        <w:ind w:left="1259" w:hanging="422"/>
        <w:rPr>
          <w:sz w:val="28"/>
        </w:rPr>
      </w:pPr>
      <w:bookmarkStart w:id="51" w:name="_bookmark127"/>
      <w:bookmarkEnd w:id="51"/>
      <w:r>
        <w:rPr>
          <w:rFonts w:hint="eastAsia"/>
          <w:sz w:val="28"/>
        </w:rPr>
        <w:t>进度计划</w:t>
      </w:r>
      <w:r>
        <w:rPr>
          <w:sz w:val="28"/>
        </w:rPr>
        <w:t xml:space="preserve"> </w:t>
      </w:r>
    </w:p>
    <w:p>
      <w:pPr>
        <w:pStyle w:val="8"/>
        <w:spacing w:before="10"/>
        <w:rPr>
          <w:sz w:val="23"/>
        </w:rPr>
      </w:pPr>
    </w:p>
    <w:p>
      <w:pPr>
        <w:pStyle w:val="33"/>
        <w:numPr>
          <w:ilvl w:val="1"/>
          <w:numId w:val="28"/>
        </w:numPr>
        <w:tabs>
          <w:tab w:val="left" w:pos="1319"/>
        </w:tabs>
        <w:ind w:left="1319" w:hanging="481"/>
        <w:rPr>
          <w:sz w:val="24"/>
        </w:rPr>
      </w:pPr>
      <w:bookmarkStart w:id="52" w:name="_bookmark128"/>
      <w:bookmarkEnd w:id="52"/>
      <w:r>
        <w:rPr>
          <w:rFonts w:hint="eastAsia"/>
          <w:sz w:val="24"/>
        </w:rPr>
        <w:t>合同进度计划</w:t>
      </w:r>
      <w:r>
        <w:rPr>
          <w:sz w:val="24"/>
        </w:rPr>
        <w:t xml:space="preserve"> </w:t>
      </w:r>
    </w:p>
    <w:p>
      <w:pPr>
        <w:pStyle w:val="8"/>
        <w:spacing w:before="9"/>
      </w:pPr>
    </w:p>
    <w:p>
      <w:pPr>
        <w:ind w:left="1537" w:leftChars="381" w:right="1693" w:hanging="699" w:hangingChars="333"/>
        <w:jc w:val="both"/>
        <w:rPr>
          <w:sz w:val="20"/>
        </w:rPr>
      </w:pPr>
      <w:r>
        <w:rPr>
          <w:sz w:val="21"/>
        </w:rPr>
        <w:t xml:space="preserve">10.1.1 </w:t>
      </w:r>
      <w:r>
        <w:rPr>
          <w:rFonts w:hint="eastAsia"/>
          <w:sz w:val="21"/>
        </w:rPr>
        <w:t>承包人编制施工进度计划和施工方案说明的内容</w:t>
      </w:r>
      <w:r>
        <w:rPr>
          <w:rFonts w:hint="eastAsia"/>
          <w:spacing w:val="-59"/>
          <w:sz w:val="20"/>
        </w:rPr>
        <w:t>：</w:t>
      </w:r>
      <w:r>
        <w:rPr>
          <w:sz w:val="20"/>
          <w:u w:val="single"/>
        </w:rPr>
        <w:t xml:space="preserve"> </w:t>
      </w:r>
      <w:r>
        <w:rPr>
          <w:rFonts w:hint="eastAsia"/>
          <w:spacing w:val="-1"/>
          <w:sz w:val="21"/>
          <w:u w:val="single"/>
        </w:rPr>
        <w:t>承包人应当按照其投标阶段承诺的总进度计划关键线路目标、以及施工顺序和方法要点，编制准确详细的施工进度计划和施工方案（含主要工序的施工方案），并应编制施工现场临时用水用电方案。承包人应精心组织施工，按照国家现行规范标准仔细编制切实可行的进度计划，所提交的施工进度计划和施工方案不应当对随投标文件提交的施工组织设计中相应内容做实质性变动，而是对其的进一步细化。该计划要说明其拟进行施工的方法、阶段和顺序以及为每个进度阶段所计划的工期。</w:t>
      </w:r>
      <w:r>
        <w:rPr>
          <w:spacing w:val="-1"/>
          <w:sz w:val="21"/>
          <w:u w:val="single"/>
        </w:rPr>
        <w:t xml:space="preserve">  </w:t>
      </w:r>
      <w:r>
        <w:rPr>
          <w:sz w:val="20"/>
        </w:rPr>
        <w:t xml:space="preserve"> </w:t>
      </w:r>
    </w:p>
    <w:p>
      <w:pPr>
        <w:spacing w:before="140" w:line="364" w:lineRule="auto"/>
        <w:ind w:left="1258" w:right="1693" w:hanging="420"/>
        <w:jc w:val="both"/>
        <w:rPr>
          <w:sz w:val="20"/>
        </w:rPr>
      </w:pPr>
      <w:r>
        <w:rPr>
          <w:sz w:val="21"/>
        </w:rPr>
        <w:t>10.1.2</w:t>
      </w:r>
      <w:r>
        <w:rPr>
          <w:spacing w:val="-1"/>
          <w:sz w:val="21"/>
        </w:rPr>
        <w:t xml:space="preserve">  </w:t>
      </w:r>
      <w:r>
        <w:rPr>
          <w:rFonts w:hint="eastAsia"/>
          <w:spacing w:val="-1"/>
          <w:sz w:val="21"/>
        </w:rPr>
        <w:t>承包人编制分阶段或分项施工进度计划和施工方案说明的内容及时限要求</w:t>
      </w:r>
      <w:r>
        <w:rPr>
          <w:rFonts w:hint="eastAsia"/>
          <w:spacing w:val="-69"/>
          <w:sz w:val="20"/>
        </w:rPr>
        <w:t>：</w:t>
      </w:r>
      <w:r>
        <w:rPr>
          <w:rFonts w:hint="eastAsia"/>
          <w:sz w:val="21"/>
          <w:szCs w:val="24"/>
          <w:u w:val="single"/>
        </w:rPr>
        <w:t>包括主要施工方案、超过一定规模的危险性较大的分部分项专项施工方案及进度计划、质量目标、劳动力计划及主要材料设备的用量计划等。承包人应在阶段或分项施工前</w:t>
      </w:r>
      <w:r>
        <w:rPr>
          <w:sz w:val="21"/>
          <w:szCs w:val="24"/>
          <w:u w:val="single"/>
        </w:rPr>
        <w:t>15</w:t>
      </w:r>
      <w:r>
        <w:rPr>
          <w:rFonts w:hint="eastAsia"/>
          <w:sz w:val="21"/>
          <w:szCs w:val="24"/>
          <w:u w:val="single"/>
        </w:rPr>
        <w:t>日内上报监理人。</w:t>
      </w:r>
      <w:r>
        <w:rPr>
          <w:sz w:val="20"/>
        </w:rPr>
        <w:t xml:space="preserve"> </w:t>
      </w:r>
    </w:p>
    <w:p>
      <w:pPr>
        <w:spacing w:line="364" w:lineRule="auto"/>
        <w:ind w:left="1258" w:right="1700" w:hanging="420"/>
        <w:jc w:val="both"/>
        <w:rPr>
          <w:sz w:val="21"/>
        </w:rPr>
      </w:pPr>
    </w:p>
    <w:p>
      <w:pPr>
        <w:spacing w:line="364" w:lineRule="auto"/>
        <w:ind w:left="1258" w:right="1700" w:hanging="420"/>
        <w:jc w:val="both"/>
        <w:rPr>
          <w:sz w:val="21"/>
        </w:rPr>
      </w:pPr>
    </w:p>
    <w:p>
      <w:pPr>
        <w:spacing w:line="364" w:lineRule="auto"/>
        <w:ind w:left="1258" w:right="1700" w:hanging="420"/>
        <w:jc w:val="both"/>
        <w:rPr>
          <w:sz w:val="21"/>
        </w:rPr>
      </w:pPr>
      <w:r>
        <w:rPr>
          <w:sz w:val="21"/>
        </w:rPr>
        <w:t>10.1.3</w:t>
      </w:r>
      <w:r>
        <w:rPr>
          <w:spacing w:val="-1"/>
          <w:sz w:val="21"/>
        </w:rPr>
        <w:t xml:space="preserve">  </w:t>
      </w:r>
      <w:r>
        <w:rPr>
          <w:rFonts w:hint="eastAsia"/>
          <w:spacing w:val="-1"/>
          <w:sz w:val="21"/>
        </w:rPr>
        <w:t>群体工程中有关编制进度计划和施工方案说明的要求</w:t>
      </w:r>
      <w:r>
        <w:rPr>
          <w:rFonts w:hint="eastAsia"/>
          <w:sz w:val="20"/>
        </w:rPr>
        <w:t>：</w:t>
      </w:r>
      <w:r>
        <w:rPr>
          <w:sz w:val="20"/>
          <w:u w:val="single"/>
        </w:rPr>
        <w:t xml:space="preserve">   </w:t>
      </w:r>
      <w:r>
        <w:rPr>
          <w:spacing w:val="-2"/>
          <w:sz w:val="20"/>
          <w:u w:val="single"/>
        </w:rPr>
        <w:t xml:space="preserve"> </w:t>
      </w:r>
      <w:r>
        <w:rPr>
          <w:sz w:val="20"/>
          <w:u w:val="single"/>
        </w:rPr>
        <w:t xml:space="preserve">    </w:t>
      </w:r>
      <w:r>
        <w:rPr>
          <w:sz w:val="20"/>
          <w:u w:val="single"/>
          <w:lang w:val="en-US" w:eastAsia="zh-CN"/>
        </w:rPr>
        <w:t>/</w:t>
      </w:r>
      <w:r>
        <w:rPr>
          <w:sz w:val="20"/>
          <w:u w:val="single"/>
        </w:rPr>
        <w:t xml:space="preserve">   </w:t>
      </w:r>
      <w:r>
        <w:rPr>
          <w:spacing w:val="-2"/>
          <w:sz w:val="20"/>
          <w:u w:val="single"/>
        </w:rPr>
        <w:t xml:space="preserve"> </w:t>
      </w:r>
      <w:r>
        <w:rPr>
          <w:sz w:val="20"/>
          <w:u w:val="single"/>
        </w:rPr>
        <w:t xml:space="preserve">     </w:t>
      </w:r>
      <w:r>
        <w:rPr>
          <w:spacing w:val="-2"/>
          <w:sz w:val="20"/>
          <w:u w:val="single"/>
        </w:rPr>
        <w:t xml:space="preserve"> </w:t>
      </w:r>
      <w:r>
        <w:rPr>
          <w:spacing w:val="1"/>
          <w:sz w:val="20"/>
          <w:u w:val="single"/>
        </w:rPr>
        <w:t xml:space="preserve"> </w:t>
      </w:r>
      <w:r>
        <w:rPr>
          <w:spacing w:val="-1"/>
          <w:sz w:val="20"/>
          <w:u w:val="single"/>
        </w:rPr>
        <w:t xml:space="preserve"> </w:t>
      </w:r>
      <w:r>
        <w:rPr>
          <w:sz w:val="21"/>
        </w:rPr>
        <w:t xml:space="preserve"> </w:t>
      </w:r>
    </w:p>
    <w:p>
      <w:pPr>
        <w:pStyle w:val="7"/>
        <w:numPr>
          <w:ilvl w:val="1"/>
          <w:numId w:val="28"/>
        </w:numPr>
        <w:tabs>
          <w:tab w:val="left" w:pos="1319"/>
        </w:tabs>
        <w:spacing w:before="120"/>
        <w:ind w:left="1319" w:hanging="481"/>
      </w:pPr>
      <w:bookmarkStart w:id="53" w:name="_bookmark129"/>
      <w:bookmarkEnd w:id="53"/>
      <w:r>
        <w:rPr>
          <w:rFonts w:hint="eastAsia"/>
        </w:rPr>
        <w:t>合同进度计划的修订</w:t>
      </w:r>
      <w:r>
        <w:t xml:space="preserve"> </w:t>
      </w:r>
    </w:p>
    <w:p>
      <w:pPr>
        <w:pStyle w:val="8"/>
        <w:spacing w:before="9"/>
      </w:pPr>
    </w:p>
    <w:p>
      <w:pPr>
        <w:pStyle w:val="33"/>
        <w:numPr>
          <w:ilvl w:val="2"/>
          <w:numId w:val="28"/>
        </w:numPr>
        <w:tabs>
          <w:tab w:val="left" w:pos="1889"/>
        </w:tabs>
        <w:ind w:left="1889" w:hanging="631"/>
        <w:rPr>
          <w:sz w:val="21"/>
        </w:rPr>
      </w:pPr>
      <w:r>
        <w:rPr>
          <w:rFonts w:hint="eastAsia"/>
          <w:sz w:val="21"/>
        </w:rPr>
        <w:t>承包人报送修订合同进度计划申请报告和相关资料的期限</w:t>
      </w:r>
      <w:r>
        <w:rPr>
          <w:rFonts w:hint="eastAsia"/>
          <w:sz w:val="20"/>
        </w:rPr>
        <w:t>：</w:t>
      </w:r>
      <w:r>
        <w:rPr>
          <w:sz w:val="20"/>
          <w:u w:val="single"/>
        </w:rPr>
        <w:t xml:space="preserve"> </w:t>
      </w:r>
      <w:r>
        <w:rPr>
          <w:rFonts w:hint="eastAsia"/>
          <w:sz w:val="21"/>
          <w:szCs w:val="24"/>
          <w:u w:val="single"/>
        </w:rPr>
        <w:t>签订合同后</w:t>
      </w:r>
      <w:r>
        <w:rPr>
          <w:sz w:val="21"/>
          <w:szCs w:val="24"/>
          <w:u w:val="single"/>
        </w:rPr>
        <w:t>7</w:t>
      </w:r>
      <w:r>
        <w:rPr>
          <w:rFonts w:hint="eastAsia"/>
          <w:sz w:val="21"/>
          <w:szCs w:val="24"/>
          <w:u w:val="single"/>
        </w:rPr>
        <w:t>天内</w:t>
      </w:r>
      <w:r>
        <w:rPr>
          <w:sz w:val="21"/>
          <w:szCs w:val="24"/>
          <w:u w:val="single"/>
        </w:rPr>
        <w:t xml:space="preserve"> </w:t>
      </w:r>
      <w:r>
        <w:rPr>
          <w:sz w:val="20"/>
          <w:u w:val="single"/>
        </w:rPr>
        <w:t xml:space="preserve"> </w:t>
      </w:r>
      <w:r>
        <w:rPr>
          <w:spacing w:val="-1"/>
          <w:sz w:val="20"/>
          <w:u w:val="single"/>
        </w:rPr>
        <w:t xml:space="preserve"> </w:t>
      </w:r>
      <w:r>
        <w:rPr>
          <w:sz w:val="21"/>
        </w:rPr>
        <w:t xml:space="preserve"> </w:t>
      </w:r>
    </w:p>
    <w:p>
      <w:pPr>
        <w:pStyle w:val="8"/>
        <w:spacing w:before="9"/>
        <w:rPr>
          <w:sz w:val="14"/>
        </w:rPr>
      </w:pPr>
    </w:p>
    <w:p>
      <w:pPr>
        <w:spacing w:before="71"/>
        <w:ind w:left="1258" w:right="1709" w:rightChars="777"/>
        <w:rPr>
          <w:sz w:val="21"/>
        </w:rPr>
      </w:pPr>
      <w:r>
        <w:rPr>
          <w:rFonts w:hint="eastAsia"/>
          <w:sz w:val="21"/>
        </w:rPr>
        <w:t>监理人批复修订合同进度计划申请报告的期限</w:t>
      </w:r>
      <w:r>
        <w:rPr>
          <w:rFonts w:hint="eastAsia"/>
          <w:sz w:val="20"/>
        </w:rPr>
        <w:t>：</w:t>
      </w:r>
      <w:r>
        <w:rPr>
          <w:sz w:val="20"/>
          <w:u w:val="single"/>
        </w:rPr>
        <w:t xml:space="preserve"> </w:t>
      </w:r>
      <w:r>
        <w:rPr>
          <w:rFonts w:hint="eastAsia"/>
          <w:sz w:val="21"/>
          <w:szCs w:val="24"/>
          <w:u w:val="single"/>
        </w:rPr>
        <w:t>收到承包人报送的修订合同进度计划申请报告和相关资料后</w:t>
      </w:r>
      <w:r>
        <w:rPr>
          <w:sz w:val="21"/>
          <w:szCs w:val="24"/>
          <w:u w:val="single"/>
        </w:rPr>
        <w:t>7</w:t>
      </w:r>
      <w:r>
        <w:rPr>
          <w:rFonts w:hint="eastAsia"/>
          <w:sz w:val="21"/>
          <w:szCs w:val="24"/>
          <w:u w:val="single"/>
        </w:rPr>
        <w:t>天内。</w:t>
      </w:r>
      <w:r>
        <w:rPr>
          <w:spacing w:val="-2"/>
          <w:sz w:val="20"/>
          <w:u w:val="single"/>
        </w:rPr>
        <w:t xml:space="preserve"> </w:t>
      </w:r>
      <w:r>
        <w:rPr>
          <w:sz w:val="21"/>
        </w:rPr>
        <w:t xml:space="preserve"> </w:t>
      </w:r>
    </w:p>
    <w:p>
      <w:pPr>
        <w:pStyle w:val="8"/>
        <w:spacing w:before="9"/>
        <w:rPr>
          <w:sz w:val="14"/>
        </w:rPr>
      </w:pPr>
    </w:p>
    <w:p>
      <w:pPr>
        <w:spacing w:before="71"/>
        <w:ind w:left="1258"/>
        <w:rPr>
          <w:sz w:val="21"/>
        </w:rPr>
      </w:pPr>
      <w:r>
        <w:rPr>
          <w:sz w:val="21"/>
        </w:rPr>
        <w:t>10.2.2</w:t>
      </w:r>
      <w:r>
        <w:rPr>
          <w:spacing w:val="1"/>
          <w:sz w:val="21"/>
        </w:rPr>
        <w:t xml:space="preserve"> </w:t>
      </w:r>
      <w:r>
        <w:rPr>
          <w:rFonts w:hint="eastAsia"/>
          <w:spacing w:val="1"/>
          <w:sz w:val="21"/>
        </w:rPr>
        <w:t>监理人批复修订合同进度计划的期限</w:t>
      </w:r>
      <w:r>
        <w:rPr>
          <w:rFonts w:hint="eastAsia"/>
          <w:sz w:val="20"/>
        </w:rPr>
        <w:t>：</w:t>
      </w:r>
      <w:r>
        <w:rPr>
          <w:sz w:val="20"/>
          <w:u w:val="single"/>
        </w:rPr>
        <w:t xml:space="preserve">  </w:t>
      </w:r>
      <w:r>
        <w:rPr>
          <w:rFonts w:hint="eastAsia"/>
          <w:sz w:val="21"/>
          <w:szCs w:val="24"/>
          <w:u w:val="single"/>
        </w:rPr>
        <w:t>收到后</w:t>
      </w:r>
      <w:r>
        <w:rPr>
          <w:sz w:val="21"/>
          <w:szCs w:val="24"/>
          <w:u w:val="single"/>
        </w:rPr>
        <w:t xml:space="preserve"> 7 </w:t>
      </w:r>
      <w:r>
        <w:rPr>
          <w:rFonts w:hint="eastAsia"/>
          <w:sz w:val="21"/>
          <w:szCs w:val="24"/>
          <w:u w:val="single"/>
        </w:rPr>
        <w:t>天内</w:t>
      </w:r>
      <w:r>
        <w:rPr>
          <w:sz w:val="20"/>
          <w:u w:val="single"/>
        </w:rPr>
        <w:t xml:space="preserve">  </w:t>
      </w:r>
      <w:r>
        <w:rPr>
          <w:spacing w:val="-2"/>
          <w:sz w:val="20"/>
          <w:u w:val="single"/>
        </w:rPr>
        <w:t xml:space="preserve"> </w:t>
      </w:r>
      <w:r>
        <w:rPr>
          <w:sz w:val="21"/>
        </w:rPr>
        <w:t xml:space="preserve"> </w:t>
      </w:r>
    </w:p>
    <w:p>
      <w:pPr>
        <w:pStyle w:val="8"/>
        <w:spacing w:before="9"/>
        <w:rPr>
          <w:sz w:val="15"/>
        </w:rPr>
      </w:pPr>
    </w:p>
    <w:p>
      <w:pPr>
        <w:pStyle w:val="6"/>
        <w:numPr>
          <w:ilvl w:val="0"/>
          <w:numId w:val="28"/>
        </w:numPr>
        <w:tabs>
          <w:tab w:val="left" w:pos="1260"/>
        </w:tabs>
        <w:spacing w:before="61"/>
        <w:ind w:left="1259" w:hanging="422"/>
      </w:pPr>
      <w:bookmarkStart w:id="54" w:name="_bookmark130"/>
      <w:bookmarkEnd w:id="54"/>
      <w:r>
        <w:rPr>
          <w:rFonts w:hint="eastAsia"/>
        </w:rPr>
        <w:t>开工和竣工</w:t>
      </w:r>
      <w:r>
        <w:t xml:space="preserve"> </w:t>
      </w:r>
    </w:p>
    <w:p>
      <w:pPr>
        <w:pStyle w:val="8"/>
        <w:spacing w:before="10"/>
        <w:rPr>
          <w:sz w:val="23"/>
        </w:rPr>
      </w:pPr>
    </w:p>
    <w:p>
      <w:pPr>
        <w:pStyle w:val="7"/>
        <w:numPr>
          <w:ilvl w:val="1"/>
          <w:numId w:val="36"/>
        </w:numPr>
        <w:tabs>
          <w:tab w:val="left" w:pos="1319"/>
        </w:tabs>
        <w:spacing w:before="0"/>
      </w:pPr>
      <w:bookmarkStart w:id="55" w:name="_bookmark131"/>
      <w:bookmarkEnd w:id="55"/>
      <w:r>
        <w:rPr>
          <w:rFonts w:hint="eastAsia"/>
        </w:rPr>
        <w:t>发包人的工期延误</w:t>
      </w:r>
      <w:r>
        <w:t xml:space="preserve"> </w:t>
      </w:r>
    </w:p>
    <w:p>
      <w:pPr>
        <w:pStyle w:val="8"/>
        <w:spacing w:before="9"/>
      </w:pPr>
    </w:p>
    <w:p>
      <w:pPr>
        <w:ind w:left="1258"/>
        <w:rPr>
          <w:sz w:val="21"/>
        </w:rPr>
      </w:pPr>
      <w:r>
        <w:rPr>
          <w:rFonts w:hint="eastAsia"/>
          <w:sz w:val="21"/>
        </w:rPr>
        <w:t>（</w:t>
      </w:r>
      <w:r>
        <w:rPr>
          <w:sz w:val="21"/>
        </w:rPr>
        <w:t>8</w:t>
      </w:r>
      <w:r>
        <w:rPr>
          <w:rFonts w:hint="eastAsia"/>
          <w:sz w:val="21"/>
        </w:rPr>
        <w:t>）发包人造成工期延误的其他原因</w:t>
      </w:r>
      <w:r>
        <w:rPr>
          <w:rFonts w:hint="eastAsia"/>
          <w:sz w:val="20"/>
        </w:rPr>
        <w:t>：</w:t>
      </w:r>
      <w:r>
        <w:rPr>
          <w:sz w:val="20"/>
          <w:u w:val="single"/>
        </w:rPr>
        <w:t xml:space="preserve">       </w:t>
      </w:r>
      <w:r>
        <w:rPr>
          <w:sz w:val="20"/>
          <w:u w:val="single"/>
          <w:lang w:val="en-US" w:eastAsia="zh-CN"/>
        </w:rPr>
        <w:t>/</w:t>
      </w:r>
      <w:r>
        <w:rPr>
          <w:sz w:val="20"/>
          <w:u w:val="single"/>
        </w:rPr>
        <w:t xml:space="preserve">      </w:t>
      </w:r>
      <w:r>
        <w:rPr>
          <w:sz w:val="21"/>
        </w:rPr>
        <w:t xml:space="preserve"> </w:t>
      </w:r>
    </w:p>
    <w:p>
      <w:pPr>
        <w:pStyle w:val="8"/>
        <w:spacing w:before="3"/>
        <w:rPr>
          <w:sz w:val="15"/>
        </w:rPr>
      </w:pPr>
    </w:p>
    <w:p>
      <w:pPr>
        <w:pStyle w:val="7"/>
        <w:numPr>
          <w:ilvl w:val="1"/>
          <w:numId w:val="36"/>
        </w:numPr>
        <w:tabs>
          <w:tab w:val="left" w:pos="1319"/>
        </w:tabs>
      </w:pPr>
      <w:bookmarkStart w:id="56" w:name="_bookmark132"/>
      <w:bookmarkEnd w:id="56"/>
      <w:r>
        <w:rPr>
          <w:rFonts w:hint="eastAsia"/>
        </w:rPr>
        <w:t>异常恶劣的气候条件</w:t>
      </w:r>
      <w:r>
        <w:t xml:space="preserve"> </w:t>
      </w:r>
    </w:p>
    <w:p>
      <w:pPr>
        <w:pStyle w:val="8"/>
        <w:spacing w:before="9"/>
      </w:pPr>
    </w:p>
    <w:p>
      <w:pPr>
        <w:spacing w:before="139"/>
        <w:ind w:left="1258" w:right="1929" w:rightChars="877"/>
        <w:rPr>
          <w:sz w:val="21"/>
        </w:rPr>
      </w:pPr>
      <w:r>
        <w:rPr>
          <w:rFonts w:hint="eastAsia"/>
          <w:sz w:val="21"/>
        </w:rPr>
        <w:t>异常恶劣的气候条件的范围和标准</w:t>
      </w:r>
      <w:r>
        <w:rPr>
          <w:rFonts w:hint="eastAsia"/>
          <w:spacing w:val="-59"/>
          <w:sz w:val="20"/>
        </w:rPr>
        <w:t>：</w:t>
      </w:r>
      <w:r>
        <w:rPr>
          <w:sz w:val="20"/>
          <w:u w:val="single"/>
        </w:rPr>
        <w:t xml:space="preserve">  </w:t>
      </w:r>
      <w:r>
        <w:rPr>
          <w:sz w:val="21"/>
          <w:szCs w:val="24"/>
          <w:u w:val="single"/>
        </w:rPr>
        <w:t>20</w:t>
      </w:r>
      <w:r>
        <w:rPr>
          <w:rFonts w:hint="eastAsia"/>
          <w:sz w:val="21"/>
          <w:szCs w:val="24"/>
          <w:u w:val="single"/>
        </w:rPr>
        <w:t>年一遇的最大降水</w:t>
      </w:r>
      <w:r>
        <w:rPr>
          <w:sz w:val="21"/>
          <w:szCs w:val="24"/>
          <w:u w:val="single"/>
        </w:rPr>
        <w:t>(</w:t>
      </w:r>
      <w:r>
        <w:rPr>
          <w:rFonts w:hint="eastAsia"/>
          <w:sz w:val="21"/>
          <w:szCs w:val="24"/>
          <w:u w:val="single"/>
        </w:rPr>
        <w:t>雪</w:t>
      </w:r>
      <w:r>
        <w:rPr>
          <w:sz w:val="21"/>
          <w:szCs w:val="24"/>
          <w:u w:val="single"/>
        </w:rPr>
        <w:t>)</w:t>
      </w:r>
      <w:r>
        <w:rPr>
          <w:rFonts w:hint="eastAsia"/>
          <w:sz w:val="21"/>
          <w:szCs w:val="24"/>
          <w:u w:val="single"/>
        </w:rPr>
        <w:t>量、最高（低）温度均以北京市气象局发布的信息为准。</w:t>
      </w:r>
      <w:r>
        <w:rPr>
          <w:spacing w:val="-1"/>
          <w:sz w:val="20"/>
          <w:u w:val="single"/>
        </w:rPr>
        <w:t xml:space="preserve"> </w:t>
      </w:r>
      <w:r>
        <w:rPr>
          <w:sz w:val="21"/>
        </w:rPr>
        <w:t xml:space="preserve"> </w:t>
      </w:r>
    </w:p>
    <w:p>
      <w:pPr>
        <w:pStyle w:val="8"/>
        <w:spacing w:before="3"/>
        <w:rPr>
          <w:sz w:val="15"/>
        </w:rPr>
      </w:pPr>
    </w:p>
    <w:p>
      <w:pPr>
        <w:pStyle w:val="7"/>
        <w:numPr>
          <w:ilvl w:val="1"/>
          <w:numId w:val="36"/>
        </w:numPr>
        <w:tabs>
          <w:tab w:val="left" w:pos="1319"/>
        </w:tabs>
      </w:pPr>
      <w:bookmarkStart w:id="57" w:name="_bookmark133"/>
      <w:bookmarkEnd w:id="57"/>
      <w:r>
        <w:rPr>
          <w:rFonts w:hint="eastAsia"/>
        </w:rPr>
        <w:t>承包人的工期延误</w:t>
      </w:r>
      <w:r>
        <w:t xml:space="preserve"> </w:t>
      </w:r>
    </w:p>
    <w:p>
      <w:pPr>
        <w:pStyle w:val="8"/>
        <w:spacing w:before="9"/>
      </w:pPr>
    </w:p>
    <w:p>
      <w:pPr>
        <w:spacing w:before="1"/>
        <w:ind w:left="1258" w:right="1929" w:rightChars="877"/>
        <w:rPr>
          <w:sz w:val="21"/>
        </w:rPr>
      </w:pPr>
      <w:r>
        <w:rPr>
          <w:sz w:val="21"/>
        </w:rPr>
        <w:t xml:space="preserve">11.5.2 </w:t>
      </w:r>
      <w:r>
        <w:rPr>
          <w:rFonts w:hint="eastAsia"/>
          <w:sz w:val="21"/>
        </w:rPr>
        <w:t>逾期竣工违约金的计算标准和计算方法</w:t>
      </w:r>
      <w:r>
        <w:rPr>
          <w:rFonts w:hint="eastAsia"/>
          <w:sz w:val="20"/>
        </w:rPr>
        <w:t>：</w:t>
      </w:r>
      <w:r>
        <w:rPr>
          <w:sz w:val="20"/>
          <w:u w:val="single"/>
        </w:rPr>
        <w:t xml:space="preserve"> </w:t>
      </w:r>
      <w:r>
        <w:rPr>
          <w:rFonts w:hint="eastAsia"/>
          <w:sz w:val="21"/>
          <w:szCs w:val="24"/>
          <w:u w:val="single"/>
        </w:rPr>
        <w:t>工期每延误一天，承包人应当向发包人赔偿签约合同价的</w:t>
      </w:r>
      <w:r>
        <w:rPr>
          <w:sz w:val="21"/>
          <w:szCs w:val="24"/>
          <w:u w:val="single"/>
        </w:rPr>
        <w:t xml:space="preserve"> 0.2</w:t>
      </w:r>
      <w:r>
        <w:rPr>
          <w:rFonts w:hint="eastAsia"/>
          <w:sz w:val="21"/>
          <w:szCs w:val="24"/>
          <w:u w:val="single"/>
        </w:rPr>
        <w:t>‰，不足一天按一天计。逾期竣工违约金</w:t>
      </w:r>
      <w:r>
        <w:rPr>
          <w:sz w:val="21"/>
          <w:szCs w:val="24"/>
          <w:u w:val="single"/>
        </w:rPr>
        <w:t>=</w:t>
      </w:r>
      <w:r>
        <w:rPr>
          <w:rFonts w:hint="eastAsia"/>
          <w:sz w:val="21"/>
          <w:szCs w:val="24"/>
          <w:u w:val="single"/>
        </w:rPr>
        <w:t>签约合同价×</w:t>
      </w:r>
      <w:r>
        <w:rPr>
          <w:sz w:val="21"/>
          <w:szCs w:val="24"/>
          <w:u w:val="single"/>
        </w:rPr>
        <w:t>0.2</w:t>
      </w:r>
      <w:r>
        <w:rPr>
          <w:rFonts w:hint="eastAsia"/>
          <w:sz w:val="21"/>
          <w:szCs w:val="24"/>
          <w:u w:val="single"/>
        </w:rPr>
        <w:t>‰×天数。</w:t>
      </w:r>
      <w:r>
        <w:rPr>
          <w:sz w:val="21"/>
          <w:szCs w:val="24"/>
          <w:u w:val="single"/>
        </w:rPr>
        <w:t xml:space="preserve"> </w:t>
      </w:r>
      <w:r>
        <w:rPr>
          <w:sz w:val="21"/>
        </w:rPr>
        <w:t xml:space="preserve"> </w:t>
      </w:r>
    </w:p>
    <w:p>
      <w:pPr>
        <w:spacing w:before="139"/>
        <w:ind w:left="1258"/>
        <w:rPr>
          <w:sz w:val="21"/>
        </w:rPr>
      </w:pPr>
      <w:r>
        <w:rPr>
          <w:rFonts w:hint="eastAsia"/>
          <w:sz w:val="21"/>
        </w:rPr>
        <w:t>逾期竣工违约金最高限额</w:t>
      </w:r>
      <w:r>
        <w:rPr>
          <w:rFonts w:hint="eastAsia"/>
          <w:sz w:val="20"/>
        </w:rPr>
        <w:t>：</w:t>
      </w:r>
      <w:r>
        <w:rPr>
          <w:sz w:val="20"/>
          <w:u w:val="single"/>
        </w:rPr>
        <w:t xml:space="preserve"> </w:t>
      </w:r>
      <w:r>
        <w:rPr>
          <w:sz w:val="21"/>
          <w:szCs w:val="24"/>
          <w:u w:val="single"/>
        </w:rPr>
        <w:t xml:space="preserve"> </w:t>
      </w:r>
      <w:r>
        <w:rPr>
          <w:rFonts w:hint="eastAsia"/>
          <w:sz w:val="21"/>
          <w:szCs w:val="24"/>
          <w:u w:val="single"/>
        </w:rPr>
        <w:t>最高不超过签约合同价的</w:t>
      </w:r>
      <w:r>
        <w:rPr>
          <w:sz w:val="21"/>
          <w:szCs w:val="24"/>
          <w:u w:val="single"/>
        </w:rPr>
        <w:t>3%</w:t>
      </w:r>
      <w:r>
        <w:rPr>
          <w:rFonts w:hint="eastAsia"/>
          <w:sz w:val="21"/>
          <w:szCs w:val="24"/>
          <w:u w:val="single"/>
        </w:rPr>
        <w:t>。</w:t>
      </w:r>
      <w:r>
        <w:rPr>
          <w:sz w:val="20"/>
          <w:u w:val="single"/>
        </w:rPr>
        <w:t xml:space="preserve">  </w:t>
      </w:r>
      <w:r>
        <w:rPr>
          <w:sz w:val="21"/>
        </w:rPr>
        <w:t xml:space="preserve"> </w:t>
      </w:r>
    </w:p>
    <w:p>
      <w:pPr>
        <w:pStyle w:val="8"/>
        <w:spacing w:before="9"/>
        <w:rPr>
          <w:sz w:val="16"/>
        </w:rPr>
      </w:pPr>
    </w:p>
    <w:p>
      <w:pPr>
        <w:pStyle w:val="7"/>
        <w:numPr>
          <w:ilvl w:val="1"/>
          <w:numId w:val="36"/>
        </w:numPr>
        <w:tabs>
          <w:tab w:val="left" w:pos="1319"/>
        </w:tabs>
        <w:spacing w:before="67"/>
      </w:pPr>
      <w:bookmarkStart w:id="58" w:name="_bookmark134"/>
      <w:bookmarkEnd w:id="58"/>
      <w:r>
        <w:rPr>
          <w:rFonts w:hint="eastAsia"/>
        </w:rPr>
        <w:t>工期提前</w:t>
      </w:r>
      <w:r>
        <w:t xml:space="preserve"> </w:t>
      </w:r>
    </w:p>
    <w:p>
      <w:pPr>
        <w:pStyle w:val="8"/>
        <w:spacing w:before="8"/>
      </w:pPr>
    </w:p>
    <w:p>
      <w:pPr>
        <w:spacing w:before="1"/>
        <w:ind w:left="1258"/>
        <w:rPr>
          <w:sz w:val="21"/>
        </w:rPr>
      </w:pPr>
      <w:r>
        <w:rPr>
          <w:rFonts w:hint="eastAsia"/>
          <w:sz w:val="21"/>
        </w:rPr>
        <w:t>提前竣工的奖励办法</w:t>
      </w:r>
      <w:r>
        <w:rPr>
          <w:rFonts w:hint="eastAsia"/>
          <w:sz w:val="20"/>
        </w:rPr>
        <w:t>：</w:t>
      </w:r>
      <w:r>
        <w:rPr>
          <w:sz w:val="20"/>
          <w:u w:val="single"/>
        </w:rPr>
        <w:t xml:space="preserve">       </w:t>
      </w:r>
      <w:r>
        <w:rPr>
          <w:sz w:val="20"/>
          <w:u w:val="single"/>
          <w:lang w:val="en-US" w:eastAsia="zh-CN"/>
        </w:rPr>
        <w:t>/</w:t>
      </w:r>
      <w:r>
        <w:rPr>
          <w:sz w:val="20"/>
          <w:u w:val="single"/>
        </w:rPr>
        <w:t xml:space="preserve">                                                  </w:t>
      </w:r>
      <w:r>
        <w:rPr>
          <w:sz w:val="21"/>
        </w:rPr>
        <w:t xml:space="preserve"> </w:t>
      </w:r>
    </w:p>
    <w:p>
      <w:pPr>
        <w:pStyle w:val="8"/>
        <w:spacing w:before="8"/>
        <w:rPr>
          <w:sz w:val="15"/>
        </w:rPr>
      </w:pPr>
    </w:p>
    <w:p>
      <w:pPr>
        <w:pStyle w:val="6"/>
        <w:numPr>
          <w:ilvl w:val="0"/>
          <w:numId w:val="28"/>
        </w:numPr>
        <w:tabs>
          <w:tab w:val="left" w:pos="1260"/>
        </w:tabs>
        <w:spacing w:before="61"/>
        <w:ind w:left="1259" w:hanging="422"/>
      </w:pPr>
      <w:bookmarkStart w:id="59" w:name="_bookmark135"/>
      <w:bookmarkEnd w:id="59"/>
      <w:r>
        <w:rPr>
          <w:rFonts w:hint="eastAsia"/>
        </w:rPr>
        <w:t>暂停施工</w:t>
      </w:r>
      <w:r>
        <w:t xml:space="preserve"> </w:t>
      </w:r>
    </w:p>
    <w:p>
      <w:pPr>
        <w:pStyle w:val="8"/>
        <w:spacing w:before="10"/>
        <w:rPr>
          <w:sz w:val="23"/>
        </w:rPr>
      </w:pPr>
    </w:p>
    <w:p>
      <w:pPr>
        <w:pStyle w:val="7"/>
        <w:numPr>
          <w:ilvl w:val="1"/>
          <w:numId w:val="28"/>
        </w:numPr>
        <w:tabs>
          <w:tab w:val="left" w:pos="1319"/>
        </w:tabs>
        <w:spacing w:before="0"/>
        <w:ind w:left="1319" w:hanging="481"/>
      </w:pPr>
      <w:bookmarkStart w:id="60" w:name="_bookmark136"/>
      <w:bookmarkEnd w:id="60"/>
      <w:r>
        <w:rPr>
          <w:rFonts w:hint="eastAsia"/>
        </w:rPr>
        <w:t>承包人暂停施工的责任</w:t>
      </w:r>
      <w:r>
        <w:t xml:space="preserve"> </w:t>
      </w:r>
    </w:p>
    <w:p>
      <w:pPr>
        <w:pStyle w:val="8"/>
        <w:spacing w:before="9"/>
      </w:pPr>
    </w:p>
    <w:p>
      <w:pPr>
        <w:spacing w:before="140"/>
        <w:ind w:left="1258" w:right="1929" w:rightChars="877"/>
        <w:rPr>
          <w:sz w:val="21"/>
        </w:rPr>
      </w:pPr>
      <w:r>
        <w:rPr>
          <w:rFonts w:hint="eastAsia"/>
          <w:sz w:val="21"/>
        </w:rPr>
        <w:t>（</w:t>
      </w:r>
      <w:r>
        <w:rPr>
          <w:sz w:val="21"/>
        </w:rPr>
        <w:t>4</w:t>
      </w:r>
      <w:r>
        <w:rPr>
          <w:rFonts w:hint="eastAsia"/>
          <w:sz w:val="21"/>
        </w:rPr>
        <w:t>）承包人承担暂停施工责任的其他情形</w:t>
      </w:r>
      <w:r>
        <w:rPr>
          <w:rFonts w:hint="eastAsia"/>
          <w:sz w:val="20"/>
        </w:rPr>
        <w:t>：</w:t>
      </w:r>
      <w:r>
        <w:rPr>
          <w:sz w:val="20"/>
          <w:u w:val="single"/>
        </w:rPr>
        <w:t xml:space="preserve"> </w:t>
      </w:r>
      <w:r>
        <w:rPr>
          <w:sz w:val="21"/>
          <w:szCs w:val="24"/>
          <w:u w:val="single"/>
        </w:rPr>
        <w:t xml:space="preserve"> </w:t>
      </w:r>
      <w:r>
        <w:rPr>
          <w:rFonts w:hint="eastAsia"/>
          <w:sz w:val="21"/>
          <w:szCs w:val="24"/>
          <w:u w:val="single"/>
        </w:rPr>
        <w:t>由于本工程的特殊性，在施工期间存在的上级领导视察等造成的暂停施工视为承包人在投标中已综合考虑；工程若因施工质量问题需暂停施工而影响正常施工的，承包人应制订赶工计划，赶工造成的费用由承包人承担，发包人不予增加相应的任何费用。</w:t>
      </w:r>
      <w:r>
        <w:rPr>
          <w:spacing w:val="-2"/>
          <w:sz w:val="20"/>
          <w:u w:val="single"/>
        </w:rPr>
        <w:t xml:space="preserve"> </w:t>
      </w:r>
      <w:r>
        <w:rPr>
          <w:sz w:val="21"/>
        </w:rPr>
        <w:t xml:space="preserve"> </w:t>
      </w:r>
    </w:p>
    <w:p>
      <w:pPr>
        <w:pStyle w:val="8"/>
        <w:spacing w:before="9"/>
        <w:rPr>
          <w:sz w:val="15"/>
        </w:rPr>
      </w:pPr>
    </w:p>
    <w:p>
      <w:pPr>
        <w:pStyle w:val="6"/>
        <w:numPr>
          <w:ilvl w:val="0"/>
          <w:numId w:val="28"/>
        </w:numPr>
        <w:tabs>
          <w:tab w:val="left" w:pos="1260"/>
        </w:tabs>
        <w:ind w:left="1259" w:hanging="422"/>
      </w:pPr>
      <w:bookmarkStart w:id="61" w:name="_bookmark137"/>
      <w:bookmarkEnd w:id="61"/>
      <w:r>
        <w:rPr>
          <w:rFonts w:hint="eastAsia"/>
        </w:rPr>
        <w:t>工程质量</w:t>
      </w:r>
      <w:r>
        <w:t xml:space="preserve"> </w:t>
      </w:r>
    </w:p>
    <w:p>
      <w:pPr>
        <w:pStyle w:val="8"/>
        <w:spacing w:before="11"/>
        <w:rPr>
          <w:sz w:val="23"/>
        </w:rPr>
      </w:pPr>
    </w:p>
    <w:p>
      <w:pPr>
        <w:pStyle w:val="7"/>
        <w:numPr>
          <w:ilvl w:val="1"/>
          <w:numId w:val="37"/>
        </w:numPr>
        <w:tabs>
          <w:tab w:val="left" w:pos="1319"/>
        </w:tabs>
        <w:spacing w:before="0"/>
      </w:pPr>
      <w:bookmarkStart w:id="62" w:name="_bookmark138"/>
      <w:bookmarkEnd w:id="62"/>
      <w:r>
        <w:rPr>
          <w:rFonts w:hint="eastAsia"/>
        </w:rPr>
        <w:t>承包人的质量管理</w:t>
      </w:r>
      <w:r>
        <w:t xml:space="preserve"> </w:t>
      </w:r>
    </w:p>
    <w:p>
      <w:pPr>
        <w:pStyle w:val="8"/>
        <w:spacing w:before="9"/>
      </w:pPr>
    </w:p>
    <w:p>
      <w:pPr>
        <w:pStyle w:val="8"/>
        <w:ind w:left="1258"/>
      </w:pPr>
      <w:r>
        <w:t xml:space="preserve">13.2.1 </w:t>
      </w:r>
      <w:r>
        <w:rPr>
          <w:rFonts w:hint="eastAsia"/>
        </w:rPr>
        <w:t>承包人向监理人提交工程质量保证措施文件的期限：</w:t>
      </w:r>
      <w:r>
        <w:rPr>
          <w:u w:val="single"/>
        </w:rPr>
        <w:t xml:space="preserve"> </w:t>
      </w:r>
      <w:r>
        <w:rPr>
          <w:rFonts w:hint="eastAsia"/>
          <w:u w:val="single"/>
        </w:rPr>
        <w:t>签订合同后</w:t>
      </w:r>
      <w:r>
        <w:rPr>
          <w:u w:val="single"/>
        </w:rPr>
        <w:t>7</w:t>
      </w:r>
      <w:r>
        <w:rPr>
          <w:rFonts w:hint="eastAsia"/>
          <w:u w:val="single"/>
        </w:rPr>
        <w:t>天内</w:t>
      </w:r>
      <w:r>
        <w:rPr>
          <w:u w:val="single"/>
        </w:rPr>
        <w:t xml:space="preserve">  </w:t>
      </w:r>
      <w:r>
        <w:t xml:space="preserve"> </w:t>
      </w:r>
    </w:p>
    <w:p>
      <w:pPr>
        <w:pStyle w:val="8"/>
        <w:spacing w:before="140"/>
        <w:ind w:left="1258"/>
      </w:pPr>
      <w:r>
        <w:rPr>
          <w:rFonts w:hint="eastAsia"/>
        </w:rPr>
        <w:t>监理人审批工程质量保证措施文件的期限：</w:t>
      </w:r>
      <w:r>
        <w:rPr>
          <w:u w:val="single"/>
        </w:rPr>
        <w:t xml:space="preserve"> </w:t>
      </w:r>
      <w:r>
        <w:rPr>
          <w:rFonts w:hint="eastAsia"/>
          <w:u w:val="single"/>
        </w:rPr>
        <w:t>收到承包人报送的工程质量保证措施文件后</w:t>
      </w:r>
      <w:r>
        <w:rPr>
          <w:u w:val="single"/>
        </w:rPr>
        <w:t>7</w:t>
      </w:r>
      <w:r>
        <w:rPr>
          <w:rFonts w:hint="eastAsia"/>
          <w:u w:val="single"/>
        </w:rPr>
        <w:t>天内</w:t>
      </w:r>
      <w:r>
        <w:rPr>
          <w:u w:val="single"/>
        </w:rPr>
        <w:t xml:space="preserve">  </w:t>
      </w:r>
      <w:r>
        <w:t xml:space="preserve"> </w:t>
      </w:r>
    </w:p>
    <w:p>
      <w:pPr>
        <w:pStyle w:val="8"/>
        <w:spacing w:before="140"/>
        <w:ind w:left="1258"/>
      </w:pPr>
    </w:p>
    <w:p>
      <w:pPr>
        <w:pStyle w:val="8"/>
        <w:spacing w:before="140"/>
        <w:ind w:left="1258"/>
      </w:pPr>
    </w:p>
    <w:p>
      <w:pPr>
        <w:pStyle w:val="8"/>
        <w:spacing w:before="1"/>
        <w:rPr>
          <w:sz w:val="15"/>
        </w:rPr>
      </w:pPr>
    </w:p>
    <w:p>
      <w:pPr>
        <w:pStyle w:val="7"/>
        <w:numPr>
          <w:ilvl w:val="1"/>
          <w:numId w:val="37"/>
        </w:numPr>
        <w:tabs>
          <w:tab w:val="left" w:pos="1319"/>
        </w:tabs>
        <w:spacing w:before="67"/>
      </w:pPr>
      <w:bookmarkStart w:id="63" w:name="_bookmark139"/>
      <w:bookmarkEnd w:id="63"/>
      <w:r>
        <w:rPr>
          <w:rFonts w:hint="eastAsia"/>
        </w:rPr>
        <w:t>承包人的质量检查</w:t>
      </w:r>
      <w:r>
        <w:t xml:space="preserve"> </w:t>
      </w:r>
    </w:p>
    <w:p>
      <w:pPr>
        <w:pStyle w:val="8"/>
        <w:spacing w:before="9"/>
      </w:pPr>
    </w:p>
    <w:p>
      <w:pPr>
        <w:pStyle w:val="8"/>
        <w:spacing w:line="364" w:lineRule="auto"/>
        <w:ind w:left="1258" w:right="1708"/>
        <w:jc w:val="both"/>
      </w:pPr>
      <w:r>
        <w:rPr>
          <w:rFonts w:hint="eastAsia"/>
        </w:rPr>
        <w:t>承包人向监理人报送工程质量报表的期限：</w:t>
      </w:r>
      <w:r>
        <w:rPr>
          <w:rFonts w:hint="eastAsia"/>
          <w:u w:val="single"/>
        </w:rPr>
        <w:t>开工后每月的</w:t>
      </w:r>
      <w:r>
        <w:rPr>
          <w:u w:val="single"/>
        </w:rPr>
        <w:t>28</w:t>
      </w:r>
      <w:r>
        <w:rPr>
          <w:rFonts w:hint="eastAsia"/>
          <w:u w:val="single"/>
        </w:rPr>
        <w:t>日前</w:t>
      </w:r>
    </w:p>
    <w:p>
      <w:pPr>
        <w:pStyle w:val="8"/>
        <w:spacing w:line="364" w:lineRule="auto"/>
        <w:ind w:left="1258" w:right="1708"/>
        <w:jc w:val="both"/>
        <w:rPr>
          <w:u w:val="single"/>
        </w:rPr>
      </w:pPr>
      <w:r>
        <w:rPr>
          <w:rFonts w:hint="eastAsia"/>
        </w:rPr>
        <w:t>承包人向监理人报送工程质量报表的要求：</w:t>
      </w:r>
      <w:r>
        <w:rPr>
          <w:rFonts w:hint="eastAsia"/>
          <w:u w:val="single"/>
        </w:rPr>
        <w:t>按监理人要求格式报送</w:t>
      </w:r>
    </w:p>
    <w:p>
      <w:pPr>
        <w:pStyle w:val="8"/>
        <w:spacing w:line="364" w:lineRule="auto"/>
        <w:ind w:left="1258" w:right="1708"/>
        <w:jc w:val="both"/>
      </w:pPr>
      <w:r>
        <w:rPr>
          <w:rFonts w:hint="eastAsia"/>
        </w:rPr>
        <w:t>监理人审查工程质量报表的期限：</w:t>
      </w:r>
      <w:r>
        <w:rPr>
          <w:u w:val="single"/>
        </w:rPr>
        <w:t xml:space="preserve"> </w:t>
      </w:r>
      <w:r>
        <w:rPr>
          <w:rFonts w:hint="eastAsia"/>
          <w:u w:val="single"/>
        </w:rPr>
        <w:t>收到质量报表后</w:t>
      </w:r>
      <w:r>
        <w:rPr>
          <w:u w:val="single"/>
        </w:rPr>
        <w:t>7</w:t>
      </w:r>
      <w:r>
        <w:rPr>
          <w:rFonts w:hint="eastAsia"/>
          <w:u w:val="single"/>
        </w:rPr>
        <w:t>天内</w:t>
      </w:r>
      <w:r>
        <w:rPr>
          <w:spacing w:val="-1"/>
          <w:u w:val="single"/>
        </w:rPr>
        <w:t xml:space="preserve">  </w:t>
      </w:r>
      <w:r>
        <w:t xml:space="preserve"> </w:t>
      </w:r>
    </w:p>
    <w:p>
      <w:pPr>
        <w:pStyle w:val="7"/>
        <w:numPr>
          <w:ilvl w:val="1"/>
          <w:numId w:val="37"/>
        </w:numPr>
        <w:tabs>
          <w:tab w:val="left" w:pos="1319"/>
        </w:tabs>
        <w:spacing w:before="121"/>
      </w:pPr>
      <w:bookmarkStart w:id="64" w:name="_bookmark140"/>
      <w:bookmarkEnd w:id="64"/>
      <w:r>
        <w:rPr>
          <w:rFonts w:hint="eastAsia"/>
        </w:rPr>
        <w:t>监理人的质量检查</w:t>
      </w:r>
      <w:r>
        <w:t xml:space="preserve"> </w:t>
      </w:r>
    </w:p>
    <w:p>
      <w:pPr>
        <w:pStyle w:val="8"/>
        <w:spacing w:before="9"/>
      </w:pPr>
    </w:p>
    <w:p>
      <w:pPr>
        <w:pStyle w:val="8"/>
        <w:spacing w:line="364" w:lineRule="auto"/>
        <w:ind w:left="838" w:right="1793" w:firstLine="420"/>
      </w:pPr>
      <w:r>
        <w:rPr>
          <w:rFonts w:hint="eastAsia"/>
          <w:spacing w:val="-6"/>
        </w:rPr>
        <w:t>承包人应当为监理人的检查和检验提供方便，监理人可以进行察看和查阅施工原始记录</w:t>
      </w:r>
      <w:r>
        <w:rPr>
          <w:rFonts w:hint="eastAsia"/>
        </w:rPr>
        <w:t>的其他地方包括：</w:t>
      </w:r>
      <w:r>
        <w:rPr>
          <w:u w:val="single"/>
        </w:rPr>
        <w:t xml:space="preserve"> </w:t>
      </w:r>
      <w:r>
        <w:rPr>
          <w:rFonts w:hint="eastAsia"/>
          <w:u w:val="single"/>
        </w:rPr>
        <w:t>主要材料设备供应厂家、法律法规要求的监理人需驻场的地点。</w:t>
      </w:r>
      <w:r>
        <w:rPr>
          <w:u w:val="single"/>
        </w:rPr>
        <w:t xml:space="preserve">  </w:t>
      </w:r>
      <w:r>
        <w:t xml:space="preserve"> </w:t>
      </w:r>
    </w:p>
    <w:p>
      <w:pPr>
        <w:pStyle w:val="7"/>
        <w:numPr>
          <w:ilvl w:val="1"/>
          <w:numId w:val="37"/>
        </w:numPr>
        <w:tabs>
          <w:tab w:val="left" w:pos="1319"/>
        </w:tabs>
        <w:spacing w:before="119"/>
      </w:pPr>
      <w:bookmarkStart w:id="65" w:name="_bookmark141"/>
      <w:bookmarkEnd w:id="65"/>
      <w:r>
        <w:rPr>
          <w:rFonts w:hint="eastAsia"/>
        </w:rPr>
        <w:t>工程隐蔽部位覆盖前的检查</w:t>
      </w:r>
      <w:r>
        <w:t xml:space="preserve"> </w:t>
      </w:r>
    </w:p>
    <w:p>
      <w:pPr>
        <w:pStyle w:val="8"/>
        <w:spacing w:before="9"/>
      </w:pPr>
    </w:p>
    <w:p>
      <w:pPr>
        <w:pStyle w:val="8"/>
        <w:ind w:left="1258"/>
      </w:pPr>
      <w:r>
        <w:t xml:space="preserve">13.5.1 </w:t>
      </w:r>
      <w:r>
        <w:rPr>
          <w:rFonts w:hint="eastAsia"/>
        </w:rPr>
        <w:t>监理人对工程隐蔽部位进行检查的期限：</w:t>
      </w:r>
      <w:r>
        <w:rPr>
          <w:u w:val="single"/>
        </w:rPr>
        <w:t xml:space="preserve">  </w:t>
      </w:r>
      <w:r>
        <w:rPr>
          <w:rFonts w:hint="eastAsia"/>
          <w:u w:val="single"/>
        </w:rPr>
        <w:t>收到承包人的检查通知后</w:t>
      </w:r>
      <w:r>
        <w:rPr>
          <w:u w:val="single"/>
        </w:rPr>
        <w:t>24</w:t>
      </w:r>
      <w:r>
        <w:rPr>
          <w:rFonts w:hint="eastAsia"/>
          <w:u w:val="single"/>
        </w:rPr>
        <w:t>小内</w:t>
      </w:r>
      <w:r>
        <w:rPr>
          <w:u w:val="single"/>
        </w:rPr>
        <w:t xml:space="preserve">  </w:t>
      </w:r>
      <w:r>
        <w:t xml:space="preserve"> </w:t>
      </w:r>
    </w:p>
    <w:p>
      <w:pPr>
        <w:pStyle w:val="8"/>
        <w:spacing w:before="10"/>
        <w:rPr>
          <w:sz w:val="15"/>
        </w:rPr>
      </w:pPr>
    </w:p>
    <w:p>
      <w:pPr>
        <w:pStyle w:val="6"/>
        <w:numPr>
          <w:ilvl w:val="0"/>
          <w:numId w:val="38"/>
        </w:numPr>
        <w:tabs>
          <w:tab w:val="left" w:pos="1260"/>
        </w:tabs>
      </w:pPr>
      <w:bookmarkStart w:id="66" w:name="_bookmark142"/>
      <w:bookmarkEnd w:id="66"/>
      <w:r>
        <w:rPr>
          <w:rFonts w:hint="eastAsia"/>
        </w:rPr>
        <w:t>变更</w:t>
      </w:r>
      <w:r>
        <w:t xml:space="preserve"> </w:t>
      </w:r>
    </w:p>
    <w:p>
      <w:pPr>
        <w:pStyle w:val="8"/>
        <w:spacing w:before="11"/>
        <w:rPr>
          <w:sz w:val="23"/>
        </w:rPr>
      </w:pPr>
    </w:p>
    <w:p>
      <w:pPr>
        <w:pStyle w:val="7"/>
        <w:numPr>
          <w:ilvl w:val="1"/>
          <w:numId w:val="38"/>
        </w:numPr>
        <w:tabs>
          <w:tab w:val="left" w:pos="1319"/>
        </w:tabs>
        <w:spacing w:before="0"/>
      </w:pPr>
      <w:bookmarkStart w:id="67" w:name="_bookmark143"/>
      <w:bookmarkEnd w:id="67"/>
      <w:r>
        <w:rPr>
          <w:rFonts w:hint="eastAsia"/>
        </w:rPr>
        <w:t>变更的范围和内容</w:t>
      </w:r>
      <w:r>
        <w:t xml:space="preserve"> </w:t>
      </w:r>
    </w:p>
    <w:p>
      <w:pPr>
        <w:pStyle w:val="8"/>
        <w:spacing w:before="9"/>
      </w:pPr>
    </w:p>
    <w:p>
      <w:pPr>
        <w:pStyle w:val="33"/>
        <w:numPr>
          <w:ilvl w:val="2"/>
          <w:numId w:val="38"/>
        </w:numPr>
        <w:tabs>
          <w:tab w:val="left" w:pos="1942"/>
        </w:tabs>
        <w:rPr>
          <w:sz w:val="21"/>
        </w:rPr>
      </w:pPr>
      <w:r>
        <w:rPr>
          <w:rFonts w:hint="eastAsia"/>
          <w:sz w:val="21"/>
        </w:rPr>
        <w:t>在履行合同中发生以下情形之一，应按照本条规定进行变更。</w:t>
      </w:r>
      <w:r>
        <w:rPr>
          <w:sz w:val="21"/>
        </w:rPr>
        <w:t xml:space="preserve"> </w:t>
      </w:r>
    </w:p>
    <w:p>
      <w:pPr>
        <w:pStyle w:val="8"/>
        <w:spacing w:before="139"/>
        <w:ind w:left="878" w:leftChars="286" w:right="1709" w:hanging="249" w:hangingChars="119"/>
        <w:jc w:val="both"/>
      </w:pPr>
      <w:r>
        <w:rPr>
          <w:rFonts w:hint="eastAsia"/>
        </w:rPr>
        <w:t>（</w:t>
      </w:r>
      <w:r>
        <w:t>6</w:t>
      </w:r>
      <w:r>
        <w:rPr>
          <w:rFonts w:hint="eastAsia"/>
        </w:rPr>
        <w:t>）变更的其他情形：</w:t>
      </w:r>
      <w:r>
        <w:rPr>
          <w:u w:val="single"/>
        </w:rPr>
        <w:t xml:space="preserve">  </w:t>
      </w:r>
      <w:r>
        <w:rPr>
          <w:rFonts w:hint="eastAsia"/>
          <w:u w:val="single"/>
        </w:rPr>
        <w:t>发包人认为有必要时，经上报主管部门和各职能部门确认，设计单位同意并提供相应的变更设计施工图纸后，可对本合同工程或其他任何部分的结构形式、质量、等级或数量作出变更，发包人有权指令承包人进行变更、增加或取消。上述变更不应使合同作废或无效。所有这类变更</w:t>
      </w:r>
      <w:r>
        <w:rPr>
          <w:u w:val="single"/>
        </w:rPr>
        <w:t>(</w:t>
      </w:r>
      <w:r>
        <w:rPr>
          <w:rFonts w:hint="eastAsia"/>
          <w:u w:val="single"/>
        </w:rPr>
        <w:t>如果有</w:t>
      </w:r>
      <w:r>
        <w:rPr>
          <w:u w:val="single"/>
        </w:rPr>
        <w:t>)</w:t>
      </w:r>
      <w:r>
        <w:rPr>
          <w:rFonts w:hint="eastAsia"/>
          <w:u w:val="single"/>
        </w:rPr>
        <w:t>的结果应该根据专用合同条款第</w:t>
      </w:r>
      <w:r>
        <w:rPr>
          <w:u w:val="single"/>
        </w:rPr>
        <w:t>15.4</w:t>
      </w:r>
      <w:r>
        <w:rPr>
          <w:rFonts w:hint="eastAsia"/>
          <w:u w:val="single"/>
        </w:rPr>
        <w:t>条规定予以作价。但是，如果发出本工程的变更指令</w:t>
      </w:r>
      <w:r>
        <w:rPr>
          <w:u w:val="single"/>
        </w:rPr>
        <w:t>(</w:t>
      </w:r>
      <w:r>
        <w:rPr>
          <w:rFonts w:hint="eastAsia"/>
          <w:u w:val="single"/>
        </w:rPr>
        <w:t>简称变更令</w:t>
      </w:r>
      <w:r>
        <w:rPr>
          <w:u w:val="single"/>
        </w:rPr>
        <w:t>)</w:t>
      </w:r>
      <w:r>
        <w:rPr>
          <w:rFonts w:hint="eastAsia"/>
          <w:u w:val="single"/>
        </w:rPr>
        <w:t>是因承包人过错、承包人违反合同或承包人造成的，则这种违约引起的任何额外费用应由承包人承担。</w:t>
      </w:r>
      <w:r>
        <w:rPr>
          <w:u w:val="single"/>
        </w:rPr>
        <w:t xml:space="preserve">  </w:t>
      </w:r>
      <w:r>
        <w:t xml:space="preserve"> </w:t>
      </w:r>
    </w:p>
    <w:p>
      <w:pPr>
        <w:pStyle w:val="8"/>
        <w:spacing w:before="140"/>
        <w:ind w:right="1709"/>
        <w:jc w:val="right"/>
      </w:pP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t xml:space="preserve"> </w:t>
      </w:r>
    </w:p>
    <w:p>
      <w:pPr>
        <w:pStyle w:val="8"/>
        <w:spacing w:before="2"/>
        <w:rPr>
          <w:sz w:val="15"/>
        </w:rPr>
      </w:pPr>
    </w:p>
    <w:p>
      <w:pPr>
        <w:pStyle w:val="7"/>
        <w:numPr>
          <w:ilvl w:val="1"/>
          <w:numId w:val="39"/>
        </w:numPr>
        <w:tabs>
          <w:tab w:val="left" w:pos="1319"/>
        </w:tabs>
      </w:pPr>
      <w:bookmarkStart w:id="68" w:name="_bookmark144"/>
      <w:bookmarkEnd w:id="68"/>
      <w:r>
        <w:rPr>
          <w:rFonts w:hint="eastAsia"/>
        </w:rPr>
        <w:t>变更程序</w:t>
      </w:r>
      <w:r>
        <w:t xml:space="preserve"> </w:t>
      </w:r>
    </w:p>
    <w:p>
      <w:pPr>
        <w:pStyle w:val="8"/>
        <w:spacing w:before="9"/>
      </w:pPr>
    </w:p>
    <w:p>
      <w:pPr>
        <w:pStyle w:val="8"/>
        <w:ind w:left="1258"/>
      </w:pPr>
      <w:r>
        <w:t xml:space="preserve">15.3.2 </w:t>
      </w:r>
      <w:r>
        <w:rPr>
          <w:rFonts w:hint="eastAsia"/>
        </w:rPr>
        <w:t>变更估价</w:t>
      </w:r>
      <w:r>
        <w:t xml:space="preserve"> </w:t>
      </w:r>
    </w:p>
    <w:p>
      <w:pPr>
        <w:pStyle w:val="8"/>
        <w:spacing w:before="8"/>
        <w:ind w:firstLine="630" w:firstLineChars="300"/>
        <w:rPr>
          <w:sz w:val="14"/>
        </w:rPr>
      </w:pPr>
      <w:r>
        <w:rPr>
          <w:rFonts w:hint="eastAsia"/>
        </w:rPr>
        <w:t>（</w:t>
      </w:r>
      <w:r>
        <w:t>1</w:t>
      </w:r>
      <w:r>
        <w:rPr>
          <w:rFonts w:hint="eastAsia"/>
        </w:rPr>
        <w:t>）承包人提交变更报价书的期限：</w:t>
      </w:r>
      <w:r>
        <w:rPr>
          <w:u w:val="single"/>
        </w:rPr>
        <w:t xml:space="preserve"> </w:t>
      </w:r>
      <w:r>
        <w:rPr>
          <w:rFonts w:hint="eastAsia"/>
          <w:u w:val="single"/>
        </w:rPr>
        <w:t>承包人收到变更指示或变更意向书后的</w:t>
      </w:r>
      <w:r>
        <w:rPr>
          <w:u w:val="single"/>
        </w:rPr>
        <w:t>14</w:t>
      </w:r>
      <w:r>
        <w:rPr>
          <w:rFonts w:hint="eastAsia"/>
          <w:u w:val="single"/>
        </w:rPr>
        <w:t>天内。</w:t>
      </w:r>
      <w:r>
        <w:rPr>
          <w:u w:val="single"/>
        </w:rPr>
        <w:t xml:space="preserve"> </w:t>
      </w:r>
    </w:p>
    <w:p>
      <w:pPr>
        <w:pStyle w:val="8"/>
        <w:spacing w:before="70"/>
        <w:ind w:firstLine="630" w:firstLineChars="300"/>
      </w:pPr>
      <w:r>
        <w:rPr>
          <w:rFonts w:hint="eastAsia"/>
        </w:rPr>
        <w:t>（</w:t>
      </w:r>
      <w:r>
        <w:t>3</w:t>
      </w:r>
      <w:r>
        <w:rPr>
          <w:rFonts w:hint="eastAsia"/>
        </w:rPr>
        <w:t>）监理人商定或确定变更价格的期限：</w:t>
      </w:r>
      <w:r>
        <w:rPr>
          <w:u w:val="single"/>
        </w:rPr>
        <w:t xml:space="preserve"> </w:t>
      </w:r>
      <w:r>
        <w:rPr>
          <w:rFonts w:hint="eastAsia"/>
          <w:u w:val="single"/>
        </w:rPr>
        <w:t>监理人收到承包人变更报价书后的</w:t>
      </w:r>
      <w:r>
        <w:rPr>
          <w:u w:val="single"/>
        </w:rPr>
        <w:t>14</w:t>
      </w:r>
      <w:r>
        <w:rPr>
          <w:rFonts w:hint="eastAsia"/>
          <w:u w:val="single"/>
        </w:rPr>
        <w:t>天内。</w:t>
      </w:r>
      <w:r>
        <w:rPr>
          <w:u w:val="single"/>
        </w:rPr>
        <w:t xml:space="preserve"> </w:t>
      </w:r>
      <w:r>
        <w:t xml:space="preserve"> </w:t>
      </w:r>
    </w:p>
    <w:p>
      <w:pPr>
        <w:pStyle w:val="8"/>
        <w:spacing w:before="2"/>
        <w:rPr>
          <w:sz w:val="15"/>
        </w:rPr>
      </w:pPr>
    </w:p>
    <w:p>
      <w:pPr>
        <w:pStyle w:val="7"/>
        <w:numPr>
          <w:ilvl w:val="1"/>
          <w:numId w:val="39"/>
        </w:numPr>
        <w:tabs>
          <w:tab w:val="left" w:pos="1319"/>
        </w:tabs>
      </w:pPr>
      <w:bookmarkStart w:id="69" w:name="_bookmark145"/>
      <w:bookmarkEnd w:id="69"/>
      <w:r>
        <w:rPr>
          <w:rFonts w:hint="eastAsia"/>
        </w:rPr>
        <w:t>变更的估价原则</w:t>
      </w:r>
      <w:r>
        <w:t xml:space="preserve"> </w:t>
      </w:r>
    </w:p>
    <w:p>
      <w:pPr>
        <w:pStyle w:val="8"/>
        <w:spacing w:before="9"/>
      </w:pPr>
    </w:p>
    <w:p>
      <w:pPr>
        <w:pStyle w:val="8"/>
        <w:spacing w:line="364" w:lineRule="auto"/>
        <w:ind w:left="838" w:right="1793" w:firstLine="420"/>
        <w:jc w:val="both"/>
      </w:pPr>
      <w:r>
        <w:t>15.4.5</w:t>
      </w:r>
      <w:r>
        <w:rPr>
          <w:spacing w:val="-5"/>
        </w:rPr>
        <w:t xml:space="preserve"> </w:t>
      </w:r>
      <w:r>
        <w:rPr>
          <w:rFonts w:hint="eastAsia"/>
          <w:spacing w:val="-5"/>
        </w:rPr>
        <w:t>合同协议书约定采用单价合同形式时，因非承包人原因引起已标价工程量清单</w:t>
      </w:r>
      <w:r>
        <w:rPr>
          <w:rFonts w:hint="eastAsia"/>
        </w:rPr>
        <w:t>中列明的工程量发生增减，且单个子目工程量变化幅度在</w:t>
      </w:r>
      <w:r>
        <w:rPr>
          <w:u w:val="single"/>
        </w:rPr>
        <w:t xml:space="preserve"> </w:t>
      </w:r>
      <w:r>
        <w:rPr>
          <w:u w:val="single"/>
          <w:lang w:val="en-US" w:eastAsia="zh-CN"/>
        </w:rPr>
        <w:t>15</w:t>
      </w:r>
      <w:r>
        <w:rPr>
          <w:u w:val="single"/>
        </w:rPr>
        <w:t xml:space="preserve"> </w:t>
      </w:r>
      <w:r>
        <w:rPr>
          <w:spacing w:val="1"/>
        </w:rPr>
        <w:t xml:space="preserve"> %</w:t>
      </w:r>
      <w:r>
        <w:rPr>
          <w:rFonts w:hint="eastAsia"/>
          <w:spacing w:val="1"/>
        </w:rPr>
        <w:t>以内</w:t>
      </w:r>
      <w:r>
        <w:rPr>
          <w:rFonts w:hint="eastAsia"/>
        </w:rPr>
        <w:t>（含）时，应执行已标价工程量清单中列明的该子目的单价；单个子目工程量变化幅度在</w:t>
      </w:r>
      <w:r>
        <w:rPr>
          <w:u w:val="single"/>
        </w:rPr>
        <w:t xml:space="preserve"> </w:t>
      </w:r>
      <w:r>
        <w:rPr>
          <w:u w:val="single"/>
          <w:lang w:val="en-US" w:eastAsia="zh-CN"/>
        </w:rPr>
        <w:t>15</w:t>
      </w:r>
      <w:r>
        <w:rPr>
          <w:u w:val="single"/>
        </w:rPr>
        <w:t xml:space="preserve"> </w:t>
      </w:r>
      <w:r>
        <w:rPr>
          <w:spacing w:val="1"/>
        </w:rPr>
        <w:t xml:space="preserve"> %</w:t>
      </w:r>
      <w:r>
        <w:rPr>
          <w:rFonts w:hint="eastAsia"/>
          <w:spacing w:val="1"/>
        </w:rPr>
        <w:t>以外</w:t>
      </w:r>
      <w:r>
        <w:rPr>
          <w:rFonts w:hint="eastAsia"/>
        </w:rPr>
        <w:t>（不含</w:t>
      </w:r>
      <w:r>
        <w:rPr>
          <w:rFonts w:hint="eastAsia"/>
          <w:spacing w:val="-75"/>
        </w:rPr>
        <w:t>）</w:t>
      </w:r>
      <w:r>
        <w:rPr>
          <w:rFonts w:hint="eastAsia"/>
          <w:spacing w:val="-9"/>
        </w:rPr>
        <w:t>，且导致分部分项工程费总额变化幅度超过</w:t>
      </w:r>
      <w:r>
        <w:rPr>
          <w:spacing w:val="-8"/>
          <w:u w:val="single"/>
          <w:lang w:val="en-US" w:eastAsia="zh-CN"/>
        </w:rPr>
        <w:t>1</w:t>
      </w:r>
      <w:r>
        <w:rPr>
          <w:spacing w:val="-8"/>
          <w:u w:val="single"/>
        </w:rPr>
        <w:t>%</w:t>
      </w:r>
      <w:r>
        <w:rPr>
          <w:rFonts w:hint="eastAsia"/>
          <w:spacing w:val="-8"/>
        </w:rPr>
        <w:t>时，由承包人提出并由监理人按第</w:t>
      </w:r>
    </w:p>
    <w:p>
      <w:pPr>
        <w:pStyle w:val="8"/>
        <w:spacing w:line="268" w:lineRule="exact"/>
        <w:ind w:left="838"/>
        <w:jc w:val="both"/>
      </w:pPr>
      <w:r>
        <w:t xml:space="preserve">3.5 </w:t>
      </w:r>
      <w:r>
        <w:rPr>
          <w:rFonts w:hint="eastAsia"/>
        </w:rPr>
        <w:t>款商定或确定新的单价，该子目按修正后的新的单价计价。</w:t>
      </w:r>
      <w:r>
        <w:t xml:space="preserve"> </w:t>
      </w:r>
    </w:p>
    <w:p>
      <w:pPr>
        <w:pStyle w:val="8"/>
        <w:spacing w:before="140"/>
        <w:ind w:left="880" w:leftChars="400" w:right="1707" w:firstLine="168" w:firstLineChars="80"/>
        <w:jc w:val="both"/>
        <w:rPr>
          <w:u w:val="single"/>
        </w:rPr>
      </w:pPr>
      <w:r>
        <w:t xml:space="preserve">15.4.6 </w:t>
      </w:r>
      <w:r>
        <w:rPr>
          <w:rFonts w:hint="eastAsia"/>
        </w:rPr>
        <w:t>因变更引起价格调整的其他处理方式：</w:t>
      </w:r>
      <w:r>
        <w:rPr>
          <w:u w:val="single"/>
        </w:rPr>
        <w:t xml:space="preserve"> </w:t>
      </w:r>
      <w:r>
        <w:rPr>
          <w:rFonts w:hint="eastAsia"/>
          <w:u w:val="single"/>
        </w:rPr>
        <w:t>对于清单漏项（指在合同承包范围内的工作内容，且计价规范中有单独列项的要求，或按计价规范要求应当单独列项，但清单中没有单独列项的项目）及新增项目在合同文件中没有适用或类似于变更工作的价格若原合同中已有适用的综合单价，按合同中已有的综合单价确定；若原合同中有类似的综合单价，参照类似综合单价确定；若原合同中没有适用或类似的综合单价，由承包人提出综合单价，经发包人确认后执行。其组价原则为：</w:t>
      </w:r>
    </w:p>
    <w:p>
      <w:pPr>
        <w:pStyle w:val="8"/>
        <w:spacing w:before="140"/>
        <w:ind w:left="880" w:leftChars="400" w:right="1707" w:firstLine="168" w:firstLineChars="80"/>
        <w:jc w:val="both"/>
        <w:rPr>
          <w:u w:val="single"/>
        </w:rPr>
      </w:pPr>
    </w:p>
    <w:p>
      <w:pPr>
        <w:pStyle w:val="8"/>
        <w:spacing w:before="140"/>
        <w:ind w:left="880" w:leftChars="400" w:right="1707" w:firstLine="168" w:firstLineChars="80"/>
        <w:jc w:val="both"/>
        <w:rPr>
          <w:u w:val="single"/>
        </w:rPr>
      </w:pPr>
      <w:r>
        <w:rPr>
          <w:u w:val="single"/>
        </w:rPr>
        <w:t>1</w:t>
      </w:r>
      <w:r>
        <w:rPr>
          <w:rFonts w:hint="eastAsia"/>
          <w:u w:val="single"/>
        </w:rPr>
        <w:t>）已中标的工程量清单中已有相应的人工、材料、机械消耗量的，按照已有的执行；如果没有，依据《</w:t>
      </w:r>
      <w:r>
        <w:rPr>
          <w:u w:val="single"/>
        </w:rPr>
        <w:t>2012</w:t>
      </w:r>
      <w:r>
        <w:rPr>
          <w:rFonts w:hint="eastAsia"/>
          <w:u w:val="single"/>
        </w:rPr>
        <w:t>年北京市建设工程预算定额》确定。</w:t>
      </w:r>
    </w:p>
    <w:p>
      <w:pPr>
        <w:pStyle w:val="8"/>
        <w:spacing w:before="140"/>
        <w:ind w:left="880" w:leftChars="400" w:right="1707" w:firstLine="168" w:firstLineChars="80"/>
        <w:jc w:val="both"/>
        <w:rPr>
          <w:u w:val="single"/>
        </w:rPr>
      </w:pPr>
      <w:r>
        <w:rPr>
          <w:u w:val="single"/>
        </w:rPr>
        <w:t>2</w:t>
      </w:r>
      <w:r>
        <w:rPr>
          <w:rFonts w:hint="eastAsia"/>
          <w:u w:val="single"/>
        </w:rPr>
        <w:t>）已中标的工程量清单中已有相应的人工、材料和机械价格，按照已有的执行；如果没有，清单漏项的人工、材料价格按投标期的《北京市工程造价信息》中的价格确定，若价格为区间值，则取区间平均值，机械及其他材料按定额执行；新增项目的人工、材料、机械价格按项目发生当期的《北京市工程造价信息》中的价格确定，若价格为区间值，则取区间平均值，机械及其他材料按定额执行。</w:t>
      </w:r>
    </w:p>
    <w:p>
      <w:pPr>
        <w:pStyle w:val="8"/>
        <w:spacing w:before="140"/>
        <w:ind w:left="880" w:leftChars="400" w:right="1707" w:firstLine="168" w:firstLineChars="80"/>
        <w:jc w:val="both"/>
        <w:rPr>
          <w:u w:val="single"/>
        </w:rPr>
      </w:pPr>
      <w:r>
        <w:rPr>
          <w:u w:val="single"/>
        </w:rPr>
        <w:t>3</w:t>
      </w:r>
      <w:r>
        <w:rPr>
          <w:rFonts w:hint="eastAsia"/>
          <w:u w:val="single"/>
        </w:rPr>
        <w:t>）综合单价中的各项取费标准按相应项目原投标费率确定。</w:t>
      </w:r>
    </w:p>
    <w:p>
      <w:pPr>
        <w:pStyle w:val="8"/>
        <w:spacing w:before="140"/>
        <w:ind w:left="880" w:leftChars="400" w:right="1707" w:firstLine="168" w:firstLineChars="80"/>
        <w:jc w:val="both"/>
        <w:rPr>
          <w:u w:val="single"/>
        </w:rPr>
      </w:pPr>
      <w:r>
        <w:rPr>
          <w:u w:val="single"/>
        </w:rPr>
        <w:t>4</w:t>
      </w:r>
      <w:r>
        <w:rPr>
          <w:rFonts w:hint="eastAsia"/>
          <w:u w:val="single"/>
        </w:rPr>
        <w:t>）商品混凝土及预拌砂浆的价格包括各种外加剂，不另行计算外加剂费用。</w:t>
      </w:r>
    </w:p>
    <w:p>
      <w:pPr>
        <w:pStyle w:val="8"/>
        <w:spacing w:before="140"/>
        <w:ind w:left="880" w:leftChars="400" w:right="1707" w:firstLine="168" w:firstLineChars="80"/>
        <w:jc w:val="both"/>
      </w:pPr>
      <w:r>
        <w:rPr>
          <w:u w:val="single"/>
        </w:rPr>
        <w:t>5</w:t>
      </w:r>
      <w:r>
        <w:rPr>
          <w:rFonts w:hint="eastAsia"/>
          <w:u w:val="single"/>
        </w:rPr>
        <w:t>）合同范围内和合同范围外的专业工程若转为总承包自施，则不再计取总包服务费，且价格水平参照投标报价综合单价执行。</w:t>
      </w:r>
      <w:r>
        <w:rPr>
          <w:u w:val="single"/>
        </w:rPr>
        <w:t xml:space="preserve">  </w:t>
      </w:r>
      <w:r>
        <w:t xml:space="preserve"> </w:t>
      </w:r>
    </w:p>
    <w:p>
      <w:pPr>
        <w:pStyle w:val="8"/>
        <w:spacing w:before="139"/>
        <w:ind w:left="880" w:leftChars="400" w:right="1709" w:firstLine="168" w:firstLineChars="80"/>
        <w:jc w:val="right"/>
      </w:pPr>
      <w:r>
        <w:rPr>
          <w:u w:val="single"/>
        </w:rPr>
        <w:t xml:space="preserve">                     </w:t>
      </w:r>
      <w:r>
        <w:rPr>
          <w:spacing w:val="-2"/>
          <w:u w:val="single"/>
        </w:rPr>
        <w:t xml:space="preserve"> </w:t>
      </w:r>
      <w:r>
        <w:rPr>
          <w:u w:val="single"/>
        </w:rPr>
        <w:t xml:space="preserve">                     </w:t>
      </w:r>
      <w:r>
        <w:rPr>
          <w:spacing w:val="-2"/>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2"/>
          <w:u w:val="single"/>
        </w:rPr>
        <w:t xml:space="preserve"> </w:t>
      </w:r>
      <w:r>
        <w:rPr>
          <w:spacing w:val="1"/>
          <w:u w:val="single"/>
        </w:rPr>
        <w:t xml:space="preserve"> </w:t>
      </w:r>
      <w:r>
        <w:rPr>
          <w:spacing w:val="-1"/>
          <w:u w:val="single"/>
        </w:rPr>
        <w:t xml:space="preserve"> </w:t>
      </w:r>
      <w:r>
        <w:t xml:space="preserve"> </w:t>
      </w:r>
    </w:p>
    <w:p>
      <w:pPr>
        <w:pStyle w:val="8"/>
        <w:spacing w:before="3"/>
        <w:rPr>
          <w:sz w:val="15"/>
        </w:rPr>
      </w:pPr>
    </w:p>
    <w:p>
      <w:pPr>
        <w:pStyle w:val="7"/>
        <w:spacing w:before="67"/>
        <w:ind w:left="838"/>
      </w:pPr>
      <w:bookmarkStart w:id="70" w:name="_bookmark146"/>
      <w:bookmarkEnd w:id="70"/>
      <w:r>
        <w:t xml:space="preserve">15.5 </w:t>
      </w:r>
      <w:r>
        <w:rPr>
          <w:rFonts w:hint="eastAsia"/>
        </w:rPr>
        <w:t>承包人的合理化建议</w:t>
      </w:r>
      <w:r>
        <w:t xml:space="preserve"> </w:t>
      </w:r>
    </w:p>
    <w:p>
      <w:pPr>
        <w:pStyle w:val="8"/>
        <w:spacing w:before="8"/>
      </w:pPr>
    </w:p>
    <w:p>
      <w:pPr>
        <w:pStyle w:val="8"/>
        <w:spacing w:before="1"/>
        <w:ind w:right="1707" w:firstLine="840" w:firstLineChars="400"/>
        <w:jc w:val="both"/>
      </w:pPr>
      <w:r>
        <w:t xml:space="preserve">15.5.2 </w:t>
      </w:r>
      <w:r>
        <w:rPr>
          <w:rFonts w:hint="eastAsia"/>
        </w:rPr>
        <w:t>对承包人提出合理化建议的奖励方法：</w:t>
      </w:r>
      <w:r>
        <w:rPr>
          <w:u w:val="single"/>
        </w:rPr>
        <w:t xml:space="preserve">   </w:t>
      </w:r>
      <w:r>
        <w:rPr>
          <w:u w:val="single"/>
          <w:lang w:val="en-US" w:eastAsia="zh-CN"/>
        </w:rPr>
        <w:t>/</w:t>
      </w:r>
      <w:r>
        <w:rPr>
          <w:u w:val="single"/>
        </w:rPr>
        <w:t xml:space="preserve">  </w:t>
      </w:r>
      <w:r>
        <w:t xml:space="preserve"> </w:t>
      </w:r>
    </w:p>
    <w:p>
      <w:pPr>
        <w:pStyle w:val="8"/>
        <w:spacing w:before="139"/>
        <w:ind w:right="1709"/>
        <w:jc w:val="right"/>
      </w:pP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t xml:space="preserve"> </w:t>
      </w:r>
    </w:p>
    <w:p>
      <w:pPr>
        <w:pStyle w:val="8"/>
        <w:spacing w:before="8"/>
        <w:rPr>
          <w:sz w:val="15"/>
        </w:rPr>
      </w:pPr>
    </w:p>
    <w:p>
      <w:pPr>
        <w:pStyle w:val="6"/>
        <w:numPr>
          <w:ilvl w:val="0"/>
          <w:numId w:val="38"/>
        </w:numPr>
        <w:tabs>
          <w:tab w:val="left" w:pos="1260"/>
        </w:tabs>
      </w:pPr>
      <w:bookmarkStart w:id="71" w:name="_bookmark147"/>
      <w:bookmarkEnd w:id="71"/>
      <w:r>
        <w:rPr>
          <w:rFonts w:hint="eastAsia"/>
        </w:rPr>
        <w:t>价格调整</w:t>
      </w:r>
      <w:r>
        <w:t xml:space="preserve"> </w:t>
      </w:r>
    </w:p>
    <w:p>
      <w:pPr>
        <w:pStyle w:val="8"/>
        <w:spacing w:before="11"/>
        <w:rPr>
          <w:sz w:val="23"/>
        </w:rPr>
      </w:pPr>
    </w:p>
    <w:p>
      <w:pPr>
        <w:pStyle w:val="7"/>
        <w:numPr>
          <w:ilvl w:val="1"/>
          <w:numId w:val="38"/>
        </w:numPr>
        <w:tabs>
          <w:tab w:val="left" w:pos="1319"/>
        </w:tabs>
        <w:spacing w:before="0"/>
      </w:pPr>
      <w:bookmarkStart w:id="72" w:name="_bookmark148"/>
      <w:bookmarkEnd w:id="72"/>
      <w:r>
        <w:rPr>
          <w:rFonts w:hint="eastAsia"/>
        </w:rPr>
        <w:t>物价波动引起的价格调整</w:t>
      </w:r>
      <w:r>
        <w:t xml:space="preserve"> </w:t>
      </w:r>
    </w:p>
    <w:p>
      <w:pPr>
        <w:pStyle w:val="8"/>
        <w:spacing w:before="9"/>
      </w:pPr>
    </w:p>
    <w:p>
      <w:pPr>
        <w:pStyle w:val="8"/>
        <w:spacing w:line="364" w:lineRule="auto"/>
        <w:ind w:left="1258" w:right="1708"/>
      </w:pPr>
      <w:r>
        <w:rPr>
          <w:rFonts w:hint="eastAsia"/>
        </w:rPr>
        <w:t>物价波动引起价格调整方法：</w:t>
      </w:r>
      <w:r>
        <w:rPr>
          <w:u w:val="single"/>
        </w:rPr>
        <w:t xml:space="preserve">  </w:t>
      </w:r>
      <w:r>
        <w:rPr>
          <w:rFonts w:hint="eastAsia"/>
          <w:u w:val="single"/>
        </w:rPr>
        <w:t>采用造价信息调整价格差额</w:t>
      </w:r>
      <w:r>
        <w:rPr>
          <w:u w:val="single"/>
        </w:rPr>
        <w:t xml:space="preserve">  </w:t>
      </w:r>
      <w:r>
        <w:t xml:space="preserve"> </w:t>
      </w:r>
    </w:p>
    <w:p>
      <w:pPr>
        <w:pStyle w:val="8"/>
        <w:spacing w:line="364" w:lineRule="auto"/>
        <w:ind w:left="1258" w:right="1708" w:firstLine="210" w:firstLineChars="100"/>
      </w:pPr>
      <w:r>
        <w:t xml:space="preserve">16.1.2 </w:t>
      </w:r>
      <w:r>
        <w:rPr>
          <w:rFonts w:hint="eastAsia"/>
        </w:rPr>
        <w:t>采用造价信息调整价格差额</w:t>
      </w:r>
      <w:r>
        <w:t xml:space="preserve"> </w:t>
      </w:r>
    </w:p>
    <w:p>
      <w:pPr>
        <w:pStyle w:val="33"/>
        <w:numPr>
          <w:ilvl w:val="3"/>
          <w:numId w:val="40"/>
        </w:numPr>
        <w:tabs>
          <w:tab w:val="left" w:pos="2309"/>
        </w:tabs>
        <w:spacing w:line="268" w:lineRule="exact"/>
        <w:rPr>
          <w:sz w:val="21"/>
        </w:rPr>
      </w:pPr>
      <w:r>
        <w:rPr>
          <w:rFonts w:hint="eastAsia"/>
          <w:sz w:val="21"/>
        </w:rPr>
        <w:t>引起价格调整的物价波动风险范围及幅度</w:t>
      </w:r>
      <w:r>
        <w:rPr>
          <w:sz w:val="21"/>
        </w:rPr>
        <w:t xml:space="preserve"> </w:t>
      </w:r>
    </w:p>
    <w:p>
      <w:pPr>
        <w:pStyle w:val="8"/>
        <w:spacing w:before="140" w:line="364" w:lineRule="auto"/>
        <w:ind w:left="1468" w:right="1603"/>
      </w:pPr>
      <w:r>
        <w:rPr>
          <w:rFonts w:hint="eastAsia"/>
        </w:rPr>
        <w:t>引起价格调整的物价波动风险范围：</w:t>
      </w:r>
      <w:r>
        <w:rPr>
          <w:u w:val="single"/>
        </w:rPr>
        <w:t xml:space="preserve">  </w:t>
      </w:r>
      <w:r>
        <w:rPr>
          <w:rFonts w:hint="eastAsia"/>
          <w:u w:val="single"/>
        </w:rPr>
        <w:t>钢材、预拌混凝土、电线、电缆在±</w:t>
      </w:r>
      <w:r>
        <w:rPr>
          <w:u w:val="single"/>
          <w:lang w:val="en-US" w:eastAsia="zh-CN"/>
        </w:rPr>
        <w:t>6</w:t>
      </w:r>
      <w:r>
        <w:rPr>
          <w:u w:val="single"/>
        </w:rPr>
        <w:t>%</w:t>
      </w:r>
      <w:r>
        <w:rPr>
          <w:rFonts w:hint="eastAsia"/>
          <w:u w:val="single"/>
        </w:rPr>
        <w:t>幅度区间内变动的风险，人工费在±</w:t>
      </w:r>
      <w:r>
        <w:rPr>
          <w:u w:val="single"/>
          <w:lang w:val="en-US" w:eastAsia="zh-CN"/>
        </w:rPr>
        <w:t>6</w:t>
      </w:r>
      <w:r>
        <w:rPr>
          <w:u w:val="single"/>
        </w:rPr>
        <w:t>%</w:t>
      </w:r>
      <w:r>
        <w:rPr>
          <w:rFonts w:hint="eastAsia"/>
          <w:u w:val="single"/>
        </w:rPr>
        <w:t>幅度区间内变动的风险。</w:t>
      </w:r>
      <w:r>
        <w:rPr>
          <w:u w:val="single"/>
        </w:rPr>
        <w:t xml:space="preserve"> </w:t>
      </w:r>
      <w:r>
        <w:t xml:space="preserve">  </w:t>
      </w:r>
    </w:p>
    <w:p>
      <w:pPr>
        <w:pStyle w:val="8"/>
        <w:spacing w:before="140" w:line="364" w:lineRule="auto"/>
        <w:ind w:left="1468" w:right="1603"/>
      </w:pPr>
      <w:r>
        <w:rPr>
          <w:rFonts w:hint="eastAsia"/>
        </w:rPr>
        <w:t>引起价格调整的物价波动风险幅度：</w:t>
      </w:r>
      <w:r>
        <w:rPr>
          <w:rFonts w:hint="eastAsia"/>
          <w:spacing w:val="50"/>
        </w:rPr>
        <w:t>±</w:t>
      </w:r>
      <w:r>
        <w:rPr>
          <w:spacing w:val="50"/>
          <w:lang w:val="en-US" w:eastAsia="zh-CN"/>
        </w:rPr>
        <w:t>6</w:t>
      </w:r>
      <w:r>
        <w:rPr>
          <w:spacing w:val="50"/>
        </w:rPr>
        <w:t xml:space="preserve">% </w:t>
      </w:r>
    </w:p>
    <w:p>
      <w:pPr>
        <w:pStyle w:val="33"/>
        <w:numPr>
          <w:ilvl w:val="3"/>
          <w:numId w:val="40"/>
        </w:numPr>
        <w:tabs>
          <w:tab w:val="left" w:pos="2310"/>
        </w:tabs>
        <w:spacing w:line="268" w:lineRule="exact"/>
        <w:ind w:hanging="842"/>
        <w:rPr>
          <w:sz w:val="21"/>
        </w:rPr>
      </w:pPr>
      <w:r>
        <w:rPr>
          <w:rFonts w:hint="eastAsia"/>
          <w:sz w:val="21"/>
        </w:rPr>
        <w:t>物价波动引起价格调整的风险幅度的计算方法</w:t>
      </w:r>
      <w:r>
        <w:rPr>
          <w:sz w:val="21"/>
        </w:rPr>
        <w:t xml:space="preserve"> </w:t>
      </w:r>
    </w:p>
    <w:p>
      <w:pPr>
        <w:pStyle w:val="8"/>
        <w:spacing w:before="139"/>
        <w:ind w:left="1468"/>
      </w:pPr>
      <w:r>
        <w:rPr>
          <w:rFonts w:hint="eastAsia"/>
        </w:rPr>
        <w:t>（</w:t>
      </w:r>
      <w:r>
        <w:t>1</w:t>
      </w:r>
      <w:r>
        <w:rPr>
          <w:rFonts w:hint="eastAsia"/>
        </w:rPr>
        <w:t>）投标报价基准期：</w:t>
      </w:r>
      <w:r>
        <w:rPr>
          <w:lang w:val="en-US" w:eastAsia="zh-CN"/>
        </w:rPr>
        <w:t xml:space="preserve"> </w:t>
      </w:r>
      <w:r>
        <w:rPr>
          <w:u w:val="single"/>
          <w:lang w:val="en-US" w:eastAsia="zh-CN"/>
        </w:rPr>
        <w:t xml:space="preserve"> </w:t>
      </w:r>
      <w:r>
        <w:rPr>
          <w:u w:val="single"/>
        </w:rPr>
        <w:t xml:space="preserve"> </w:t>
      </w:r>
      <w:r>
        <w:rPr>
          <w:rFonts w:hint="eastAsia"/>
        </w:rPr>
        <w:t>年</w:t>
      </w:r>
      <w:r>
        <w:rPr>
          <w:spacing w:val="104"/>
          <w:u w:val="single"/>
        </w:rPr>
        <w:t xml:space="preserve"> </w:t>
      </w:r>
      <w:r>
        <w:rPr>
          <w:rFonts w:hint="eastAsia"/>
        </w:rPr>
        <w:t>月。</w:t>
      </w:r>
      <w:r>
        <w:t xml:space="preserve"> </w:t>
      </w:r>
    </w:p>
    <w:p>
      <w:pPr>
        <w:pStyle w:val="8"/>
        <w:spacing w:before="139"/>
        <w:ind w:left="1468" w:right="1709" w:rightChars="777"/>
      </w:pPr>
      <w:r>
        <w:rPr>
          <w:rFonts w:hint="eastAsia"/>
        </w:rPr>
        <w:t>（</w:t>
      </w:r>
      <w:r>
        <w:t>2</w:t>
      </w:r>
      <w:r>
        <w:rPr>
          <w:rFonts w:hint="eastAsia"/>
          <w:spacing w:val="-105"/>
        </w:rPr>
        <w:t>）</w:t>
      </w:r>
      <w:r>
        <w:rPr>
          <w:rFonts w:hint="eastAsia"/>
          <w:spacing w:val="-1"/>
        </w:rPr>
        <w:t>《北京工程造价信息》市场价格信息中没有的，基准价的确定方法：</w:t>
      </w:r>
      <w:r>
        <w:rPr>
          <w:spacing w:val="-1"/>
        </w:rPr>
        <w:t xml:space="preserve"> </w:t>
      </w:r>
      <w:r>
        <w:rPr>
          <w:spacing w:val="-1"/>
          <w:u w:val="single"/>
        </w:rPr>
        <w:t xml:space="preserve"> </w:t>
      </w:r>
      <w:r>
        <w:rPr>
          <w:rFonts w:hint="eastAsia"/>
          <w:spacing w:val="-1"/>
          <w:u w:val="single"/>
        </w:rPr>
        <w:t>按发包人、承包人共同确认的市场价格为准。</w:t>
      </w:r>
      <w:r>
        <w:t xml:space="preserve"> </w:t>
      </w:r>
    </w:p>
    <w:p>
      <w:pPr>
        <w:pStyle w:val="8"/>
        <w:spacing w:before="140" w:line="364" w:lineRule="auto"/>
        <w:ind w:left="1468" w:right="1708"/>
        <w:rPr>
          <w:u w:val="single"/>
        </w:rPr>
      </w:pPr>
      <w:r>
        <w:rPr>
          <w:rFonts w:hint="eastAsia"/>
        </w:rPr>
        <w:t>（</w:t>
      </w:r>
      <w:r>
        <w:t>3</w:t>
      </w:r>
      <w:r>
        <w:rPr>
          <w:rFonts w:hint="eastAsia"/>
        </w:rPr>
        <w:t>）合同施工期市场价格的确定方法：</w:t>
      </w:r>
      <w:r>
        <w:rPr>
          <w:u w:val="single"/>
        </w:rPr>
        <w:t xml:space="preserve"> </w:t>
      </w:r>
      <w:r>
        <w:rPr>
          <w:rFonts w:hint="eastAsia"/>
          <w:u w:val="single"/>
        </w:rPr>
        <w:t>《北京工程造价信息》中有上、下限的，以下限为准，造价信息中没有的，按发包人确认的市场价格为准。</w:t>
      </w:r>
    </w:p>
    <w:p>
      <w:pPr>
        <w:pStyle w:val="8"/>
        <w:spacing w:before="140" w:line="364" w:lineRule="auto"/>
        <w:ind w:left="1468" w:right="1708"/>
      </w:pPr>
      <w:r>
        <w:t xml:space="preserve"> 16.1.2.3</w:t>
      </w:r>
      <w:r>
        <w:rPr>
          <w:spacing w:val="4"/>
        </w:rPr>
        <w:t xml:space="preserve"> </w:t>
      </w:r>
      <w:r>
        <w:rPr>
          <w:rFonts w:hint="eastAsia"/>
          <w:spacing w:val="4"/>
        </w:rPr>
        <w:t>物价波动引起价格调整的方法</w:t>
      </w:r>
      <w:r>
        <w:rPr>
          <w:spacing w:val="4"/>
        </w:rPr>
        <w:t xml:space="preserve"> </w:t>
      </w:r>
    </w:p>
    <w:p>
      <w:pPr>
        <w:pStyle w:val="8"/>
        <w:spacing w:before="140" w:line="364" w:lineRule="auto"/>
        <w:ind w:left="1536" w:leftChars="698" w:firstLine="27" w:firstLineChars="13"/>
      </w:pPr>
      <w:r>
        <w:rPr>
          <w:rFonts w:hint="eastAsia"/>
        </w:rPr>
        <w:t>（</w:t>
      </w:r>
      <w:r>
        <w:t>1</w:t>
      </w:r>
      <w:r>
        <w:rPr>
          <w:rFonts w:hint="eastAsia"/>
        </w:rPr>
        <w:t>）本工程单价调整的具体方法：</w:t>
      </w:r>
      <w:r>
        <w:rPr>
          <w:u w:val="single"/>
        </w:rPr>
        <w:t xml:space="preserve">  </w:t>
      </w:r>
      <w:r>
        <w:rPr>
          <w:rFonts w:hint="eastAsia"/>
          <w:u w:val="single"/>
        </w:rPr>
        <w:t>算数平均法</w:t>
      </w:r>
      <w:r>
        <w:rPr>
          <w:u w:val="single"/>
        </w:rPr>
        <w:t xml:space="preserve"> </w:t>
      </w:r>
      <w:r>
        <w:rPr>
          <w:spacing w:val="-1"/>
          <w:u w:val="single"/>
        </w:rPr>
        <w:t xml:space="preserve"> </w:t>
      </w:r>
      <w:r>
        <w:t xml:space="preserve"> </w:t>
      </w:r>
    </w:p>
    <w:p>
      <w:pPr>
        <w:pStyle w:val="8"/>
        <w:spacing w:before="140" w:line="364" w:lineRule="auto"/>
        <w:ind w:left="1507" w:leftChars="603" w:right="1489" w:rightChars="677" w:hanging="180" w:hangingChars="86"/>
      </w:pPr>
      <w:r>
        <w:t>16.1.2.4</w:t>
      </w:r>
      <w:r>
        <w:rPr>
          <w:spacing w:val="-1"/>
        </w:rPr>
        <w:t xml:space="preserve">  </w:t>
      </w:r>
      <w:r>
        <w:rPr>
          <w:rFonts w:hint="eastAsia"/>
          <w:spacing w:val="-1"/>
        </w:rPr>
        <w:t>其他约定：</w:t>
      </w:r>
      <w:r>
        <w:rPr>
          <w:spacing w:val="-1"/>
          <w:u w:val="single"/>
        </w:rPr>
        <w:t xml:space="preserve"> </w:t>
      </w:r>
      <w:r>
        <w:rPr>
          <w:rFonts w:hint="eastAsia"/>
          <w:spacing w:val="-1"/>
          <w:u w:val="single"/>
        </w:rPr>
        <w:t>当投标报价中可调范围单价低于基准期对应的造价信息价格时，施工期市场价的涨幅以基准期价格为基准确定，跌幅以投标报价为基准确定</w:t>
      </w:r>
      <w:r>
        <w:rPr>
          <w:spacing w:val="-1"/>
          <w:u w:val="single"/>
        </w:rPr>
        <w:t>;</w:t>
      </w:r>
      <w:r>
        <w:rPr>
          <w:rFonts w:hint="eastAsia"/>
          <w:spacing w:val="-1"/>
          <w:u w:val="single"/>
        </w:rPr>
        <w:t>当投标报价中可调范围单价高于基准期对应的造价信息价格时，施工期市场价的涨幅以投标报价为基准确定，跌幅以基准期价格确定</w:t>
      </w:r>
      <w:r>
        <w:rPr>
          <w:spacing w:val="-1"/>
          <w:u w:val="single"/>
        </w:rPr>
        <w:t xml:space="preserve"> </w:t>
      </w:r>
      <w:r>
        <w:t xml:space="preserve"> </w:t>
      </w:r>
    </w:p>
    <w:p>
      <w:pPr>
        <w:pStyle w:val="8"/>
        <w:spacing w:line="268" w:lineRule="exact"/>
        <w:ind w:left="1258"/>
      </w:pPr>
      <w:r>
        <w:t xml:space="preserve">16.1.3 </w:t>
      </w:r>
      <w:r>
        <w:rPr>
          <w:rFonts w:hint="eastAsia"/>
        </w:rPr>
        <w:t>其他价格调整方法</w:t>
      </w:r>
      <w:r>
        <w:t xml:space="preserve"> </w:t>
      </w:r>
    </w:p>
    <w:p>
      <w:pPr>
        <w:pStyle w:val="8"/>
        <w:spacing w:before="141"/>
        <w:ind w:left="1261" w:right="1709" w:rightChars="777"/>
        <w:rPr>
          <w:u w:val="single"/>
        </w:rPr>
      </w:pPr>
      <w:r>
        <w:rPr>
          <w:u w:val="single"/>
        </w:rPr>
        <w:t xml:space="preserve">   1</w:t>
      </w:r>
      <w:r>
        <w:rPr>
          <w:rFonts w:hint="eastAsia"/>
          <w:u w:val="single"/>
        </w:rPr>
        <w:t>、措施项目风险调整：</w:t>
      </w:r>
    </w:p>
    <w:p>
      <w:pPr>
        <w:pStyle w:val="8"/>
        <w:spacing w:before="141"/>
        <w:ind w:left="1261" w:right="1709" w:rightChars="777"/>
        <w:rPr>
          <w:u w:val="single"/>
        </w:rPr>
      </w:pPr>
      <w:r>
        <w:rPr>
          <w:rFonts w:hint="eastAsia"/>
          <w:u w:val="single"/>
        </w:rPr>
        <w:t>（</w:t>
      </w:r>
      <w:r>
        <w:rPr>
          <w:u w:val="single"/>
        </w:rPr>
        <w:t>1</w:t>
      </w:r>
      <w:r>
        <w:rPr>
          <w:rFonts w:hint="eastAsia"/>
          <w:u w:val="single"/>
        </w:rPr>
        <w:t>）安全文明施工费用及施工垃圾场外运输和消纳费用在分部分项工程费用变化时，应进行调整，但投标费率不做调整。危大工程施工技术措施费已包含在投标报价的安全文明施工费里，不再另行计取。</w:t>
      </w:r>
    </w:p>
    <w:p>
      <w:pPr>
        <w:pStyle w:val="8"/>
        <w:spacing w:before="141"/>
        <w:ind w:left="1261" w:right="1709" w:rightChars="777"/>
        <w:rPr>
          <w:u w:val="single"/>
        </w:rPr>
      </w:pPr>
      <w:r>
        <w:rPr>
          <w:rFonts w:hint="eastAsia"/>
          <w:u w:val="single"/>
        </w:rPr>
        <w:t>（</w:t>
      </w:r>
      <w:r>
        <w:rPr>
          <w:u w:val="single"/>
        </w:rPr>
        <w:t>2</w:t>
      </w:r>
      <w:r>
        <w:rPr>
          <w:rFonts w:hint="eastAsia"/>
          <w:u w:val="single"/>
        </w:rPr>
        <w:t>）总价措施项目中人工、材料、机械市场价格波动不予调整。</w:t>
      </w:r>
    </w:p>
    <w:p>
      <w:pPr>
        <w:pStyle w:val="8"/>
        <w:spacing w:before="141"/>
        <w:ind w:left="1261" w:right="1709" w:rightChars="777"/>
        <w:rPr>
          <w:u w:val="single"/>
        </w:rPr>
      </w:pPr>
      <w:r>
        <w:rPr>
          <w:rFonts w:hint="eastAsia"/>
          <w:u w:val="single"/>
        </w:rPr>
        <w:t>（</w:t>
      </w:r>
      <w:r>
        <w:rPr>
          <w:u w:val="single"/>
        </w:rPr>
        <w:t>3</w:t>
      </w:r>
      <w:r>
        <w:rPr>
          <w:rFonts w:hint="eastAsia"/>
          <w:u w:val="single"/>
        </w:rPr>
        <w:t>）单价措施项目中人工、材料、机械市场价格波动按专用合同条款</w:t>
      </w:r>
      <w:r>
        <w:rPr>
          <w:u w:val="single"/>
        </w:rPr>
        <w:t xml:space="preserve">16.1 </w:t>
      </w:r>
      <w:r>
        <w:rPr>
          <w:rFonts w:hint="eastAsia"/>
          <w:u w:val="single"/>
        </w:rPr>
        <w:t>原则执行。但按项计取的单价措施项目总价一次性包干，未发生的单价措施项目在结算时应扣除该项费用。</w:t>
      </w:r>
    </w:p>
    <w:p>
      <w:pPr>
        <w:pStyle w:val="8"/>
        <w:spacing w:before="141"/>
        <w:ind w:left="1261" w:right="1709" w:rightChars="777"/>
      </w:pPr>
      <w:r>
        <w:rPr>
          <w:u w:val="single"/>
        </w:rPr>
        <w:t>2</w:t>
      </w:r>
      <w:r>
        <w:rPr>
          <w:rFonts w:hint="eastAsia"/>
          <w:u w:val="single"/>
        </w:rPr>
        <w:t>、合同文件约定的其他项目清单的风险调整：暂列金额的调整</w:t>
      </w:r>
      <w:r>
        <w:rPr>
          <w:u w:val="single"/>
        </w:rPr>
        <w:t>——</w:t>
      </w:r>
      <w:r>
        <w:rPr>
          <w:rFonts w:hint="eastAsia"/>
          <w:u w:val="single"/>
        </w:rPr>
        <w:t>合同中以暂列金额计入合同价的部分属于发包人所有和支配。</w:t>
      </w:r>
      <w:r>
        <w:rPr>
          <w:u w:val="single"/>
        </w:rPr>
        <w:t xml:space="preserve">  </w:t>
      </w:r>
      <w:r>
        <w:t xml:space="preserve"> </w:t>
      </w:r>
    </w:p>
    <w:p>
      <w:pPr>
        <w:pStyle w:val="8"/>
        <w:spacing w:before="141"/>
        <w:ind w:left="1261"/>
      </w:pPr>
    </w:p>
    <w:p>
      <w:pPr>
        <w:pStyle w:val="8"/>
        <w:spacing w:before="8"/>
        <w:rPr>
          <w:sz w:val="15"/>
        </w:rPr>
      </w:pPr>
    </w:p>
    <w:p>
      <w:pPr>
        <w:pStyle w:val="6"/>
        <w:numPr>
          <w:ilvl w:val="0"/>
          <w:numId w:val="38"/>
        </w:numPr>
        <w:tabs>
          <w:tab w:val="left" w:pos="1260"/>
        </w:tabs>
      </w:pPr>
      <w:bookmarkStart w:id="73" w:name="_bookmark149"/>
      <w:bookmarkEnd w:id="73"/>
      <w:r>
        <w:rPr>
          <w:rFonts w:hint="eastAsia"/>
        </w:rPr>
        <w:t>计量与支付</w:t>
      </w:r>
      <w:r>
        <w:t xml:space="preserve"> </w:t>
      </w:r>
    </w:p>
    <w:p>
      <w:pPr>
        <w:pStyle w:val="8"/>
        <w:spacing w:before="9"/>
        <w:rPr>
          <w:sz w:val="16"/>
        </w:rPr>
      </w:pPr>
    </w:p>
    <w:p>
      <w:pPr>
        <w:pStyle w:val="7"/>
        <w:spacing w:before="67"/>
        <w:ind w:left="838"/>
      </w:pPr>
      <w:bookmarkStart w:id="74" w:name="_bookmark150"/>
      <w:bookmarkEnd w:id="74"/>
      <w:r>
        <w:t xml:space="preserve">17.1 </w:t>
      </w:r>
      <w:r>
        <w:rPr>
          <w:rFonts w:hint="eastAsia"/>
        </w:rPr>
        <w:t>计</w:t>
      </w:r>
      <w:r>
        <w:t xml:space="preserve"> </w:t>
      </w:r>
      <w:r>
        <w:rPr>
          <w:rFonts w:hint="eastAsia"/>
        </w:rPr>
        <w:t>量</w:t>
      </w:r>
      <w:r>
        <w:t xml:space="preserve"> </w:t>
      </w:r>
    </w:p>
    <w:p>
      <w:pPr>
        <w:pStyle w:val="8"/>
        <w:spacing w:before="8"/>
      </w:pPr>
    </w:p>
    <w:p>
      <w:pPr>
        <w:pStyle w:val="8"/>
        <w:spacing w:before="1"/>
        <w:ind w:left="1258"/>
      </w:pPr>
      <w:r>
        <w:t xml:space="preserve">17.1.3 </w:t>
      </w:r>
      <w:r>
        <w:rPr>
          <w:rFonts w:hint="eastAsia"/>
        </w:rPr>
        <w:t>计量周期</w:t>
      </w:r>
      <w:r>
        <w:t xml:space="preserve"> </w:t>
      </w:r>
    </w:p>
    <w:p>
      <w:pPr>
        <w:pStyle w:val="33"/>
        <w:tabs>
          <w:tab w:val="left" w:pos="1785"/>
        </w:tabs>
        <w:spacing w:before="138"/>
        <w:ind w:left="1257" w:firstLine="0"/>
        <w:rPr>
          <w:sz w:val="21"/>
        </w:rPr>
      </w:pPr>
      <w:r>
        <w:rPr>
          <w:rFonts w:hint="eastAsia"/>
          <w:sz w:val="21"/>
          <w:lang w:eastAsia="zh-CN"/>
        </w:rPr>
        <w:t>（</w:t>
      </w:r>
      <w:r>
        <w:rPr>
          <w:sz w:val="21"/>
          <w:lang w:val="en-US" w:eastAsia="zh-CN"/>
        </w:rPr>
        <w:t>1</w:t>
      </w:r>
      <w:r>
        <w:rPr>
          <w:rFonts w:hint="eastAsia"/>
          <w:sz w:val="21"/>
          <w:lang w:eastAsia="zh-CN"/>
        </w:rPr>
        <w:t>）</w:t>
      </w:r>
      <w:r>
        <w:rPr>
          <w:rFonts w:hint="eastAsia"/>
          <w:sz w:val="21"/>
        </w:rPr>
        <w:t>每月</w:t>
      </w:r>
      <w:r>
        <w:rPr>
          <w:spacing w:val="7"/>
          <w:sz w:val="21"/>
          <w:u w:val="single"/>
          <w:lang w:val="en-US" w:eastAsia="zh-CN"/>
        </w:rPr>
        <w:t>25</w:t>
      </w:r>
      <w:r>
        <w:rPr>
          <w:rFonts w:hint="eastAsia"/>
          <w:spacing w:val="7"/>
          <w:sz w:val="21"/>
        </w:rPr>
        <w:t>日为当月计量截止日期</w:t>
      </w:r>
      <w:r>
        <w:rPr>
          <w:rFonts w:hint="eastAsia"/>
          <w:sz w:val="21"/>
        </w:rPr>
        <w:t>（不含当日）和下月计量起始日期（含当日</w:t>
      </w:r>
      <w:r>
        <w:rPr>
          <w:rFonts w:hint="eastAsia"/>
          <w:spacing w:val="-105"/>
          <w:sz w:val="21"/>
        </w:rPr>
        <w:t>）</w:t>
      </w:r>
      <w:r>
        <w:rPr>
          <w:rFonts w:hint="eastAsia"/>
          <w:spacing w:val="-87"/>
          <w:sz w:val="21"/>
        </w:rPr>
        <w:t>。</w:t>
      </w:r>
      <w:r>
        <w:rPr>
          <w:sz w:val="21"/>
        </w:rPr>
        <w:t xml:space="preserve"> </w:t>
      </w:r>
    </w:p>
    <w:p>
      <w:pPr>
        <w:pStyle w:val="33"/>
        <w:tabs>
          <w:tab w:val="left" w:pos="1785"/>
        </w:tabs>
        <w:spacing w:before="141" w:line="364" w:lineRule="auto"/>
        <w:ind w:left="1257" w:right="1706" w:firstLine="0"/>
        <w:rPr>
          <w:sz w:val="21"/>
        </w:rPr>
      </w:pPr>
      <w:r>
        <w:rPr>
          <w:rFonts w:hint="eastAsia"/>
          <w:spacing w:val="-1"/>
          <w:sz w:val="21"/>
          <w:lang w:eastAsia="zh-CN"/>
        </w:rPr>
        <w:t>（</w:t>
      </w:r>
      <w:r>
        <w:rPr>
          <w:spacing w:val="-1"/>
          <w:sz w:val="21"/>
          <w:lang w:val="en-US" w:eastAsia="zh-CN"/>
        </w:rPr>
        <w:t>2</w:t>
      </w:r>
      <w:r>
        <w:rPr>
          <w:rFonts w:hint="eastAsia"/>
          <w:spacing w:val="-1"/>
          <w:sz w:val="21"/>
          <w:lang w:eastAsia="zh-CN"/>
        </w:rPr>
        <w:t>）</w:t>
      </w:r>
      <w:r>
        <w:rPr>
          <w:rFonts w:hint="eastAsia"/>
          <w:spacing w:val="-1"/>
          <w:sz w:val="21"/>
        </w:rPr>
        <w:t>本合同</w:t>
      </w:r>
      <w:r>
        <w:rPr>
          <w:sz w:val="21"/>
          <w:u w:val="single"/>
        </w:rPr>
        <w:t xml:space="preserve">  </w:t>
      </w:r>
      <w:r>
        <w:rPr>
          <w:rFonts w:hint="eastAsia"/>
          <w:sz w:val="21"/>
          <w:u w:val="single"/>
        </w:rPr>
        <w:t>执行</w:t>
      </w:r>
      <w:r>
        <w:rPr>
          <w:sz w:val="21"/>
          <w:u w:val="single"/>
        </w:rPr>
        <w:t xml:space="preserve">  </w:t>
      </w:r>
      <w:r>
        <w:rPr>
          <w:rFonts w:hint="eastAsia"/>
          <w:sz w:val="21"/>
        </w:rPr>
        <w:t>（</w:t>
      </w:r>
      <w:r>
        <w:rPr>
          <w:rFonts w:hint="eastAsia"/>
          <w:spacing w:val="-1"/>
          <w:sz w:val="21"/>
        </w:rPr>
        <w:t>执行</w:t>
      </w:r>
      <w:r>
        <w:rPr>
          <w:rFonts w:hint="eastAsia"/>
          <w:sz w:val="21"/>
        </w:rPr>
        <w:t>（采用单价合同形式时）</w:t>
      </w:r>
      <w:r>
        <w:rPr>
          <w:sz w:val="21"/>
        </w:rPr>
        <w:t>/</w:t>
      </w:r>
      <w:r>
        <w:rPr>
          <w:rFonts w:hint="eastAsia"/>
          <w:spacing w:val="-1"/>
          <w:sz w:val="21"/>
        </w:rPr>
        <w:t>不执行</w:t>
      </w:r>
      <w:r>
        <w:rPr>
          <w:rFonts w:hint="eastAsia"/>
          <w:sz w:val="21"/>
        </w:rPr>
        <w:t>（采用总价合同形式时</w:t>
      </w:r>
      <w:r>
        <w:rPr>
          <w:rFonts w:hint="eastAsia"/>
          <w:spacing w:val="-111"/>
          <w:sz w:val="21"/>
        </w:rPr>
        <w:t>）</w:t>
      </w:r>
      <w:r>
        <w:rPr>
          <w:rFonts w:hint="eastAsia"/>
          <w:spacing w:val="-6"/>
          <w:sz w:val="21"/>
        </w:rPr>
        <w:t>）</w:t>
      </w:r>
      <w:r>
        <w:rPr>
          <w:rFonts w:hint="eastAsia"/>
          <w:sz w:val="21"/>
        </w:rPr>
        <w:t>单价子目已完成工程量按月计量。</w:t>
      </w:r>
      <w:r>
        <w:rPr>
          <w:sz w:val="21"/>
        </w:rPr>
        <w:t xml:space="preserve"> </w:t>
      </w:r>
    </w:p>
    <w:p>
      <w:pPr>
        <w:pStyle w:val="8"/>
        <w:spacing w:line="364" w:lineRule="auto"/>
        <w:ind w:left="943" w:right="1795" w:firstLine="314"/>
      </w:pPr>
      <w:r>
        <w:rPr>
          <w:rFonts w:hint="eastAsia"/>
        </w:rPr>
        <w:t>（</w:t>
      </w:r>
      <w:r>
        <w:t>3</w:t>
      </w:r>
      <w:r>
        <w:rPr>
          <w:rFonts w:hint="eastAsia"/>
        </w:rPr>
        <w:t>）</w:t>
      </w:r>
      <w:r>
        <w:t xml:space="preserve"> </w:t>
      </w:r>
      <w:r>
        <w:rPr>
          <w:rFonts w:hint="eastAsia"/>
        </w:rPr>
        <w:t>总</w:t>
      </w:r>
      <w:r>
        <w:t xml:space="preserve"> </w:t>
      </w:r>
      <w:r>
        <w:rPr>
          <w:rFonts w:hint="eastAsia"/>
        </w:rPr>
        <w:t>价</w:t>
      </w:r>
      <w:r>
        <w:t xml:space="preserve"> </w:t>
      </w:r>
      <w:r>
        <w:rPr>
          <w:rFonts w:hint="eastAsia"/>
        </w:rPr>
        <w:t>子</w:t>
      </w:r>
      <w:r>
        <w:t xml:space="preserve"> </w:t>
      </w:r>
      <w:r>
        <w:rPr>
          <w:rFonts w:hint="eastAsia"/>
        </w:rPr>
        <w:t>目</w:t>
      </w:r>
      <w:r>
        <w:t xml:space="preserve"> </w:t>
      </w:r>
      <w:r>
        <w:rPr>
          <w:rFonts w:hint="eastAsia"/>
        </w:rPr>
        <w:t>计</w:t>
      </w:r>
      <w:r>
        <w:t xml:space="preserve"> </w:t>
      </w:r>
      <w:r>
        <w:rPr>
          <w:rFonts w:hint="eastAsia"/>
        </w:rPr>
        <w:t>量</w:t>
      </w:r>
      <w:r>
        <w:t xml:space="preserve"> </w:t>
      </w:r>
      <w:r>
        <w:rPr>
          <w:rFonts w:hint="eastAsia"/>
        </w:rPr>
        <w:t>方</w:t>
      </w:r>
      <w:r>
        <w:t xml:space="preserve"> </w:t>
      </w:r>
      <w:r>
        <w:rPr>
          <w:rFonts w:hint="eastAsia"/>
        </w:rPr>
        <w:t>式</w:t>
      </w:r>
      <w:r>
        <w:t xml:space="preserve"> </w:t>
      </w:r>
      <w:r>
        <w:rPr>
          <w:rFonts w:hint="eastAsia"/>
        </w:rPr>
        <w:t>采</w:t>
      </w:r>
      <w:r>
        <w:t xml:space="preserve"> </w:t>
      </w:r>
      <w:r>
        <w:rPr>
          <w:rFonts w:hint="eastAsia"/>
        </w:rPr>
        <w:t>用</w:t>
      </w:r>
      <w:r>
        <w:rPr>
          <w:spacing w:val="1"/>
          <w:u w:val="single"/>
        </w:rPr>
        <w:t xml:space="preserve"> </w:t>
      </w:r>
      <w:r>
        <w:rPr>
          <w:rFonts w:hint="eastAsia"/>
          <w:spacing w:val="1"/>
          <w:u w:val="single"/>
        </w:rPr>
        <w:t>按实际完成工程量计量</w:t>
      </w:r>
      <w:r>
        <w:rPr>
          <w:spacing w:val="1"/>
          <w:u w:val="single"/>
        </w:rPr>
        <w:t xml:space="preserve"> </w:t>
      </w:r>
      <w:r>
        <w:rPr>
          <w:rFonts w:hint="eastAsia"/>
        </w:rPr>
        <w:t>（支付分解报告</w:t>
      </w:r>
      <w:r>
        <w:t xml:space="preserve"> /</w:t>
      </w:r>
      <w:r>
        <w:rPr>
          <w:spacing w:val="-3"/>
        </w:rPr>
        <w:t xml:space="preserve"> </w:t>
      </w:r>
      <w:r>
        <w:rPr>
          <w:rFonts w:hint="eastAsia"/>
          <w:spacing w:val="-3"/>
        </w:rPr>
        <w:t>按实际</w:t>
      </w:r>
      <w:r>
        <w:rPr>
          <w:rFonts w:hint="eastAsia"/>
        </w:rPr>
        <w:t>完成工程量计量</w:t>
      </w:r>
      <w:r>
        <w:rPr>
          <w:rFonts w:hint="eastAsia"/>
          <w:spacing w:val="-105"/>
        </w:rPr>
        <w:t>）</w:t>
      </w:r>
      <w:r>
        <w:rPr>
          <w:rFonts w:hint="eastAsia"/>
        </w:rPr>
        <w:t>。</w:t>
      </w:r>
      <w:r>
        <w:t xml:space="preserve"> </w:t>
      </w:r>
    </w:p>
    <w:p>
      <w:pPr>
        <w:pStyle w:val="8"/>
        <w:spacing w:line="268" w:lineRule="exact"/>
        <w:ind w:left="1258"/>
      </w:pPr>
    </w:p>
    <w:p>
      <w:pPr>
        <w:pStyle w:val="8"/>
        <w:spacing w:line="268" w:lineRule="exact"/>
        <w:ind w:left="1258"/>
      </w:pPr>
      <w:r>
        <w:t xml:space="preserve">17.1.5 </w:t>
      </w:r>
      <w:r>
        <w:rPr>
          <w:rFonts w:hint="eastAsia"/>
        </w:rPr>
        <w:t>总价子目的计量（适用于采用支付分解报告）</w:t>
      </w:r>
      <w:r>
        <w:t xml:space="preserve"> </w:t>
      </w:r>
    </w:p>
    <w:p>
      <w:pPr>
        <w:pStyle w:val="8"/>
        <w:spacing w:before="138"/>
        <w:ind w:left="1258"/>
      </w:pPr>
      <w:r>
        <w:rPr>
          <w:rFonts w:hint="eastAsia"/>
        </w:rPr>
        <w:t>（</w:t>
      </w:r>
      <w:r>
        <w:t>1</w:t>
      </w:r>
      <w:r>
        <w:rPr>
          <w:rFonts w:hint="eastAsia"/>
        </w:rPr>
        <w:t>）采用支付分解报告计量方式的，总价子目的价格调整方法：</w:t>
      </w:r>
      <w:r>
        <w:rPr>
          <w:u w:val="single"/>
        </w:rPr>
        <w:t xml:space="preserve">     </w:t>
      </w:r>
      <w:r>
        <w:rPr>
          <w:u w:val="single"/>
          <w:lang w:val="en-US" w:eastAsia="zh-CN"/>
        </w:rPr>
        <w:t>/</w:t>
      </w:r>
      <w:r>
        <w:rPr>
          <w:u w:val="single"/>
        </w:rPr>
        <w:t xml:space="preserve">          </w:t>
      </w:r>
      <w:r>
        <w:t xml:space="preserve"> </w:t>
      </w:r>
    </w:p>
    <w:p>
      <w:pPr>
        <w:pStyle w:val="8"/>
        <w:spacing w:before="140" w:line="364" w:lineRule="auto"/>
        <w:ind w:left="1258"/>
      </w:pPr>
      <w:r>
        <w:t>17.1.5</w:t>
      </w:r>
      <w:r>
        <w:rPr>
          <w:spacing w:val="-1"/>
        </w:rPr>
        <w:t xml:space="preserve">  </w:t>
      </w:r>
      <w:r>
        <w:rPr>
          <w:rFonts w:hint="eastAsia"/>
          <w:spacing w:val="-1"/>
        </w:rPr>
        <w:t>总价子目的计量</w:t>
      </w:r>
      <w:r>
        <w:rPr>
          <w:rFonts w:hint="eastAsia"/>
        </w:rPr>
        <w:t>（适用于采用按实际完成工程量计量）</w:t>
      </w:r>
      <w:r>
        <w:t xml:space="preserve"> </w:t>
      </w:r>
    </w:p>
    <w:p>
      <w:pPr>
        <w:pStyle w:val="8"/>
        <w:spacing w:before="140"/>
        <w:ind w:left="1258"/>
      </w:pPr>
      <w:r>
        <w:rPr>
          <w:rFonts w:hint="eastAsia"/>
        </w:rPr>
        <w:t>（</w:t>
      </w:r>
      <w:r>
        <w:t>1</w:t>
      </w:r>
      <w:r>
        <w:rPr>
          <w:rFonts w:hint="eastAsia"/>
        </w:rPr>
        <w:t>）采用按实际完成工程量计量方式的</w:t>
      </w:r>
      <w:r>
        <w:t>,</w:t>
      </w:r>
      <w:r>
        <w:rPr>
          <w:rFonts w:hint="eastAsia"/>
        </w:rPr>
        <w:t>总价子目的价格调整方法：</w:t>
      </w:r>
      <w:r>
        <w:rPr>
          <w:u w:val="single"/>
        </w:rPr>
        <w:t xml:space="preserve">  </w:t>
      </w:r>
      <w:r>
        <w:rPr>
          <w:rFonts w:hint="eastAsia"/>
          <w:u w:val="single"/>
        </w:rPr>
        <w:t>不调整</w:t>
      </w:r>
      <w:r>
        <w:rPr>
          <w:u w:val="single"/>
        </w:rPr>
        <w:t xml:space="preserve"> </w:t>
      </w:r>
      <w:r>
        <w:rPr>
          <w:spacing w:val="-1"/>
          <w:u w:val="single"/>
        </w:rPr>
        <w:t xml:space="preserve"> </w:t>
      </w:r>
      <w:r>
        <w:t xml:space="preserve"> </w:t>
      </w:r>
    </w:p>
    <w:p>
      <w:pPr>
        <w:pStyle w:val="8"/>
        <w:spacing w:before="2"/>
        <w:rPr>
          <w:sz w:val="15"/>
        </w:rPr>
      </w:pPr>
    </w:p>
    <w:p>
      <w:pPr>
        <w:pStyle w:val="7"/>
        <w:numPr>
          <w:ilvl w:val="1"/>
          <w:numId w:val="41"/>
        </w:numPr>
        <w:tabs>
          <w:tab w:val="left" w:pos="1319"/>
        </w:tabs>
      </w:pPr>
      <w:bookmarkStart w:id="75" w:name="_bookmark151"/>
      <w:bookmarkEnd w:id="75"/>
      <w:r>
        <w:rPr>
          <w:rFonts w:hint="eastAsia"/>
        </w:rPr>
        <w:t>预付款</w:t>
      </w:r>
      <w:r>
        <w:t xml:space="preserve"> </w:t>
      </w:r>
    </w:p>
    <w:p>
      <w:pPr>
        <w:pStyle w:val="8"/>
        <w:spacing w:before="9"/>
      </w:pPr>
    </w:p>
    <w:p>
      <w:pPr>
        <w:pStyle w:val="33"/>
        <w:numPr>
          <w:ilvl w:val="2"/>
          <w:numId w:val="41"/>
        </w:numPr>
        <w:tabs>
          <w:tab w:val="left" w:pos="1889"/>
        </w:tabs>
        <w:rPr>
          <w:sz w:val="21"/>
        </w:rPr>
      </w:pPr>
      <w:r>
        <w:rPr>
          <w:rFonts w:hint="eastAsia"/>
          <w:sz w:val="21"/>
        </w:rPr>
        <w:t>预付款</w:t>
      </w:r>
      <w:r>
        <w:rPr>
          <w:sz w:val="21"/>
        </w:rPr>
        <w:t xml:space="preserve"> </w:t>
      </w:r>
    </w:p>
    <w:p>
      <w:pPr>
        <w:pStyle w:val="33"/>
        <w:numPr>
          <w:ilvl w:val="0"/>
          <w:numId w:val="42"/>
        </w:numPr>
        <w:tabs>
          <w:tab w:val="left" w:pos="1785"/>
        </w:tabs>
        <w:spacing w:before="141"/>
        <w:rPr>
          <w:sz w:val="21"/>
        </w:rPr>
      </w:pPr>
      <w:r>
        <w:rPr>
          <w:rFonts w:hint="eastAsia"/>
          <w:sz w:val="21"/>
        </w:rPr>
        <w:t>预付款额度</w:t>
      </w:r>
      <w:r>
        <w:rPr>
          <w:sz w:val="21"/>
        </w:rPr>
        <w:t xml:space="preserve"> </w:t>
      </w:r>
    </w:p>
    <w:p>
      <w:pPr>
        <w:pStyle w:val="8"/>
        <w:spacing w:before="139" w:line="364" w:lineRule="auto"/>
        <w:ind w:left="1468" w:right="1708"/>
        <w:rPr>
          <w:u w:val="single"/>
        </w:rPr>
      </w:pPr>
      <w:r>
        <w:rPr>
          <w:rFonts w:hint="eastAsia"/>
        </w:rPr>
        <w:t>预付款额度：</w:t>
      </w:r>
      <w:r>
        <w:rPr>
          <w:u w:val="single"/>
        </w:rPr>
        <w:t xml:space="preserve">  </w:t>
      </w:r>
      <w:r>
        <w:rPr>
          <w:rFonts w:hint="eastAsia"/>
          <w:u w:val="single"/>
        </w:rPr>
        <w:t>预付款</w:t>
      </w:r>
      <w:r>
        <w:rPr>
          <w:rFonts w:hint="eastAsia"/>
          <w:u w:val="single"/>
          <w:lang w:val="en-US" w:eastAsia="zh-CN"/>
        </w:rPr>
        <w:t>为合同价款的</w:t>
      </w:r>
      <w:r>
        <w:rPr>
          <w:u w:val="single"/>
          <w:lang w:val="en-US" w:eastAsia="zh-CN"/>
        </w:rPr>
        <w:t>30%</w:t>
      </w:r>
      <w:r>
        <w:rPr>
          <w:rFonts w:hint="eastAsia"/>
          <w:u w:val="single"/>
        </w:rPr>
        <w:t>。</w:t>
      </w:r>
      <w:r>
        <w:rPr>
          <w:u w:val="single"/>
        </w:rPr>
        <w:t xml:space="preserve">    </w:t>
      </w:r>
    </w:p>
    <w:p>
      <w:pPr>
        <w:pStyle w:val="8"/>
        <w:spacing w:before="139" w:line="364" w:lineRule="auto"/>
        <w:ind w:left="1468" w:right="1708"/>
      </w:pPr>
      <w:r>
        <w:t xml:space="preserve"> </w:t>
      </w:r>
      <w:r>
        <w:rPr>
          <w:rFonts w:hint="eastAsia"/>
        </w:rPr>
        <w:t>其中：</w:t>
      </w:r>
      <w:r>
        <w:rPr>
          <w:u w:val="single"/>
        </w:rPr>
        <w:t xml:space="preserve">    </w:t>
      </w:r>
      <w:r>
        <w:rPr>
          <w:rFonts w:hint="eastAsia"/>
          <w:u w:val="single"/>
          <w:lang w:val="en-US" w:eastAsia="zh-CN"/>
        </w:rPr>
        <w:t>农民工工伤保险费</w:t>
      </w:r>
      <w:r>
        <w:rPr>
          <w:u w:val="single"/>
          <w:lang w:val="en-US" w:eastAsia="zh-CN"/>
        </w:rPr>
        <w:t>100%</w:t>
      </w:r>
      <w:r>
        <w:rPr>
          <w:rFonts w:hint="eastAsia"/>
          <w:u w:val="single"/>
          <w:lang w:val="en-US" w:eastAsia="zh-CN"/>
        </w:rPr>
        <w:t>全额支付</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t xml:space="preserve"> </w:t>
      </w:r>
    </w:p>
    <w:p>
      <w:pPr>
        <w:pStyle w:val="33"/>
        <w:numPr>
          <w:ilvl w:val="0"/>
          <w:numId w:val="42"/>
        </w:numPr>
        <w:tabs>
          <w:tab w:val="left" w:pos="1785"/>
        </w:tabs>
        <w:spacing w:line="268" w:lineRule="exact"/>
        <w:rPr>
          <w:sz w:val="21"/>
        </w:rPr>
      </w:pPr>
      <w:r>
        <w:rPr>
          <w:rFonts w:hint="eastAsia"/>
          <w:sz w:val="21"/>
        </w:rPr>
        <w:t>预付办法</w:t>
      </w:r>
      <w:r>
        <w:rPr>
          <w:sz w:val="21"/>
        </w:rPr>
        <w:t xml:space="preserve"> </w:t>
      </w:r>
    </w:p>
    <w:p>
      <w:pPr>
        <w:pStyle w:val="8"/>
        <w:spacing w:before="139" w:line="364" w:lineRule="auto"/>
        <w:ind w:left="1468" w:right="1708"/>
        <w:jc w:val="both"/>
      </w:pPr>
      <w:r>
        <w:rPr>
          <w:rFonts w:hint="eastAsia"/>
        </w:rPr>
        <w:t>预付款预付办法：</w:t>
      </w:r>
      <w:r>
        <w:rPr>
          <w:rFonts w:hint="eastAsia"/>
          <w:u w:val="single"/>
        </w:rPr>
        <w:t>在合同完成签订后，发包人一次性以转账支票或汇款方式向承包人支付预付款。</w:t>
      </w:r>
    </w:p>
    <w:p>
      <w:pPr>
        <w:pStyle w:val="8"/>
        <w:spacing w:before="139" w:line="364" w:lineRule="auto"/>
        <w:ind w:left="1468" w:right="1708"/>
        <w:jc w:val="both"/>
      </w:pPr>
      <w:r>
        <w:rPr>
          <w:rFonts w:hint="eastAsia"/>
        </w:rPr>
        <w:t>预付款的支付时间：</w:t>
      </w:r>
      <w:r>
        <w:rPr>
          <w:rFonts w:hint="eastAsia"/>
          <w:u w:val="single"/>
        </w:rPr>
        <w:t>经发包人审核通过后的</w:t>
      </w:r>
      <w:r>
        <w:rPr>
          <w:u w:val="single"/>
        </w:rPr>
        <w:t>7</w:t>
      </w:r>
      <w:r>
        <w:rPr>
          <w:rFonts w:hint="eastAsia"/>
          <w:u w:val="single"/>
        </w:rPr>
        <w:t>天内。</w:t>
      </w:r>
    </w:p>
    <w:p>
      <w:pPr>
        <w:pStyle w:val="8"/>
        <w:spacing w:before="139" w:line="364" w:lineRule="auto"/>
        <w:ind w:left="1468" w:right="1708"/>
        <w:jc w:val="both"/>
      </w:pPr>
      <w:r>
        <w:rPr>
          <w:rFonts w:hint="eastAsia"/>
        </w:rPr>
        <w:t>其他预付款约定：</w:t>
      </w:r>
    </w:p>
    <w:p>
      <w:pPr>
        <w:pStyle w:val="33"/>
        <w:numPr>
          <w:ilvl w:val="0"/>
          <w:numId w:val="42"/>
        </w:numPr>
        <w:tabs>
          <w:tab w:val="left" w:pos="1785"/>
        </w:tabs>
        <w:spacing w:line="269" w:lineRule="exact"/>
        <w:rPr>
          <w:sz w:val="21"/>
        </w:rPr>
      </w:pPr>
      <w:r>
        <w:rPr>
          <w:rFonts w:hint="eastAsia"/>
          <w:sz w:val="21"/>
        </w:rPr>
        <w:t>安全文明施工费用预付额度及方式：</w:t>
      </w:r>
      <w:r>
        <w:rPr>
          <w:sz w:val="21"/>
        </w:rPr>
        <w:t xml:space="preserve"> </w:t>
      </w:r>
    </w:p>
    <w:p>
      <w:pPr>
        <w:pStyle w:val="8"/>
        <w:spacing w:before="139" w:line="364" w:lineRule="auto"/>
        <w:ind w:left="838" w:right="1793" w:firstLine="420"/>
      </w:pPr>
      <w:r>
        <w:rPr>
          <w:rFonts w:hint="eastAsia"/>
          <w:spacing w:val="-4"/>
        </w:rPr>
        <w:t>安全文明施工费用的预付不受上述预付办法和支付时间约定的制约。安全文明施工费用</w:t>
      </w:r>
      <w:r>
        <w:rPr>
          <w:rFonts w:hint="eastAsia"/>
        </w:rPr>
        <w:t>按以下时间节点和金额进行预付：</w:t>
      </w:r>
      <w:r>
        <w:t xml:space="preserve"> </w:t>
      </w:r>
    </w:p>
    <w:p>
      <w:pPr>
        <w:pStyle w:val="8"/>
        <w:spacing w:line="364" w:lineRule="auto"/>
        <w:ind w:left="838" w:right="1793" w:firstLine="420"/>
      </w:pPr>
      <w:r>
        <w:rPr>
          <w:rFonts w:hint="eastAsia"/>
          <w:spacing w:val="-5"/>
        </w:rPr>
        <w:t>发包人应当在不迟于第</w:t>
      </w:r>
      <w:r>
        <w:rPr>
          <w:spacing w:val="-5"/>
        </w:rPr>
        <w:t xml:space="preserve"> </w:t>
      </w:r>
      <w:r>
        <w:t>11.1.1</w:t>
      </w:r>
      <w:r>
        <w:rPr>
          <w:spacing w:val="-11"/>
        </w:rPr>
        <w:t xml:space="preserve"> </w:t>
      </w:r>
      <w:r>
        <w:rPr>
          <w:rFonts w:hint="eastAsia"/>
          <w:spacing w:val="-11"/>
        </w:rPr>
        <w:t>项约定的开工日期前的</w:t>
      </w:r>
      <w:r>
        <w:rPr>
          <w:spacing w:val="-11"/>
        </w:rPr>
        <w:t xml:space="preserve"> </w:t>
      </w:r>
      <w:r>
        <w:t>7</w:t>
      </w:r>
      <w:r>
        <w:rPr>
          <w:spacing w:val="-8"/>
        </w:rPr>
        <w:t xml:space="preserve"> </w:t>
      </w:r>
      <w:r>
        <w:rPr>
          <w:rFonts w:hint="eastAsia"/>
          <w:spacing w:val="-8"/>
        </w:rPr>
        <w:t>天内，将签约合同价中载明的</w:t>
      </w:r>
      <w:r>
        <w:rPr>
          <w:rFonts w:hint="eastAsia"/>
          <w:spacing w:val="-5"/>
        </w:rPr>
        <w:t>安全文明施工费用总额的</w:t>
      </w:r>
      <w:r>
        <w:rPr>
          <w:spacing w:val="-5"/>
        </w:rPr>
        <w:t xml:space="preserve"> </w:t>
      </w:r>
      <w:r>
        <w:t>50%</w:t>
      </w:r>
      <w:r>
        <w:rPr>
          <w:rFonts w:hint="eastAsia"/>
        </w:rPr>
        <w:t>一次性预付给承包人。</w:t>
      </w:r>
      <w:r>
        <w:t xml:space="preserve"> </w:t>
      </w:r>
    </w:p>
    <w:p>
      <w:pPr>
        <w:pStyle w:val="8"/>
        <w:spacing w:line="364" w:lineRule="auto"/>
        <w:ind w:left="838" w:right="1794" w:firstLine="420"/>
      </w:pPr>
      <w:r>
        <w:rPr>
          <w:rFonts w:hint="eastAsia"/>
          <w:spacing w:val="-2"/>
        </w:rPr>
        <w:t>发包人应当在签约合同价中分部分项工程项目的完成价款比例达到</w:t>
      </w:r>
      <w:r>
        <w:rPr>
          <w:spacing w:val="-2"/>
        </w:rPr>
        <w:t xml:space="preserve"> </w:t>
      </w:r>
      <w:r>
        <w:t>30</w:t>
      </w:r>
      <w:r>
        <w:rPr>
          <w:spacing w:val="-18"/>
        </w:rPr>
        <w:t>%</w:t>
      </w:r>
      <w:r>
        <w:rPr>
          <w:rFonts w:hint="eastAsia"/>
          <w:spacing w:val="-18"/>
        </w:rPr>
        <w:t>的</w:t>
      </w:r>
      <w:r>
        <w:rPr>
          <w:spacing w:val="-18"/>
        </w:rPr>
        <w:t xml:space="preserve"> </w:t>
      </w:r>
      <w:r>
        <w:t>7</w:t>
      </w:r>
      <w:r>
        <w:rPr>
          <w:spacing w:val="-19"/>
        </w:rPr>
        <w:t xml:space="preserve"> </w:t>
      </w:r>
      <w:r>
        <w:rPr>
          <w:rFonts w:hint="eastAsia"/>
          <w:spacing w:val="-19"/>
        </w:rPr>
        <w:t>天内，预付</w:t>
      </w:r>
      <w:r>
        <w:rPr>
          <w:rFonts w:hint="eastAsia"/>
          <w:spacing w:val="-3"/>
        </w:rPr>
        <w:t>至签约合同价中载明的安全文明施工费用总额的</w:t>
      </w:r>
      <w:r>
        <w:rPr>
          <w:spacing w:val="-3"/>
        </w:rPr>
        <w:t xml:space="preserve"> </w:t>
      </w:r>
      <w:r>
        <w:t>70%</w:t>
      </w:r>
      <w:r>
        <w:rPr>
          <w:rFonts w:hint="eastAsia"/>
        </w:rPr>
        <w:t>。</w:t>
      </w:r>
      <w:r>
        <w:t xml:space="preserve"> </w:t>
      </w:r>
    </w:p>
    <w:p>
      <w:pPr>
        <w:pStyle w:val="8"/>
        <w:spacing w:line="364" w:lineRule="auto"/>
        <w:ind w:left="838" w:right="1793" w:firstLine="420"/>
        <w:jc w:val="both"/>
      </w:pPr>
      <w:r>
        <w:rPr>
          <w:rFonts w:hint="eastAsia"/>
          <w:spacing w:val="-4"/>
        </w:rPr>
        <w:t>发包人应当在安全生产标准化考评、评定达到</w:t>
      </w:r>
      <w:r>
        <w:rPr>
          <w:rFonts w:hint="eastAsia"/>
        </w:rPr>
        <w:t>（含整改后达到</w:t>
      </w:r>
      <w:r>
        <w:rPr>
          <w:rFonts w:hint="eastAsia"/>
          <w:spacing w:val="-29"/>
        </w:rPr>
        <w:t>）</w:t>
      </w:r>
      <w:r>
        <w:rPr>
          <w:rFonts w:hint="eastAsia"/>
          <w:spacing w:val="-2"/>
        </w:rPr>
        <w:t>或超过合同约定的安全</w:t>
      </w:r>
      <w:r>
        <w:rPr>
          <w:rFonts w:hint="eastAsia"/>
        </w:rPr>
        <w:t>生产标准化管理目标之日起</w:t>
      </w:r>
      <w:r>
        <w:t xml:space="preserve"> 7</w:t>
      </w:r>
      <w:r>
        <w:rPr>
          <w:spacing w:val="-1"/>
        </w:rPr>
        <w:t xml:space="preserve"> </w:t>
      </w:r>
      <w:r>
        <w:rPr>
          <w:rFonts w:hint="eastAsia"/>
          <w:spacing w:val="-1"/>
        </w:rPr>
        <w:t>天内，预付至签约合同价中载明的安全文明施工费用总额的</w:t>
      </w:r>
      <w:r>
        <w:t>90%</w:t>
      </w:r>
      <w:r>
        <w:rPr>
          <w:rFonts w:hint="eastAsia"/>
        </w:rPr>
        <w:t>。</w:t>
      </w:r>
      <w:r>
        <w:t xml:space="preserve"> </w:t>
      </w:r>
    </w:p>
    <w:p>
      <w:pPr>
        <w:pStyle w:val="8"/>
        <w:spacing w:before="8"/>
        <w:ind w:left="878" w:leftChars="380" w:right="1709" w:rightChars="777" w:hanging="42" w:hangingChars="20"/>
      </w:pPr>
      <w:r>
        <w:rPr>
          <w:rFonts w:hint="eastAsia"/>
        </w:rPr>
        <w:t>发包人应当在工程竣工后，安全生产标准化考评、认定达到或超过合同约定安全生产标</w:t>
      </w:r>
      <w:r>
        <w:rPr>
          <w:rFonts w:hint="eastAsia"/>
          <w:spacing w:val="-3"/>
        </w:rPr>
        <w:t>准化管理目标并颁发考评证书之日起的</w:t>
      </w:r>
      <w:r>
        <w:rPr>
          <w:spacing w:val="-3"/>
        </w:rPr>
        <w:t xml:space="preserve"> </w:t>
      </w:r>
      <w:r>
        <w:t>7</w:t>
      </w:r>
      <w:r>
        <w:rPr>
          <w:spacing w:val="-14"/>
        </w:rPr>
        <w:t xml:space="preserve"> </w:t>
      </w:r>
      <w:r>
        <w:rPr>
          <w:rFonts w:hint="eastAsia"/>
          <w:spacing w:val="-14"/>
        </w:rPr>
        <w:t>天内，预付至签约合同价中载明的安全文明施工费</w:t>
      </w:r>
      <w:r>
        <w:rPr>
          <w:rFonts w:hint="eastAsia"/>
          <w:spacing w:val="-11"/>
        </w:rPr>
        <w:t>用总额的</w:t>
      </w:r>
      <w:r>
        <w:rPr>
          <w:spacing w:val="-11"/>
        </w:rPr>
        <w:t xml:space="preserve"> </w:t>
      </w:r>
      <w:r>
        <w:t>100%</w:t>
      </w:r>
      <w:r>
        <w:rPr>
          <w:rFonts w:hint="eastAsia"/>
        </w:rPr>
        <w:t>。安全文明施工的预付不抵扣。</w:t>
      </w:r>
    </w:p>
    <w:p>
      <w:pPr>
        <w:pStyle w:val="8"/>
        <w:spacing w:line="364" w:lineRule="auto"/>
        <w:ind w:left="1258" w:right="6851"/>
        <w:rPr>
          <w:lang w:eastAsia="zh-CN"/>
        </w:rPr>
      </w:pPr>
    </w:p>
    <w:p>
      <w:pPr>
        <w:pStyle w:val="8"/>
        <w:spacing w:line="364" w:lineRule="auto"/>
        <w:ind w:left="1258" w:right="180"/>
      </w:pPr>
      <w:r>
        <w:t xml:space="preserve">17.2.2 </w:t>
      </w:r>
      <w:r>
        <w:rPr>
          <w:rFonts w:hint="eastAsia"/>
        </w:rPr>
        <w:t>预付款的扣回与还清</w:t>
      </w:r>
      <w:r>
        <w:t xml:space="preserve"> </w:t>
      </w:r>
    </w:p>
    <w:p>
      <w:pPr>
        <w:pStyle w:val="8"/>
        <w:spacing w:before="108"/>
        <w:ind w:left="1258" w:right="1489" w:rightChars="677"/>
        <w:rPr>
          <w:b/>
          <w:lang w:eastAsia="zh-CN"/>
        </w:rPr>
      </w:pPr>
      <w:r>
        <w:rPr>
          <w:rFonts w:hint="eastAsia"/>
          <w:b/>
        </w:rPr>
        <w:t>预付款的扣回办法：</w:t>
      </w:r>
      <w:r>
        <w:rPr>
          <w:rFonts w:hint="eastAsia"/>
          <w:b/>
          <w:sz w:val="22"/>
          <w:szCs w:val="22"/>
        </w:rPr>
        <w:t>本项目工期较短，预付款作为进度款，不再扣回</w:t>
      </w:r>
      <w:r>
        <w:rPr>
          <w:b/>
        </w:rPr>
        <w:t xml:space="preserve"> </w:t>
      </w:r>
      <w:r>
        <w:rPr>
          <w:rFonts w:hint="eastAsia"/>
          <w:b/>
          <w:lang w:eastAsia="zh-CN"/>
        </w:rPr>
        <w:t>。</w:t>
      </w:r>
    </w:p>
    <w:p>
      <w:pPr>
        <w:pStyle w:val="7"/>
        <w:numPr>
          <w:ilvl w:val="1"/>
          <w:numId w:val="41"/>
        </w:numPr>
        <w:tabs>
          <w:tab w:val="left" w:pos="1319"/>
        </w:tabs>
        <w:spacing w:before="143"/>
      </w:pPr>
      <w:bookmarkStart w:id="76" w:name="_bookmark152"/>
      <w:bookmarkEnd w:id="76"/>
      <w:r>
        <w:rPr>
          <w:rFonts w:hint="eastAsia"/>
        </w:rPr>
        <w:t>工程进度付款</w:t>
      </w:r>
      <w:r>
        <w:t xml:space="preserve"> </w:t>
      </w:r>
    </w:p>
    <w:p>
      <w:pPr>
        <w:pStyle w:val="8"/>
        <w:spacing w:before="9"/>
      </w:pPr>
    </w:p>
    <w:p>
      <w:pPr>
        <w:pStyle w:val="8"/>
        <w:ind w:left="1258"/>
      </w:pPr>
      <w:r>
        <w:t xml:space="preserve">17.3.2 </w:t>
      </w:r>
      <w:r>
        <w:rPr>
          <w:rFonts w:hint="eastAsia"/>
        </w:rPr>
        <w:t>进度付款申请单</w:t>
      </w:r>
      <w:r>
        <w:t xml:space="preserve"> </w:t>
      </w:r>
    </w:p>
    <w:p>
      <w:pPr>
        <w:pStyle w:val="8"/>
        <w:spacing w:before="140" w:line="364" w:lineRule="auto"/>
        <w:ind w:left="1258" w:right="1708"/>
      </w:pPr>
      <w:r>
        <w:rPr>
          <w:rFonts w:hint="eastAsia"/>
        </w:rPr>
        <w:t>进度付款申请单的份数：</w:t>
      </w:r>
      <w:r>
        <w:rPr>
          <w:u w:val="single"/>
        </w:rPr>
        <w:t xml:space="preserve">  5</w:t>
      </w:r>
      <w:r>
        <w:rPr>
          <w:rFonts w:hint="eastAsia"/>
          <w:u w:val="single"/>
        </w:rPr>
        <w:t>份</w:t>
      </w:r>
      <w:r>
        <w:rPr>
          <w:u w:val="single"/>
        </w:rPr>
        <w:t xml:space="preserve">      </w:t>
      </w:r>
      <w:r>
        <w:t xml:space="preserve"> </w:t>
      </w:r>
    </w:p>
    <w:p>
      <w:pPr>
        <w:pStyle w:val="8"/>
        <w:spacing w:before="140" w:line="364" w:lineRule="auto"/>
        <w:ind w:left="1258" w:right="1708"/>
      </w:pPr>
      <w:r>
        <w:rPr>
          <w:rFonts w:hint="eastAsia"/>
        </w:rPr>
        <w:t>承包人报送监理人的进度付款申请单应包括下列内容：</w:t>
      </w:r>
      <w:r>
        <w:t xml:space="preserve"> </w:t>
      </w:r>
    </w:p>
    <w:p>
      <w:pPr>
        <w:pStyle w:val="8"/>
        <w:numPr>
          <w:ilvl w:val="0"/>
          <w:numId w:val="32"/>
        </w:numPr>
        <w:spacing w:before="140" w:line="364" w:lineRule="auto"/>
        <w:ind w:left="801" w:right="1706" w:firstLine="55"/>
        <w:rPr>
          <w:u w:val="single"/>
        </w:rPr>
      </w:pPr>
      <w:r>
        <w:rPr>
          <w:rFonts w:hint="eastAsia"/>
        </w:rPr>
        <w:t>根据合同应增加和（或）扣减的其他内容金额：</w:t>
      </w:r>
      <w:r>
        <w:rPr>
          <w:u w:val="single"/>
        </w:rPr>
        <w:t xml:space="preserve">  </w:t>
      </w:r>
      <w:r>
        <w:rPr>
          <w:rFonts w:hint="eastAsia"/>
          <w:u w:val="single"/>
          <w:lang w:eastAsia="zh-CN"/>
        </w:rPr>
        <w:t>（</w:t>
      </w:r>
      <w:r>
        <w:rPr>
          <w:u w:val="single"/>
          <w:lang w:val="en-US" w:eastAsia="zh-CN"/>
        </w:rPr>
        <w:t>1</w:t>
      </w:r>
      <w:r>
        <w:rPr>
          <w:rFonts w:hint="eastAsia"/>
          <w:u w:val="single"/>
          <w:lang w:eastAsia="zh-CN"/>
        </w:rPr>
        <w:t>）</w:t>
      </w:r>
      <w:r>
        <w:rPr>
          <w:rFonts w:hint="eastAsia"/>
          <w:u w:val="single"/>
          <w:lang w:val="en-US" w:eastAsia="zh-CN"/>
        </w:rPr>
        <w:t>付款次数或编号；（</w:t>
      </w:r>
      <w:r>
        <w:rPr>
          <w:u w:val="single"/>
          <w:lang w:val="en-US" w:eastAsia="zh-CN"/>
        </w:rPr>
        <w:t>2</w:t>
      </w:r>
      <w:r>
        <w:rPr>
          <w:rFonts w:hint="eastAsia"/>
          <w:u w:val="single"/>
          <w:lang w:val="en-US" w:eastAsia="zh-CN"/>
        </w:rPr>
        <w:t>）截止本次付款周期末已实施工程的价款；（</w:t>
      </w:r>
      <w:r>
        <w:rPr>
          <w:u w:val="single"/>
          <w:lang w:val="en-US" w:eastAsia="zh-CN"/>
        </w:rPr>
        <w:t>3</w:t>
      </w:r>
      <w:r>
        <w:rPr>
          <w:rFonts w:hint="eastAsia"/>
          <w:u w:val="single"/>
          <w:lang w:val="en-US" w:eastAsia="zh-CN"/>
        </w:rPr>
        <w:t>）变更金额；（</w:t>
      </w:r>
      <w:r>
        <w:rPr>
          <w:u w:val="single"/>
          <w:lang w:val="en-US" w:eastAsia="zh-CN"/>
        </w:rPr>
        <w:t>4</w:t>
      </w:r>
      <w:r>
        <w:rPr>
          <w:rFonts w:hint="eastAsia"/>
          <w:u w:val="single"/>
          <w:lang w:val="en-US" w:eastAsia="zh-CN"/>
        </w:rPr>
        <w:t>）索赔金额；（</w:t>
      </w:r>
      <w:r>
        <w:rPr>
          <w:u w:val="single"/>
          <w:lang w:val="en-US" w:eastAsia="zh-CN"/>
        </w:rPr>
        <w:t>5</w:t>
      </w:r>
      <w:r>
        <w:rPr>
          <w:rFonts w:hint="eastAsia"/>
          <w:u w:val="single"/>
          <w:lang w:val="en-US" w:eastAsia="zh-CN"/>
        </w:rPr>
        <w:t>）本次应支付的预付款和（或）应扣减的返还预付款；（</w:t>
      </w:r>
      <w:r>
        <w:rPr>
          <w:u w:val="single"/>
          <w:lang w:val="en-US" w:eastAsia="zh-CN"/>
        </w:rPr>
        <w:t>6</w:t>
      </w:r>
      <w:r>
        <w:rPr>
          <w:rFonts w:hint="eastAsia"/>
          <w:u w:val="single"/>
          <w:lang w:val="en-US" w:eastAsia="zh-CN"/>
        </w:rPr>
        <w:t>）本次扣减的质量保证金</w:t>
      </w:r>
      <w:r>
        <w:rPr>
          <w:u w:val="single"/>
        </w:rPr>
        <w:t xml:space="preserve">   </w:t>
      </w:r>
    </w:p>
    <w:p>
      <w:pPr>
        <w:pStyle w:val="8"/>
        <w:spacing w:before="140" w:line="364" w:lineRule="auto"/>
        <w:ind w:left="856" w:right="1706" w:firstLine="420" w:firstLineChars="200"/>
      </w:pPr>
      <w:r>
        <w:t>17.3.3</w:t>
      </w:r>
      <w:r>
        <w:rPr>
          <w:spacing w:val="-1"/>
        </w:rPr>
        <w:t xml:space="preserve">  </w:t>
      </w:r>
      <w:r>
        <w:rPr>
          <w:rFonts w:hint="eastAsia"/>
          <w:spacing w:val="-1"/>
        </w:rPr>
        <w:t>进度付款证书和支付时间</w:t>
      </w:r>
      <w:r>
        <w:rPr>
          <w:spacing w:val="-1"/>
        </w:rPr>
        <w:t xml:space="preserve"> </w:t>
      </w:r>
    </w:p>
    <w:p>
      <w:pPr>
        <w:pStyle w:val="8"/>
        <w:spacing w:line="268" w:lineRule="exact"/>
        <w:ind w:left="1405"/>
      </w:pPr>
      <w:r>
        <w:rPr>
          <w:rFonts w:hint="eastAsia"/>
        </w:rPr>
        <w:t>（</w:t>
      </w:r>
      <w:r>
        <w:t>2</w:t>
      </w:r>
      <w:r>
        <w:rPr>
          <w:rFonts w:hint="eastAsia"/>
        </w:rPr>
        <w:t>）逾期付款违约金的计算标准：</w:t>
      </w:r>
      <w:r>
        <w:rPr>
          <w:rFonts w:hint="eastAsia"/>
          <w:u w:val="single"/>
          <w:lang w:val="en-US" w:eastAsia="zh-CN"/>
        </w:rPr>
        <w:t>按照中国人民银行发布的同期同类贷款利率计算</w:t>
      </w:r>
      <w:r>
        <w:rPr>
          <w:u w:val="single"/>
        </w:rPr>
        <w:t xml:space="preserve"> </w:t>
      </w:r>
      <w:r>
        <w:t xml:space="preserve"> </w:t>
      </w:r>
    </w:p>
    <w:p>
      <w:pPr>
        <w:pStyle w:val="8"/>
        <w:spacing w:line="268" w:lineRule="exact"/>
        <w:ind w:left="1405" w:firstLine="420" w:firstLineChars="200"/>
      </w:pPr>
      <w:r>
        <w:rPr>
          <w:rFonts w:hint="eastAsia"/>
        </w:rPr>
        <w:t>逾期付款违约金的计算方法：</w:t>
      </w:r>
      <w:r>
        <w:rPr>
          <w:u w:val="single"/>
        </w:rPr>
        <w:t xml:space="preserve">   </w:t>
      </w:r>
      <w:r>
        <w:rPr>
          <w:rFonts w:hint="eastAsia"/>
          <w:u w:val="single"/>
          <w:lang w:val="en-US" w:eastAsia="zh-CN"/>
        </w:rPr>
        <w:t>按照中国人民银行发布的同期同类贷款利率计算</w:t>
      </w:r>
      <w:r>
        <w:rPr>
          <w:u w:val="single"/>
        </w:rPr>
        <w:t xml:space="preserve"> </w:t>
      </w:r>
      <w:r>
        <w:t xml:space="preserve"> </w:t>
      </w:r>
    </w:p>
    <w:p>
      <w:pPr>
        <w:pStyle w:val="8"/>
        <w:spacing w:before="138"/>
        <w:ind w:left="1258" w:right="1709" w:rightChars="777"/>
      </w:pPr>
      <w:r>
        <w:rPr>
          <w:rFonts w:hint="eastAsia"/>
        </w:rPr>
        <w:t>（</w:t>
      </w:r>
      <w:r>
        <w:t>4</w:t>
      </w:r>
      <w:r>
        <w:rPr>
          <w:rFonts w:hint="eastAsia"/>
        </w:rPr>
        <w:t>）进度付款涉及政府性资金的支付方法：</w:t>
      </w:r>
      <w:r>
        <w:rPr>
          <w:rFonts w:hint="eastAsia"/>
          <w:u w:val="single"/>
        </w:rPr>
        <w:t>承包人同意：如因项目资金拨付审批时间拖延，致使发包人不能及时支付承包人预付款时，发包人可以延迟相应预付款的支付，该延期支付不能视为发包人违约，并不减轻承包人对本合同的责任。</w:t>
      </w:r>
      <w:r>
        <w:t xml:space="preserve"> </w:t>
      </w:r>
    </w:p>
    <w:p>
      <w:pPr>
        <w:pStyle w:val="8"/>
        <w:spacing w:before="2"/>
        <w:rPr>
          <w:sz w:val="15"/>
        </w:rPr>
      </w:pPr>
    </w:p>
    <w:p>
      <w:pPr>
        <w:pStyle w:val="7"/>
        <w:numPr>
          <w:ilvl w:val="1"/>
          <w:numId w:val="41"/>
        </w:numPr>
        <w:tabs>
          <w:tab w:val="left" w:pos="1319"/>
        </w:tabs>
        <w:spacing w:before="67"/>
      </w:pPr>
      <w:bookmarkStart w:id="77" w:name="_bookmark153"/>
      <w:bookmarkEnd w:id="77"/>
      <w:r>
        <w:rPr>
          <w:rFonts w:hint="eastAsia"/>
        </w:rPr>
        <w:t>质量保证金</w:t>
      </w:r>
      <w:r>
        <w:t xml:space="preserve"> </w:t>
      </w:r>
    </w:p>
    <w:p>
      <w:pPr>
        <w:pStyle w:val="8"/>
        <w:spacing w:before="9"/>
      </w:pPr>
    </w:p>
    <w:p>
      <w:pPr>
        <w:pStyle w:val="33"/>
        <w:numPr>
          <w:ilvl w:val="2"/>
          <w:numId w:val="41"/>
        </w:numPr>
        <w:tabs>
          <w:tab w:val="left" w:pos="1890"/>
        </w:tabs>
        <w:ind w:hanging="632"/>
        <w:rPr>
          <w:sz w:val="21"/>
        </w:rPr>
      </w:pPr>
      <w:r>
        <w:rPr>
          <w:rFonts w:hint="eastAsia"/>
          <w:sz w:val="21"/>
        </w:rPr>
        <w:t>质量保证金处理</w:t>
      </w:r>
      <w:r>
        <w:rPr>
          <w:sz w:val="21"/>
        </w:rPr>
        <w:t xml:space="preserve"> </w:t>
      </w:r>
    </w:p>
    <w:p>
      <w:pPr>
        <w:pStyle w:val="8"/>
        <w:spacing w:before="140" w:line="364" w:lineRule="auto"/>
        <w:ind w:left="838" w:right="1793" w:firstLine="420"/>
      </w:pPr>
      <w:r>
        <w:rPr>
          <w:rFonts w:hint="eastAsia"/>
        </w:rPr>
        <w:t>（</w:t>
      </w:r>
      <w:r>
        <w:t>3</w:t>
      </w:r>
      <w:r>
        <w:rPr>
          <w:rFonts w:hint="eastAsia"/>
        </w:rPr>
        <w:t>）质量保证金形式：</w:t>
      </w:r>
      <w:r>
        <w:rPr>
          <w:rFonts w:hint="eastAsia"/>
          <w:u w:val="single"/>
        </w:rPr>
        <w:t>采用扣留质量保证金</w:t>
      </w:r>
      <w:r>
        <w:rPr>
          <w:u w:val="single"/>
        </w:rPr>
        <w:t xml:space="preserve"> </w:t>
      </w:r>
      <w:r>
        <w:t xml:space="preserve"> </w:t>
      </w:r>
      <w:r>
        <w:rPr>
          <w:rFonts w:hint="eastAsia"/>
        </w:rPr>
        <w:t>（</w:t>
      </w:r>
      <w:r>
        <w:rPr>
          <w:rFonts w:hint="eastAsia"/>
          <w:spacing w:val="-1"/>
        </w:rPr>
        <w:t>采用银行保函担保或其他保函担保形式</w:t>
      </w:r>
      <w:r>
        <w:rPr>
          <w:spacing w:val="-1"/>
        </w:rPr>
        <w:t>?</w:t>
      </w:r>
      <w:r>
        <w:rPr>
          <w:rFonts w:hint="eastAsia"/>
          <w:spacing w:val="-1"/>
        </w:rPr>
        <w:t>§</w:t>
      </w:r>
      <w:r>
        <w:rPr>
          <w:spacing w:val="-1"/>
        </w:rPr>
        <w:t>u</w:t>
      </w:r>
      <w:r>
        <w:rPr>
          <w:rFonts w:hint="eastAsia"/>
          <w:spacing w:val="-1"/>
        </w:rPr>
        <w:t>采用扣留</w:t>
      </w:r>
      <w:r>
        <w:rPr>
          <w:rFonts w:hint="eastAsia"/>
        </w:rPr>
        <w:t>质量保证金</w:t>
      </w:r>
      <w:r>
        <w:rPr>
          <w:rFonts w:hint="eastAsia"/>
          <w:spacing w:val="-106"/>
        </w:rPr>
        <w:t>）</w:t>
      </w:r>
      <w:r>
        <w:rPr>
          <w:rFonts w:hint="eastAsia"/>
        </w:rPr>
        <w:t>。</w:t>
      </w:r>
      <w:r>
        <w:t xml:space="preserve"> </w:t>
      </w:r>
    </w:p>
    <w:p>
      <w:pPr>
        <w:pStyle w:val="8"/>
        <w:spacing w:line="268" w:lineRule="exact"/>
        <w:ind w:left="1405"/>
      </w:pPr>
      <w:r>
        <w:rPr>
          <w:rFonts w:hint="eastAsia"/>
        </w:rPr>
        <w:t>质量保证金约定比例：</w:t>
      </w:r>
      <w:r>
        <w:rPr>
          <w:spacing w:val="51"/>
          <w:lang w:val="en-US" w:eastAsia="zh-CN"/>
        </w:rPr>
        <w:t>3</w:t>
      </w:r>
      <w:r>
        <w:rPr>
          <w:spacing w:val="51"/>
        </w:rPr>
        <w:t xml:space="preserve">% </w:t>
      </w:r>
    </w:p>
    <w:p>
      <w:pPr>
        <w:pStyle w:val="8"/>
        <w:spacing w:before="1"/>
        <w:rPr>
          <w:sz w:val="15"/>
        </w:rPr>
      </w:pPr>
    </w:p>
    <w:p>
      <w:pPr>
        <w:pStyle w:val="7"/>
        <w:numPr>
          <w:ilvl w:val="1"/>
          <w:numId w:val="41"/>
        </w:numPr>
        <w:tabs>
          <w:tab w:val="left" w:pos="1319"/>
        </w:tabs>
        <w:spacing w:before="67"/>
      </w:pPr>
      <w:bookmarkStart w:id="78" w:name="_bookmark154"/>
      <w:bookmarkEnd w:id="78"/>
      <w:r>
        <w:rPr>
          <w:rFonts w:hint="eastAsia"/>
        </w:rPr>
        <w:t>竣工结算</w:t>
      </w:r>
      <w:r>
        <w:t xml:space="preserve"> </w:t>
      </w:r>
    </w:p>
    <w:p>
      <w:pPr>
        <w:pStyle w:val="8"/>
        <w:spacing w:before="9"/>
      </w:pPr>
    </w:p>
    <w:p>
      <w:pPr>
        <w:pStyle w:val="33"/>
        <w:numPr>
          <w:ilvl w:val="2"/>
          <w:numId w:val="41"/>
        </w:numPr>
        <w:tabs>
          <w:tab w:val="left" w:pos="1889"/>
        </w:tabs>
        <w:rPr>
          <w:sz w:val="21"/>
        </w:rPr>
      </w:pPr>
      <w:r>
        <w:rPr>
          <w:rFonts w:hint="eastAsia"/>
          <w:sz w:val="21"/>
        </w:rPr>
        <w:t>竣工付款申请单</w:t>
      </w:r>
      <w:r>
        <w:rPr>
          <w:sz w:val="21"/>
        </w:rPr>
        <w:t xml:space="preserve"> </w:t>
      </w:r>
    </w:p>
    <w:p>
      <w:pPr>
        <w:pStyle w:val="8"/>
        <w:numPr>
          <w:ilvl w:val="0"/>
          <w:numId w:val="43"/>
        </w:numPr>
        <w:spacing w:before="140" w:line="364" w:lineRule="auto"/>
        <w:ind w:left="1405" w:right="1665" w:hanging="148"/>
      </w:pPr>
      <w:r>
        <w:rPr>
          <w:rFonts w:hint="eastAsia"/>
        </w:rPr>
        <w:t>承包人提交竣工付款申请单的份数：</w:t>
      </w:r>
      <w:r>
        <w:rPr>
          <w:u w:val="single"/>
        </w:rPr>
        <w:t xml:space="preserve">  </w:t>
      </w:r>
      <w:r>
        <w:rPr>
          <w:rFonts w:hint="eastAsia"/>
          <w:u w:val="single"/>
        </w:rPr>
        <w:t>提交</w:t>
      </w:r>
      <w:r>
        <w:rPr>
          <w:u w:val="single"/>
        </w:rPr>
        <w:t>10</w:t>
      </w:r>
      <w:r>
        <w:rPr>
          <w:rFonts w:hint="eastAsia"/>
          <w:u w:val="single"/>
        </w:rPr>
        <w:t>份竣工付款申请单</w:t>
      </w:r>
      <w:r>
        <w:rPr>
          <w:u w:val="single"/>
        </w:rPr>
        <w:t xml:space="preserve">  </w:t>
      </w:r>
      <w:r>
        <w:t xml:space="preserve"> </w:t>
      </w:r>
    </w:p>
    <w:p>
      <w:pPr>
        <w:pStyle w:val="8"/>
        <w:numPr>
          <w:ilvl w:val="0"/>
          <w:numId w:val="43"/>
        </w:numPr>
        <w:spacing w:before="140" w:line="364" w:lineRule="auto"/>
        <w:ind w:left="1405" w:right="1665" w:hanging="148"/>
      </w:pPr>
      <w:r>
        <w:rPr>
          <w:rFonts w:hint="eastAsia"/>
        </w:rPr>
        <w:t>承包人提交竣工付款申请单的期限：</w:t>
      </w:r>
      <w:r>
        <w:rPr>
          <w:u w:val="single"/>
        </w:rPr>
        <w:t xml:space="preserve"> </w:t>
      </w:r>
      <w:r>
        <w:rPr>
          <w:rFonts w:hint="eastAsia"/>
          <w:u w:val="single"/>
        </w:rPr>
        <w:t>在工程接收证书颁发后</w:t>
      </w:r>
      <w:r>
        <w:rPr>
          <w:u w:val="single"/>
        </w:rPr>
        <w:t>14</w:t>
      </w:r>
      <w:r>
        <w:rPr>
          <w:rFonts w:hint="eastAsia"/>
          <w:u w:val="single"/>
        </w:rPr>
        <w:t>天内。</w:t>
      </w:r>
      <w:r>
        <w:rPr>
          <w:u w:val="single"/>
        </w:rPr>
        <w:t xml:space="preserve"> </w:t>
      </w:r>
      <w:r>
        <w:rPr>
          <w:spacing w:val="-1"/>
          <w:u w:val="single"/>
        </w:rPr>
        <w:t xml:space="preserve"> </w:t>
      </w:r>
      <w:r>
        <w:rPr>
          <w:u w:val="single"/>
        </w:rPr>
        <w:t xml:space="preserve">  </w:t>
      </w:r>
      <w:r>
        <w:rPr>
          <w:spacing w:val="-1"/>
          <w:u w:val="single"/>
        </w:rPr>
        <w:t xml:space="preserve"> </w:t>
      </w:r>
      <w:r>
        <w:t xml:space="preserve"> </w:t>
      </w:r>
    </w:p>
    <w:p>
      <w:pPr>
        <w:pStyle w:val="8"/>
        <w:spacing w:line="268" w:lineRule="exact"/>
        <w:ind w:left="1258" w:right="1709" w:rightChars="777"/>
      </w:pPr>
      <w:r>
        <w:rPr>
          <w:rFonts w:hint="eastAsia"/>
        </w:rPr>
        <w:t>（</w:t>
      </w:r>
      <w:r>
        <w:t>2</w:t>
      </w:r>
      <w:r>
        <w:rPr>
          <w:rFonts w:hint="eastAsia"/>
        </w:rPr>
        <w:t>）竣工付款申请单的其他内容：</w:t>
      </w:r>
      <w:r>
        <w:rPr>
          <w:u w:val="single"/>
        </w:rPr>
        <w:t xml:space="preserve"> </w:t>
      </w:r>
      <w:r>
        <w:rPr>
          <w:rFonts w:hint="eastAsia"/>
          <w:u w:val="single"/>
        </w:rPr>
        <w:t>竣工结算合同总价、已支付的工程价款、应扣回的预付款、应扣留的质量保证金、应支付的竣工付款金额等。</w:t>
      </w:r>
      <w:r>
        <w:rPr>
          <w:u w:val="single"/>
        </w:rPr>
        <w:t xml:space="preserve"> </w:t>
      </w:r>
      <w:r>
        <w:t xml:space="preserve"> </w:t>
      </w:r>
    </w:p>
    <w:p>
      <w:pPr>
        <w:pStyle w:val="8"/>
        <w:spacing w:before="2"/>
        <w:rPr>
          <w:sz w:val="15"/>
        </w:rPr>
      </w:pPr>
    </w:p>
    <w:p>
      <w:pPr>
        <w:pStyle w:val="7"/>
        <w:numPr>
          <w:ilvl w:val="1"/>
          <w:numId w:val="41"/>
        </w:numPr>
        <w:tabs>
          <w:tab w:val="left" w:pos="1319"/>
        </w:tabs>
      </w:pPr>
      <w:bookmarkStart w:id="79" w:name="_bookmark155"/>
      <w:bookmarkEnd w:id="79"/>
      <w:r>
        <w:rPr>
          <w:rFonts w:hint="eastAsia"/>
        </w:rPr>
        <w:t>最终结清</w:t>
      </w:r>
      <w:r>
        <w:t xml:space="preserve"> </w:t>
      </w:r>
    </w:p>
    <w:p>
      <w:pPr>
        <w:pStyle w:val="8"/>
        <w:spacing w:before="9"/>
      </w:pPr>
    </w:p>
    <w:p>
      <w:pPr>
        <w:pStyle w:val="33"/>
        <w:numPr>
          <w:ilvl w:val="2"/>
          <w:numId w:val="41"/>
        </w:numPr>
        <w:tabs>
          <w:tab w:val="left" w:pos="1889"/>
        </w:tabs>
        <w:rPr>
          <w:sz w:val="21"/>
        </w:rPr>
      </w:pPr>
      <w:r>
        <w:rPr>
          <w:rFonts w:hint="eastAsia"/>
          <w:sz w:val="21"/>
        </w:rPr>
        <w:t>最终结清申请单</w:t>
      </w:r>
      <w:r>
        <w:rPr>
          <w:sz w:val="21"/>
        </w:rPr>
        <w:t xml:space="preserve"> </w:t>
      </w:r>
    </w:p>
    <w:p>
      <w:pPr>
        <w:pStyle w:val="8"/>
        <w:numPr>
          <w:ilvl w:val="0"/>
          <w:numId w:val="44"/>
        </w:numPr>
        <w:spacing w:before="139" w:line="364" w:lineRule="auto"/>
        <w:ind w:left="1783" w:right="1707" w:hanging="526"/>
        <w:jc w:val="both"/>
      </w:pPr>
      <w:r>
        <w:rPr>
          <w:rFonts w:hint="eastAsia"/>
        </w:rPr>
        <w:t>承包人提交最终结清申请单的份数：提交</w:t>
      </w:r>
      <w:r>
        <w:t>10</w:t>
      </w:r>
      <w:r>
        <w:rPr>
          <w:rFonts w:hint="eastAsia"/>
        </w:rPr>
        <w:t>份最终结清申请单</w:t>
      </w:r>
    </w:p>
    <w:p>
      <w:pPr>
        <w:pStyle w:val="8"/>
        <w:spacing w:before="139" w:line="364" w:lineRule="auto"/>
        <w:ind w:left="1257" w:right="1707" w:firstLine="420" w:firstLineChars="200"/>
        <w:jc w:val="both"/>
      </w:pPr>
      <w:r>
        <w:t xml:space="preserve"> </w:t>
      </w:r>
      <w:r>
        <w:rPr>
          <w:rFonts w:hint="eastAsia"/>
        </w:rPr>
        <w:t>承包人提交最终结清申请单的期限：在缺陷责任期终止证书颁发后</w:t>
      </w:r>
      <w:r>
        <w:t>28</w:t>
      </w:r>
      <w:r>
        <w:rPr>
          <w:rFonts w:hint="eastAsia"/>
        </w:rPr>
        <w:t>天内</w:t>
      </w:r>
    </w:p>
    <w:p>
      <w:pPr>
        <w:pStyle w:val="8"/>
        <w:spacing w:before="139" w:line="364" w:lineRule="auto"/>
        <w:ind w:left="1257" w:right="1707" w:firstLine="420" w:firstLineChars="200"/>
        <w:jc w:val="both"/>
      </w:pPr>
      <w:r>
        <w:rPr>
          <w:rFonts w:hint="eastAsia"/>
        </w:rPr>
        <w:t>发包人向承包人</w:t>
      </w:r>
      <w:r>
        <w:rPr>
          <w:rFonts w:hint="eastAsia"/>
          <w:u w:val="single"/>
        </w:rPr>
        <w:t>不支付</w:t>
      </w:r>
      <w:r>
        <w:rPr>
          <w:rFonts w:hint="eastAsia"/>
        </w:rPr>
        <w:t>（支付</w:t>
      </w:r>
      <w:r>
        <w:t xml:space="preserve"> /</w:t>
      </w:r>
      <w:r>
        <w:rPr>
          <w:spacing w:val="-1"/>
        </w:rPr>
        <w:t xml:space="preserve"> </w:t>
      </w:r>
      <w:r>
        <w:rPr>
          <w:rFonts w:hint="eastAsia"/>
          <w:spacing w:val="-1"/>
        </w:rPr>
        <w:t>不支付</w:t>
      </w:r>
      <w:r>
        <w:rPr>
          <w:rFonts w:hint="eastAsia"/>
        </w:rPr>
        <w:t>）质量保证金利息。</w:t>
      </w:r>
      <w:r>
        <w:t xml:space="preserve"> </w:t>
      </w:r>
    </w:p>
    <w:p>
      <w:pPr>
        <w:pStyle w:val="8"/>
        <w:spacing w:before="4"/>
        <w:rPr>
          <w:sz w:val="16"/>
        </w:rPr>
      </w:pPr>
    </w:p>
    <w:p>
      <w:pPr>
        <w:pStyle w:val="8"/>
        <w:spacing w:before="70"/>
        <w:ind w:right="2349" w:firstLine="1680" w:firstLineChars="800"/>
        <w:jc w:val="both"/>
      </w:pPr>
      <w:r>
        <w:rPr>
          <w:rFonts w:hint="eastAsia"/>
        </w:rPr>
        <w:t>发包人向承包人支付质量保证金利息的，利息计算方法：</w:t>
      </w:r>
      <w:r>
        <w:rPr>
          <w:u w:val="single"/>
        </w:rPr>
        <w:t xml:space="preserve">    </w:t>
      </w:r>
      <w:r>
        <w:rPr>
          <w:u w:val="single"/>
          <w:lang w:val="en-US" w:eastAsia="zh-CN"/>
        </w:rPr>
        <w:t>/</w:t>
      </w:r>
      <w:r>
        <w:rPr>
          <w:u w:val="single"/>
        </w:rPr>
        <w:t xml:space="preserve">                </w:t>
      </w:r>
      <w:r>
        <w:t xml:space="preserve"> </w:t>
      </w:r>
    </w:p>
    <w:p>
      <w:pPr>
        <w:pStyle w:val="8"/>
        <w:spacing w:before="9"/>
        <w:rPr>
          <w:sz w:val="15"/>
        </w:rPr>
      </w:pPr>
    </w:p>
    <w:p>
      <w:pPr>
        <w:pStyle w:val="6"/>
        <w:numPr>
          <w:ilvl w:val="0"/>
          <w:numId w:val="38"/>
        </w:numPr>
        <w:tabs>
          <w:tab w:val="left" w:pos="1260"/>
        </w:tabs>
      </w:pPr>
      <w:bookmarkStart w:id="80" w:name="_bookmark156"/>
      <w:bookmarkEnd w:id="80"/>
      <w:r>
        <w:rPr>
          <w:rFonts w:hint="eastAsia"/>
        </w:rPr>
        <w:t>竣工验收</w:t>
      </w:r>
      <w:r>
        <w:t xml:space="preserve"> </w:t>
      </w:r>
    </w:p>
    <w:p>
      <w:pPr>
        <w:pStyle w:val="8"/>
        <w:spacing w:before="11"/>
        <w:rPr>
          <w:sz w:val="23"/>
        </w:rPr>
      </w:pPr>
    </w:p>
    <w:p>
      <w:pPr>
        <w:pStyle w:val="7"/>
        <w:spacing w:before="0"/>
        <w:ind w:left="838"/>
      </w:pPr>
      <w:bookmarkStart w:id="81" w:name="_bookmark157"/>
      <w:bookmarkEnd w:id="81"/>
      <w:r>
        <w:t xml:space="preserve">18.2 </w:t>
      </w:r>
      <w:r>
        <w:rPr>
          <w:rFonts w:hint="eastAsia"/>
        </w:rPr>
        <w:t>竣工验收申请报告</w:t>
      </w:r>
      <w:r>
        <w:t xml:space="preserve"> </w:t>
      </w:r>
    </w:p>
    <w:p>
      <w:pPr>
        <w:pStyle w:val="8"/>
        <w:spacing w:before="9"/>
      </w:pPr>
    </w:p>
    <w:p>
      <w:pPr>
        <w:pStyle w:val="8"/>
        <w:numPr>
          <w:ilvl w:val="0"/>
          <w:numId w:val="44"/>
        </w:numPr>
        <w:spacing w:before="140" w:line="364" w:lineRule="auto"/>
        <w:ind w:left="1783" w:right="1708" w:hanging="526"/>
        <w:jc w:val="both"/>
      </w:pPr>
      <w:r>
        <w:rPr>
          <w:rFonts w:hint="eastAsia"/>
        </w:rPr>
        <w:t>承包人负责整理和提交的竣工验收资料具体内容：</w:t>
      </w:r>
      <w:r>
        <w:rPr>
          <w:u w:val="single"/>
        </w:rPr>
        <w:t xml:space="preserve">  </w:t>
      </w:r>
      <w:r>
        <w:rPr>
          <w:rFonts w:hint="eastAsia"/>
          <w:u w:val="single"/>
        </w:rPr>
        <w:t>竣工资料、全套竣工图（含所有专业分包范围），由承包人严格按《建筑工程资料管理规程》</w:t>
      </w:r>
      <w:r>
        <w:rPr>
          <w:u w:val="single"/>
        </w:rPr>
        <w:t xml:space="preserve"> DB11/T695-2017</w:t>
      </w:r>
      <w:r>
        <w:rPr>
          <w:rFonts w:hint="eastAsia"/>
          <w:u w:val="single"/>
        </w:rPr>
        <w:t>要求进行整理，于工程竣工验收合格后【</w:t>
      </w:r>
      <w:r>
        <w:rPr>
          <w:u w:val="single"/>
        </w:rPr>
        <w:t>6</w:t>
      </w:r>
      <w:r>
        <w:rPr>
          <w:rFonts w:hint="eastAsia"/>
          <w:u w:val="single"/>
        </w:rPr>
        <w:t>个月】内提交监理人，经监理人审核后报至发包人。</w:t>
      </w:r>
      <w:r>
        <w:rPr>
          <w:u w:val="single"/>
        </w:rPr>
        <w:t xml:space="preserve"> </w:t>
      </w:r>
      <w:r>
        <w:rPr>
          <w:spacing w:val="-1"/>
          <w:u w:val="single"/>
        </w:rPr>
        <w:t xml:space="preserve"> </w:t>
      </w:r>
      <w:r>
        <w:t xml:space="preserve"> </w:t>
      </w:r>
    </w:p>
    <w:p>
      <w:pPr>
        <w:pStyle w:val="8"/>
        <w:spacing w:before="140" w:line="364" w:lineRule="auto"/>
        <w:ind w:left="1257" w:right="1708"/>
        <w:jc w:val="both"/>
      </w:pPr>
      <w:r>
        <w:rPr>
          <w:rFonts w:hint="eastAsia"/>
        </w:rPr>
        <w:t>竣工验收资料的份数：</w:t>
      </w:r>
      <w:r>
        <w:rPr>
          <w:rFonts w:hint="eastAsia"/>
          <w:u w:val="single"/>
        </w:rPr>
        <w:t>纸质文档</w:t>
      </w:r>
      <w:r>
        <w:rPr>
          <w:u w:val="single"/>
        </w:rPr>
        <w:t>8</w:t>
      </w:r>
      <w:r>
        <w:rPr>
          <w:rFonts w:hint="eastAsia"/>
          <w:u w:val="single"/>
        </w:rPr>
        <w:t>套及电子光盘</w:t>
      </w:r>
    </w:p>
    <w:p>
      <w:pPr>
        <w:pStyle w:val="8"/>
        <w:spacing w:before="140" w:line="364" w:lineRule="auto"/>
        <w:ind w:left="1257" w:right="1708"/>
        <w:jc w:val="both"/>
      </w:pPr>
      <w:r>
        <w:rPr>
          <w:rFonts w:hint="eastAsia"/>
        </w:rPr>
        <w:t>竣工验收资料的费用支付方式：</w:t>
      </w:r>
      <w:r>
        <w:rPr>
          <w:u w:val="single"/>
        </w:rPr>
        <w:t xml:space="preserve"> </w:t>
      </w:r>
      <w:r>
        <w:rPr>
          <w:rFonts w:hint="eastAsia"/>
          <w:u w:val="single"/>
        </w:rPr>
        <w:t>费用已包含在签约合同价款中，不再另行计取。</w:t>
      </w:r>
      <w:r>
        <w:rPr>
          <w:spacing w:val="-2"/>
          <w:u w:val="single"/>
        </w:rPr>
        <w:t xml:space="preserve"> </w:t>
      </w:r>
      <w:r>
        <w:t xml:space="preserve"> </w:t>
      </w:r>
    </w:p>
    <w:p>
      <w:pPr>
        <w:pStyle w:val="7"/>
        <w:numPr>
          <w:ilvl w:val="1"/>
          <w:numId w:val="45"/>
        </w:numPr>
        <w:tabs>
          <w:tab w:val="left" w:pos="1319"/>
        </w:tabs>
        <w:spacing w:before="120"/>
      </w:pPr>
      <w:bookmarkStart w:id="82" w:name="_bookmark158"/>
      <w:bookmarkEnd w:id="82"/>
      <w:r>
        <w:rPr>
          <w:rFonts w:hint="eastAsia"/>
        </w:rPr>
        <w:t>竣工验收前的清理</w:t>
      </w:r>
      <w:r>
        <w:t xml:space="preserve"> </w:t>
      </w:r>
    </w:p>
    <w:p>
      <w:pPr>
        <w:pStyle w:val="8"/>
        <w:spacing w:before="9"/>
      </w:pPr>
    </w:p>
    <w:p>
      <w:pPr>
        <w:pStyle w:val="33"/>
        <w:tabs>
          <w:tab w:val="left" w:pos="1889"/>
        </w:tabs>
        <w:spacing w:line="364" w:lineRule="auto"/>
        <w:ind w:left="1258" w:right="1793" w:firstLine="0"/>
        <w:rPr>
          <w:sz w:val="21"/>
        </w:rPr>
      </w:pPr>
      <w:r>
        <w:rPr>
          <w:rFonts w:hint="eastAsia"/>
          <w:spacing w:val="-7"/>
          <w:sz w:val="21"/>
        </w:rPr>
        <w:t>在向发包人提交竣工验收申请报告前，承包人应当完成下述竣工验收前的清理工作：</w:t>
      </w:r>
      <w:r>
        <w:rPr>
          <w:spacing w:val="-7"/>
          <w:sz w:val="21"/>
        </w:rPr>
        <w:t xml:space="preserve"> </w:t>
      </w:r>
    </w:p>
    <w:p>
      <w:pPr>
        <w:pStyle w:val="8"/>
        <w:spacing w:line="268" w:lineRule="exact"/>
        <w:ind w:left="1258"/>
      </w:pPr>
      <w:r>
        <w:rPr>
          <w:rFonts w:hint="eastAsia"/>
        </w:rPr>
        <w:t>（</w:t>
      </w:r>
      <w:r>
        <w:t>4</w:t>
      </w:r>
      <w:r>
        <w:rPr>
          <w:rFonts w:hint="eastAsia"/>
        </w:rPr>
        <w:t>）其他清理工作：</w:t>
      </w:r>
      <w:r>
        <w:rPr>
          <w:rFonts w:hint="eastAsia"/>
          <w:u w:val="single"/>
          <w:lang w:eastAsia="zh-CN"/>
        </w:rPr>
        <w:t>无</w:t>
      </w:r>
      <w:r>
        <w:t xml:space="preserve"> </w:t>
      </w:r>
    </w:p>
    <w:p>
      <w:pPr>
        <w:pStyle w:val="8"/>
        <w:spacing w:before="1"/>
        <w:rPr>
          <w:sz w:val="15"/>
        </w:rPr>
      </w:pPr>
    </w:p>
    <w:p>
      <w:pPr>
        <w:pStyle w:val="7"/>
        <w:numPr>
          <w:ilvl w:val="1"/>
          <w:numId w:val="45"/>
        </w:numPr>
        <w:tabs>
          <w:tab w:val="left" w:pos="1319"/>
        </w:tabs>
        <w:spacing w:before="67"/>
      </w:pPr>
      <w:bookmarkStart w:id="83" w:name="_bookmark159"/>
      <w:bookmarkEnd w:id="83"/>
      <w:r>
        <w:rPr>
          <w:rFonts w:hint="eastAsia"/>
        </w:rPr>
        <w:t>竣工清场</w:t>
      </w:r>
      <w:r>
        <w:t xml:space="preserve"> </w:t>
      </w:r>
    </w:p>
    <w:p>
      <w:pPr>
        <w:pStyle w:val="8"/>
        <w:spacing w:before="10"/>
      </w:pPr>
    </w:p>
    <w:p>
      <w:pPr>
        <w:pStyle w:val="33"/>
        <w:tabs>
          <w:tab w:val="left" w:pos="1890"/>
          <w:tab w:val="left" w:pos="7257"/>
        </w:tabs>
        <w:spacing w:line="364" w:lineRule="auto"/>
        <w:ind w:left="1258" w:right="1793" w:firstLine="0"/>
        <w:rPr>
          <w:sz w:val="21"/>
        </w:rPr>
      </w:pPr>
      <w:r>
        <w:rPr>
          <w:rFonts w:hint="eastAsia"/>
          <w:sz w:val="21"/>
        </w:rPr>
        <w:t>监理人颁发（出具）工程接收证书后，承包人应在</w:t>
      </w:r>
      <w:r>
        <w:rPr>
          <w:sz w:val="21"/>
          <w:u w:val="single"/>
        </w:rPr>
        <w:t xml:space="preserve"> </w:t>
      </w:r>
      <w:r>
        <w:rPr>
          <w:sz w:val="21"/>
          <w:u w:val="single"/>
        </w:rPr>
        <w:tab/>
      </w:r>
      <w:r>
        <w:rPr>
          <w:rFonts w:hint="eastAsia"/>
          <w:sz w:val="21"/>
        </w:rPr>
        <w:t>天内按照以下要求</w:t>
      </w:r>
      <w:r>
        <w:rPr>
          <w:rFonts w:hint="eastAsia"/>
          <w:spacing w:val="-17"/>
          <w:sz w:val="21"/>
        </w:rPr>
        <w:t>对</w:t>
      </w:r>
      <w:r>
        <w:rPr>
          <w:rFonts w:hint="eastAsia"/>
          <w:sz w:val="21"/>
        </w:rPr>
        <w:t>施工场地进行清理并承担相关费用，直至监理人检验合格为止。</w:t>
      </w:r>
      <w:r>
        <w:rPr>
          <w:sz w:val="21"/>
        </w:rPr>
        <w:t xml:space="preserve"> </w:t>
      </w:r>
    </w:p>
    <w:p>
      <w:pPr>
        <w:pStyle w:val="8"/>
        <w:spacing w:line="268" w:lineRule="exact"/>
        <w:ind w:left="1258"/>
      </w:pPr>
      <w:r>
        <w:rPr>
          <w:rFonts w:hint="eastAsia"/>
        </w:rPr>
        <w:t>（</w:t>
      </w:r>
      <w:r>
        <w:rPr>
          <w:rFonts w:ascii="Times New Roman" w:eastAsia="Times New Roman"/>
        </w:rPr>
        <w:t>5</w:t>
      </w:r>
      <w:r>
        <w:rPr>
          <w:rFonts w:hint="eastAsia"/>
        </w:rPr>
        <w:t>）其他场地清理工作：</w:t>
      </w:r>
      <w:r>
        <w:rPr>
          <w:u w:val="single"/>
        </w:rPr>
        <w:t xml:space="preserve">                                                    </w:t>
      </w:r>
      <w:r>
        <w:t xml:space="preserve"> </w:t>
      </w:r>
    </w:p>
    <w:p>
      <w:pPr>
        <w:pStyle w:val="8"/>
        <w:tabs>
          <w:tab w:val="left" w:pos="9129"/>
        </w:tabs>
        <w:spacing w:before="140"/>
        <w:ind w:left="838"/>
      </w:pPr>
      <w:r>
        <w:rPr>
          <w:u w:val="single"/>
        </w:rPr>
        <w:t xml:space="preserve"> </w:t>
      </w:r>
      <w:r>
        <w:rPr>
          <w:u w:val="single"/>
        </w:rPr>
        <w:tab/>
      </w:r>
      <w:r>
        <w:t xml:space="preserve"> </w:t>
      </w:r>
    </w:p>
    <w:p>
      <w:pPr>
        <w:pStyle w:val="8"/>
        <w:spacing w:before="2"/>
        <w:rPr>
          <w:sz w:val="15"/>
        </w:rPr>
      </w:pPr>
    </w:p>
    <w:p>
      <w:pPr>
        <w:pStyle w:val="7"/>
        <w:numPr>
          <w:ilvl w:val="1"/>
          <w:numId w:val="45"/>
        </w:numPr>
        <w:tabs>
          <w:tab w:val="left" w:pos="1319"/>
        </w:tabs>
      </w:pPr>
      <w:bookmarkStart w:id="84" w:name="_bookmark160"/>
      <w:bookmarkEnd w:id="84"/>
      <w:r>
        <w:rPr>
          <w:rFonts w:hint="eastAsia"/>
        </w:rPr>
        <w:t>施工队伍的撤离</w:t>
      </w:r>
      <w:r>
        <w:t xml:space="preserve"> </w:t>
      </w:r>
    </w:p>
    <w:p>
      <w:pPr>
        <w:pStyle w:val="8"/>
        <w:spacing w:before="9"/>
      </w:pPr>
    </w:p>
    <w:p>
      <w:pPr>
        <w:pStyle w:val="8"/>
        <w:ind w:left="1258"/>
      </w:pPr>
      <w:r>
        <w:t xml:space="preserve">18.7.3 </w:t>
      </w:r>
      <w:r>
        <w:rPr>
          <w:rFonts w:hint="eastAsia"/>
        </w:rPr>
        <w:t>缺陷责任期满时，承包人在施工场地保留的人员和施工设备最终撤离的期限：</w:t>
      </w:r>
      <w:r>
        <w:t xml:space="preserve">                </w:t>
      </w:r>
    </w:p>
    <w:p>
      <w:pPr>
        <w:pStyle w:val="8"/>
        <w:spacing w:before="140"/>
        <w:ind w:left="838"/>
      </w:pPr>
      <w:r>
        <w:rPr>
          <w:u w:val="single"/>
        </w:rPr>
        <w:t xml:space="preserve">     </w:t>
      </w:r>
      <w:r>
        <w:rPr>
          <w:rFonts w:hint="eastAsia"/>
          <w:u w:val="single"/>
        </w:rPr>
        <w:t>在发包人发出最终撤离通知后</w:t>
      </w:r>
      <w:r>
        <w:rPr>
          <w:u w:val="single"/>
        </w:rPr>
        <w:t>15</w:t>
      </w:r>
      <w:r>
        <w:rPr>
          <w:rFonts w:hint="eastAsia"/>
          <w:u w:val="single"/>
        </w:rPr>
        <w:t>天内，延后撤离造成发包人增加的费用，应由承包人承担。</w:t>
      </w:r>
      <w:r>
        <w:t xml:space="preserve"> </w:t>
      </w:r>
      <w:r>
        <w:rPr>
          <w:spacing w:val="-1"/>
        </w:rPr>
        <w:t xml:space="preserve"> </w:t>
      </w:r>
      <w:r>
        <w:t xml:space="preserve"> </w:t>
      </w:r>
    </w:p>
    <w:p>
      <w:pPr>
        <w:pStyle w:val="8"/>
        <w:spacing w:before="2"/>
        <w:rPr>
          <w:sz w:val="15"/>
        </w:rPr>
      </w:pPr>
    </w:p>
    <w:p>
      <w:pPr>
        <w:pStyle w:val="7"/>
        <w:numPr>
          <w:ilvl w:val="1"/>
          <w:numId w:val="45"/>
        </w:numPr>
        <w:tabs>
          <w:tab w:val="left" w:pos="1319"/>
        </w:tabs>
      </w:pPr>
      <w:bookmarkStart w:id="85" w:name="_bookmark161"/>
      <w:bookmarkEnd w:id="85"/>
      <w:r>
        <w:rPr>
          <w:rFonts w:hint="eastAsia"/>
        </w:rPr>
        <w:t>中间验收</w:t>
      </w:r>
      <w:r>
        <w:t xml:space="preserve"> </w:t>
      </w:r>
    </w:p>
    <w:p>
      <w:pPr>
        <w:pStyle w:val="8"/>
        <w:spacing w:before="9"/>
      </w:pPr>
    </w:p>
    <w:p>
      <w:pPr>
        <w:pStyle w:val="8"/>
        <w:spacing w:before="140" w:line="364" w:lineRule="auto"/>
        <w:ind w:left="1258" w:right="1709" w:hanging="420"/>
      </w:pPr>
      <w:r>
        <w:t xml:space="preserve">18.8.1 </w:t>
      </w:r>
      <w:r>
        <w:rPr>
          <w:rFonts w:hint="eastAsia"/>
        </w:rPr>
        <w:t>本工程需要进行中间验收的部位：</w:t>
      </w:r>
      <w:r>
        <w:rPr>
          <w:u w:val="single"/>
        </w:rPr>
        <w:t xml:space="preserve">  </w:t>
      </w:r>
      <w:r>
        <w:rPr>
          <w:rFonts w:hint="eastAsia"/>
          <w:u w:val="single"/>
        </w:rPr>
        <w:t>按相关规范执行</w:t>
      </w:r>
      <w:r>
        <w:rPr>
          <w:u w:val="single"/>
        </w:rPr>
        <w:t xml:space="preserve"> </w:t>
      </w:r>
      <w:r>
        <w:rPr>
          <w:spacing w:val="-1"/>
          <w:u w:val="single"/>
        </w:rPr>
        <w:t xml:space="preserve"> </w:t>
      </w:r>
      <w:r>
        <w:t xml:space="preserve"> </w:t>
      </w:r>
    </w:p>
    <w:p>
      <w:pPr>
        <w:pStyle w:val="8"/>
        <w:spacing w:before="140" w:line="364" w:lineRule="auto"/>
        <w:ind w:left="1258" w:right="1709" w:hanging="420"/>
      </w:pPr>
      <w:r>
        <w:t>18.8.2</w:t>
      </w:r>
      <w:r>
        <w:rPr>
          <w:spacing w:val="-1"/>
        </w:rPr>
        <w:t xml:space="preserve">  </w:t>
      </w:r>
      <w:r>
        <w:rPr>
          <w:rFonts w:hint="eastAsia"/>
          <w:spacing w:val="-1"/>
        </w:rPr>
        <w:t>验收不合格的，承包人在</w:t>
      </w:r>
      <w:r>
        <w:rPr>
          <w:spacing w:val="-1"/>
          <w:u w:val="single"/>
        </w:rPr>
        <w:t xml:space="preserve">  </w:t>
      </w:r>
      <w:r>
        <w:rPr>
          <w:rFonts w:hint="eastAsia"/>
          <w:spacing w:val="-1"/>
          <w:u w:val="single"/>
        </w:rPr>
        <w:t>发包人规定的</w:t>
      </w:r>
      <w:r>
        <w:rPr>
          <w:spacing w:val="-1"/>
          <w:u w:val="single"/>
        </w:rPr>
        <w:t xml:space="preserve">  </w:t>
      </w:r>
      <w:r>
        <w:rPr>
          <w:rFonts w:hint="eastAsia"/>
          <w:spacing w:val="-1"/>
        </w:rPr>
        <w:t>期限内进行修改后重新验收。</w:t>
      </w:r>
      <w:r>
        <w:rPr>
          <w:spacing w:val="-1"/>
        </w:rPr>
        <w:t xml:space="preserve"> </w:t>
      </w:r>
    </w:p>
    <w:p>
      <w:pPr>
        <w:pStyle w:val="6"/>
        <w:numPr>
          <w:ilvl w:val="0"/>
          <w:numId w:val="38"/>
        </w:numPr>
        <w:tabs>
          <w:tab w:val="left" w:pos="1260"/>
        </w:tabs>
        <w:spacing w:before="122"/>
      </w:pPr>
      <w:bookmarkStart w:id="86" w:name="_bookmark162"/>
      <w:bookmarkEnd w:id="86"/>
      <w:r>
        <w:rPr>
          <w:rFonts w:hint="eastAsia"/>
          <w:w w:val="95"/>
        </w:rPr>
        <w:t>缺陷责任与保修责任</w:t>
      </w:r>
      <w:r>
        <w:rPr>
          <w:w w:val="95"/>
        </w:rPr>
        <w:t xml:space="preserve"> </w:t>
      </w:r>
    </w:p>
    <w:p>
      <w:pPr>
        <w:pStyle w:val="8"/>
        <w:spacing w:before="9"/>
        <w:rPr>
          <w:sz w:val="23"/>
        </w:rPr>
      </w:pPr>
    </w:p>
    <w:p>
      <w:pPr>
        <w:pStyle w:val="7"/>
        <w:numPr>
          <w:ilvl w:val="1"/>
          <w:numId w:val="38"/>
        </w:numPr>
        <w:tabs>
          <w:tab w:val="left" w:pos="1319"/>
        </w:tabs>
        <w:spacing w:before="0"/>
      </w:pPr>
      <w:bookmarkStart w:id="87" w:name="_bookmark163"/>
      <w:bookmarkEnd w:id="87"/>
      <w:r>
        <w:rPr>
          <w:rFonts w:hint="eastAsia"/>
        </w:rPr>
        <w:t>缺陷责任期的起算时间</w:t>
      </w:r>
      <w:r>
        <w:t xml:space="preserve"> </w:t>
      </w:r>
    </w:p>
    <w:p>
      <w:pPr>
        <w:pStyle w:val="8"/>
        <w:spacing w:before="9"/>
      </w:pPr>
    </w:p>
    <w:p>
      <w:pPr>
        <w:pStyle w:val="8"/>
        <w:ind w:left="1258"/>
      </w:pPr>
      <w:r>
        <w:rPr>
          <w:rFonts w:hint="eastAsia"/>
        </w:rPr>
        <w:t>缺陷责任期的起算时间：</w:t>
      </w:r>
      <w:r>
        <w:rPr>
          <w:u w:val="single"/>
        </w:rPr>
        <w:t xml:space="preserve"> </w:t>
      </w:r>
      <w:r>
        <w:rPr>
          <w:rFonts w:hint="eastAsia"/>
          <w:u w:val="single"/>
          <w:lang w:eastAsia="zh-CN"/>
        </w:rPr>
        <w:t>竣工验收合格之日起</w:t>
      </w:r>
      <w:r>
        <w:rPr>
          <w:u w:val="single"/>
        </w:rPr>
        <w:t xml:space="preserve">   </w:t>
      </w:r>
    </w:p>
    <w:p>
      <w:pPr>
        <w:pStyle w:val="8"/>
        <w:spacing w:before="3"/>
        <w:rPr>
          <w:sz w:val="15"/>
        </w:rPr>
      </w:pPr>
    </w:p>
    <w:p>
      <w:pPr>
        <w:pStyle w:val="7"/>
        <w:ind w:left="838"/>
      </w:pPr>
      <w:bookmarkStart w:id="88" w:name="_bookmark164"/>
      <w:bookmarkEnd w:id="88"/>
      <w:r>
        <w:t xml:space="preserve">19.7 </w:t>
      </w:r>
      <w:r>
        <w:rPr>
          <w:rFonts w:hint="eastAsia"/>
        </w:rPr>
        <w:t>保修责任</w:t>
      </w:r>
      <w:r>
        <w:t xml:space="preserve"> </w:t>
      </w:r>
    </w:p>
    <w:p>
      <w:pPr>
        <w:pStyle w:val="8"/>
        <w:spacing w:before="9"/>
      </w:pPr>
    </w:p>
    <w:p>
      <w:pPr>
        <w:pStyle w:val="8"/>
        <w:spacing w:before="8"/>
        <w:ind w:firstLine="840" w:firstLineChars="400"/>
        <w:rPr>
          <w:sz w:val="14"/>
        </w:rPr>
      </w:pPr>
      <w:r>
        <w:t xml:space="preserve">19.7.1 </w:t>
      </w:r>
      <w:r>
        <w:rPr>
          <w:rFonts w:hint="eastAsia"/>
        </w:rPr>
        <w:t>工程质量保修范围：</w:t>
      </w:r>
      <w:r>
        <w:rPr>
          <w:u w:val="single"/>
        </w:rPr>
        <w:t xml:space="preserve">  </w:t>
      </w:r>
      <w:r>
        <w:rPr>
          <w:rFonts w:hint="eastAsia"/>
          <w:u w:val="single"/>
        </w:rPr>
        <w:t>执行《建设工程质量管理条例》</w:t>
      </w:r>
      <w:r>
        <w:rPr>
          <w:u w:val="single"/>
        </w:rPr>
        <w:t xml:space="preserve">  </w:t>
      </w:r>
      <w:r>
        <w:t xml:space="preserve"> </w:t>
      </w:r>
    </w:p>
    <w:p>
      <w:pPr>
        <w:pStyle w:val="8"/>
        <w:spacing w:before="70" w:line="364" w:lineRule="auto"/>
        <w:ind w:left="1258" w:right="1708"/>
      </w:pPr>
      <w:r>
        <w:rPr>
          <w:rFonts w:hint="eastAsia"/>
        </w:rPr>
        <w:t>工程质量保修期限：</w:t>
      </w:r>
      <w:r>
        <w:rPr>
          <w:u w:val="single"/>
        </w:rPr>
        <w:t xml:space="preserve">     </w:t>
      </w:r>
      <w:r>
        <w:rPr>
          <w:rFonts w:hint="eastAsia"/>
          <w:u w:val="single"/>
        </w:rPr>
        <w:t>执行《建设工程质量管理条例》</w:t>
      </w:r>
      <w:r>
        <w:rPr>
          <w:u w:val="single"/>
        </w:rPr>
        <w:t xml:space="preserve">    </w:t>
      </w:r>
      <w:r>
        <w:t xml:space="preserve"> </w:t>
      </w:r>
    </w:p>
    <w:p>
      <w:pPr>
        <w:pStyle w:val="8"/>
        <w:spacing w:before="70" w:line="364" w:lineRule="auto"/>
        <w:ind w:left="1258" w:right="1708"/>
        <w:rPr>
          <w:u w:val="single"/>
        </w:rPr>
      </w:pPr>
      <w:r>
        <w:rPr>
          <w:rFonts w:hint="eastAsia"/>
        </w:rPr>
        <w:t>工程质量保修责任：</w:t>
      </w:r>
      <w:r>
        <w:rPr>
          <w:u w:val="single"/>
        </w:rPr>
        <w:t xml:space="preserve"> </w:t>
      </w:r>
      <w:r>
        <w:rPr>
          <w:rFonts w:hint="eastAsia"/>
          <w:u w:val="single"/>
        </w:rPr>
        <w:t>执行《建设工程质量管理条例》。</w:t>
      </w:r>
    </w:p>
    <w:p>
      <w:pPr>
        <w:pStyle w:val="8"/>
        <w:spacing w:before="70" w:line="364" w:lineRule="auto"/>
        <w:ind w:left="1258" w:right="1708"/>
        <w:rPr>
          <w:u w:val="single"/>
        </w:rPr>
      </w:pPr>
      <w:r>
        <w:rPr>
          <w:rFonts w:hint="eastAsia"/>
          <w:u w:val="single"/>
        </w:rPr>
        <w:t>①保修期内出现质量问题，承包人在接到发包人通知后必须在</w:t>
      </w:r>
      <w:r>
        <w:rPr>
          <w:u w:val="single"/>
        </w:rPr>
        <w:t>12</w:t>
      </w:r>
      <w:r>
        <w:rPr>
          <w:rFonts w:hint="eastAsia"/>
          <w:u w:val="single"/>
        </w:rPr>
        <w:t>小时内（维修期前</w:t>
      </w:r>
      <w:r>
        <w:rPr>
          <w:u w:val="single"/>
        </w:rPr>
        <w:t>6</w:t>
      </w:r>
      <w:r>
        <w:rPr>
          <w:rFonts w:hint="eastAsia"/>
          <w:u w:val="single"/>
        </w:rPr>
        <w:t>个月必须在</w:t>
      </w:r>
      <w:r>
        <w:rPr>
          <w:u w:val="single"/>
        </w:rPr>
        <w:t>6</w:t>
      </w:r>
      <w:r>
        <w:rPr>
          <w:rFonts w:hint="eastAsia"/>
          <w:u w:val="single"/>
        </w:rPr>
        <w:t>小时内）向发包人报到，与发包人共同到现场查看，并于现场查看后</w:t>
      </w:r>
      <w:r>
        <w:rPr>
          <w:u w:val="single"/>
        </w:rPr>
        <w:t>24</w:t>
      </w:r>
      <w:r>
        <w:rPr>
          <w:rFonts w:hint="eastAsia"/>
          <w:u w:val="single"/>
        </w:rPr>
        <w:t>小时内提出书面处理方案，复杂（重大）的维修项目经发包人同意可在</w:t>
      </w:r>
      <w:r>
        <w:rPr>
          <w:u w:val="single"/>
        </w:rPr>
        <w:t>48</w:t>
      </w:r>
      <w:r>
        <w:rPr>
          <w:rFonts w:hint="eastAsia"/>
          <w:u w:val="single"/>
        </w:rPr>
        <w:t>小时内提出书面处理方案。属于保修范围、内容的项目，承包人应当在接到保修通知之日起</w:t>
      </w:r>
      <w:r>
        <w:rPr>
          <w:u w:val="single"/>
        </w:rPr>
        <w:t>7</w:t>
      </w:r>
      <w:r>
        <w:rPr>
          <w:rFonts w:hint="eastAsia"/>
          <w:u w:val="single"/>
        </w:rPr>
        <w:t>天内派人保修。如承包人不维修也不承担费用，发包人可扣除保证金，保证金不足以支付维修费用的，承包人仍应承担全部差额。承包人维修并承担相应费用后，不免除对工程的一般损失赔偿责任。</w:t>
      </w:r>
    </w:p>
    <w:p>
      <w:pPr>
        <w:pStyle w:val="8"/>
        <w:spacing w:before="70" w:line="364" w:lineRule="auto"/>
        <w:ind w:left="1258" w:right="1708"/>
        <w:rPr>
          <w:u w:val="single"/>
        </w:rPr>
      </w:pPr>
      <w:r>
        <w:rPr>
          <w:rFonts w:hint="eastAsia"/>
          <w:u w:val="single"/>
        </w:rPr>
        <w:t>②发生紧急抢修事故的，承包人在接到事故通知后，应当立即到达事故现场抢修。</w:t>
      </w:r>
    </w:p>
    <w:p>
      <w:pPr>
        <w:pStyle w:val="8"/>
        <w:spacing w:before="70" w:line="364" w:lineRule="auto"/>
        <w:ind w:left="1258" w:right="1708"/>
      </w:pPr>
      <w:r>
        <w:rPr>
          <w:rFonts w:hint="eastAsia"/>
          <w:u w:val="single"/>
        </w:rPr>
        <w:t>③质量保修完成后，由发包人组织验收。</w:t>
      </w:r>
      <w:r>
        <w:rPr>
          <w:u w:val="single"/>
        </w:rPr>
        <w:t xml:space="preserve">    </w:t>
      </w:r>
      <w:r>
        <w:t xml:space="preserve"> </w:t>
      </w:r>
    </w:p>
    <w:p>
      <w:pPr>
        <w:pStyle w:val="6"/>
        <w:numPr>
          <w:ilvl w:val="0"/>
          <w:numId w:val="38"/>
        </w:numPr>
        <w:tabs>
          <w:tab w:val="left" w:pos="1260"/>
        </w:tabs>
        <w:spacing w:before="122"/>
      </w:pPr>
      <w:bookmarkStart w:id="89" w:name="_bookmark165"/>
      <w:bookmarkEnd w:id="89"/>
      <w:r>
        <w:rPr>
          <w:rFonts w:hint="eastAsia"/>
        </w:rPr>
        <w:t>保险</w:t>
      </w:r>
      <w:r>
        <w:t xml:space="preserve"> </w:t>
      </w:r>
    </w:p>
    <w:p>
      <w:pPr>
        <w:pStyle w:val="8"/>
        <w:spacing w:before="10"/>
        <w:rPr>
          <w:sz w:val="23"/>
        </w:rPr>
      </w:pPr>
    </w:p>
    <w:p>
      <w:pPr>
        <w:pStyle w:val="7"/>
        <w:numPr>
          <w:ilvl w:val="1"/>
          <w:numId w:val="38"/>
        </w:numPr>
        <w:tabs>
          <w:tab w:val="left" w:pos="1319"/>
        </w:tabs>
        <w:spacing w:before="1"/>
      </w:pPr>
      <w:bookmarkStart w:id="90" w:name="_bookmark166"/>
      <w:bookmarkEnd w:id="90"/>
      <w:r>
        <w:rPr>
          <w:rFonts w:hint="eastAsia"/>
        </w:rPr>
        <w:t>工程保险</w:t>
      </w:r>
      <w:r>
        <w:t xml:space="preserve"> </w:t>
      </w:r>
    </w:p>
    <w:p>
      <w:pPr>
        <w:pStyle w:val="8"/>
        <w:spacing w:before="8"/>
      </w:pPr>
    </w:p>
    <w:p>
      <w:pPr>
        <w:pStyle w:val="8"/>
        <w:spacing w:before="1" w:line="364" w:lineRule="auto"/>
        <w:ind w:left="838" w:right="1817" w:firstLine="420"/>
      </w:pPr>
      <w:r>
        <w:rPr>
          <w:rFonts w:hint="eastAsia"/>
        </w:rPr>
        <w:t>本工程</w:t>
      </w:r>
      <w:r>
        <w:rPr>
          <w:spacing w:val="17"/>
          <w:u w:val="single"/>
        </w:rPr>
        <w:t xml:space="preserve"> </w:t>
      </w:r>
      <w:r>
        <w:rPr>
          <w:rFonts w:hint="eastAsia"/>
          <w:spacing w:val="17"/>
          <w:u w:val="single"/>
        </w:rPr>
        <w:t>不投保</w:t>
      </w:r>
      <w:r>
        <w:rPr>
          <w:spacing w:val="17"/>
          <w:u w:val="single"/>
        </w:rPr>
        <w:t xml:space="preserve"> </w:t>
      </w:r>
      <w:r>
        <w:t>(</w:t>
      </w:r>
      <w:r>
        <w:rPr>
          <w:rFonts w:hint="eastAsia"/>
        </w:rPr>
        <w:t>投保</w:t>
      </w:r>
      <w:r>
        <w:t>/</w:t>
      </w:r>
      <w:r>
        <w:rPr>
          <w:rFonts w:hint="eastAsia"/>
          <w:spacing w:val="-6"/>
        </w:rPr>
        <w:t>不投保</w:t>
      </w:r>
      <w:r>
        <w:rPr>
          <w:spacing w:val="-6"/>
        </w:rPr>
        <w:t>)</w:t>
      </w:r>
      <w:r>
        <w:rPr>
          <w:rFonts w:hint="eastAsia"/>
          <w:spacing w:val="-6"/>
        </w:rPr>
        <w:t>工程保险。投保工程保险时，险种为：</w:t>
      </w:r>
      <w:r>
        <w:rPr>
          <w:spacing w:val="-21"/>
          <w:u w:val="single"/>
        </w:rPr>
        <w:t xml:space="preserve">     </w:t>
      </w:r>
      <w:r>
        <w:rPr>
          <w:spacing w:val="-21"/>
          <w:u w:val="single"/>
          <w:lang w:val="en-US" w:eastAsia="zh-CN"/>
        </w:rPr>
        <w:t>/</w:t>
      </w:r>
      <w:r>
        <w:rPr>
          <w:spacing w:val="-21"/>
          <w:u w:val="single"/>
        </w:rPr>
        <w:t xml:space="preserve">        </w:t>
      </w:r>
      <w:r>
        <w:rPr>
          <w:rFonts w:hint="eastAsia"/>
          <w:spacing w:val="-30"/>
        </w:rPr>
        <w:t>，并</w:t>
      </w:r>
      <w:r>
        <w:rPr>
          <w:rFonts w:hint="eastAsia"/>
        </w:rPr>
        <w:t>符合以下约定：</w:t>
      </w:r>
      <w:r>
        <w:t xml:space="preserve"> </w:t>
      </w:r>
    </w:p>
    <w:p>
      <w:pPr>
        <w:pStyle w:val="8"/>
        <w:spacing w:line="268" w:lineRule="exact"/>
        <w:ind w:left="1258"/>
      </w:pPr>
      <w:r>
        <w:rPr>
          <w:rFonts w:hint="eastAsia"/>
        </w:rPr>
        <w:t>（</w:t>
      </w:r>
      <w:r>
        <w:t>1</w:t>
      </w:r>
      <w:r>
        <w:rPr>
          <w:rFonts w:hint="eastAsia"/>
        </w:rPr>
        <w:t>）投保人：</w:t>
      </w:r>
      <w:r>
        <w:rPr>
          <w:u w:val="single"/>
        </w:rPr>
        <w:t xml:space="preserve">       </w:t>
      </w:r>
      <w:r>
        <w:rPr>
          <w:u w:val="single"/>
          <w:lang w:val="en-US" w:eastAsia="zh-CN"/>
        </w:rPr>
        <w:t>/</w:t>
      </w:r>
      <w:r>
        <w:rPr>
          <w:u w:val="single"/>
        </w:rPr>
        <w:t xml:space="preserve">                                                       </w:t>
      </w:r>
      <w:r>
        <w:t xml:space="preserve"> </w:t>
      </w:r>
    </w:p>
    <w:p>
      <w:pPr>
        <w:pStyle w:val="8"/>
        <w:spacing w:before="139"/>
        <w:ind w:left="1258"/>
      </w:pPr>
      <w:r>
        <w:rPr>
          <w:rFonts w:hint="eastAsia"/>
        </w:rPr>
        <w:t>（</w:t>
      </w:r>
      <w:r>
        <w:t>2</w:t>
      </w:r>
      <w:r>
        <w:rPr>
          <w:rFonts w:hint="eastAsia"/>
        </w:rPr>
        <w:t>）投保内容：</w:t>
      </w:r>
      <w:r>
        <w:rPr>
          <w:u w:val="single"/>
        </w:rPr>
        <w:t xml:space="preserve">         </w:t>
      </w:r>
      <w:r>
        <w:rPr>
          <w:u w:val="single"/>
          <w:lang w:val="en-US" w:eastAsia="zh-CN"/>
        </w:rPr>
        <w:t>/</w:t>
      </w:r>
      <w:r>
        <w:rPr>
          <w:u w:val="single"/>
        </w:rPr>
        <w:t xml:space="preserve">                                                   </w:t>
      </w:r>
      <w:r>
        <w:t xml:space="preserve"> </w:t>
      </w:r>
    </w:p>
    <w:p>
      <w:pPr>
        <w:pStyle w:val="8"/>
        <w:spacing w:before="140"/>
        <w:ind w:left="1258"/>
      </w:pPr>
      <w:r>
        <w:rPr>
          <w:rFonts w:hint="eastAsia"/>
        </w:rPr>
        <w:t>（</w:t>
      </w:r>
      <w:r>
        <w:t>3</w:t>
      </w:r>
      <w:r>
        <w:rPr>
          <w:rFonts w:hint="eastAsia"/>
        </w:rPr>
        <w:t>）保险费率：由投保人与合同双方同意的保险人商定。</w:t>
      </w:r>
      <w:r>
        <w:t xml:space="preserve"> </w:t>
      </w:r>
    </w:p>
    <w:p>
      <w:pPr>
        <w:pStyle w:val="8"/>
        <w:spacing w:before="139"/>
        <w:ind w:left="1258"/>
      </w:pPr>
      <w:r>
        <w:rPr>
          <w:rFonts w:hint="eastAsia"/>
          <w:spacing w:val="-1"/>
        </w:rPr>
        <w:t>（</w:t>
      </w:r>
      <w:r>
        <w:rPr>
          <w:spacing w:val="-1"/>
        </w:rPr>
        <w:t>4</w:t>
      </w:r>
      <w:r>
        <w:rPr>
          <w:rFonts w:hint="eastAsia"/>
          <w:spacing w:val="-1"/>
        </w:rPr>
        <w:t>）</w:t>
      </w:r>
      <w:r>
        <w:rPr>
          <w:rFonts w:hint="eastAsia"/>
        </w:rPr>
        <w:t>保险金额：</w:t>
      </w:r>
      <w:r>
        <w:rPr>
          <w:u w:val="single"/>
        </w:rPr>
        <w:t xml:space="preserve"> </w:t>
      </w:r>
      <w:r>
        <w:rPr>
          <w:spacing w:val="-1"/>
          <w:u w:val="single"/>
        </w:rPr>
        <w:t xml:space="preserve"> </w:t>
      </w:r>
      <w:r>
        <w:rPr>
          <w:u w:val="single"/>
        </w:rPr>
        <w:t xml:space="preserve">               </w:t>
      </w:r>
      <w:r>
        <w:rPr>
          <w:u w:val="single"/>
          <w:lang w:val="en-US" w:eastAsia="zh-CN"/>
        </w:rPr>
        <w:t>/</w:t>
      </w:r>
      <w:r>
        <w:rPr>
          <w:spacing w:val="-2"/>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t xml:space="preserve"> </w:t>
      </w:r>
    </w:p>
    <w:p>
      <w:pPr>
        <w:pStyle w:val="8"/>
        <w:spacing w:before="139"/>
        <w:ind w:left="1258"/>
      </w:pPr>
      <w:r>
        <w:rPr>
          <w:rFonts w:hint="eastAsia"/>
          <w:spacing w:val="-1"/>
        </w:rPr>
        <w:t>（</w:t>
      </w:r>
      <w:r>
        <w:rPr>
          <w:spacing w:val="-1"/>
        </w:rPr>
        <w:t>5</w:t>
      </w:r>
      <w:r>
        <w:rPr>
          <w:rFonts w:hint="eastAsia"/>
          <w:spacing w:val="-1"/>
        </w:rPr>
        <w:t>）</w:t>
      </w:r>
      <w:r>
        <w:rPr>
          <w:rFonts w:hint="eastAsia"/>
        </w:rPr>
        <w:t>保险期限：</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spacing w:val="1"/>
          <w:u w:val="single"/>
        </w:rPr>
        <w:t xml:space="preserve"> </w:t>
      </w:r>
      <w:r>
        <w:rPr>
          <w:u w:val="single"/>
        </w:rPr>
        <w:t xml:space="preserve">  </w:t>
      </w:r>
      <w:r>
        <w:rPr>
          <w:u w:val="single"/>
          <w:lang w:val="en-US" w:eastAsia="zh-CN"/>
        </w:rPr>
        <w:t>/</w:t>
      </w:r>
      <w:r>
        <w:rPr>
          <w:u w:val="single"/>
        </w:rPr>
        <w:t xml:space="preserve">   </w:t>
      </w:r>
      <w:r>
        <w:rPr>
          <w:spacing w:val="-2"/>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t xml:space="preserve"> </w:t>
      </w:r>
    </w:p>
    <w:p>
      <w:pPr>
        <w:pStyle w:val="8"/>
        <w:spacing w:before="2"/>
        <w:rPr>
          <w:sz w:val="15"/>
        </w:rPr>
      </w:pPr>
    </w:p>
    <w:p>
      <w:pPr>
        <w:pStyle w:val="7"/>
        <w:numPr>
          <w:ilvl w:val="1"/>
          <w:numId w:val="46"/>
        </w:numPr>
        <w:tabs>
          <w:tab w:val="left" w:pos="1319"/>
        </w:tabs>
        <w:spacing w:before="67"/>
      </w:pPr>
      <w:bookmarkStart w:id="91" w:name="_bookmark167"/>
      <w:bookmarkEnd w:id="91"/>
      <w:r>
        <w:rPr>
          <w:rFonts w:hint="eastAsia"/>
        </w:rPr>
        <w:t>第三者责任险</w:t>
      </w:r>
      <w:r>
        <w:t xml:space="preserve"> </w:t>
      </w:r>
    </w:p>
    <w:p>
      <w:pPr>
        <w:pStyle w:val="8"/>
        <w:spacing w:before="9"/>
      </w:pPr>
    </w:p>
    <w:p>
      <w:pPr>
        <w:pStyle w:val="8"/>
        <w:spacing w:line="364" w:lineRule="auto"/>
        <w:ind w:left="838" w:right="1794" w:firstLine="420"/>
      </w:pPr>
      <w:r>
        <w:t>20.4.2</w:t>
      </w:r>
      <w:r>
        <w:rPr>
          <w:spacing w:val="-7"/>
        </w:rPr>
        <w:t xml:space="preserve">  </w:t>
      </w:r>
      <w:r>
        <w:rPr>
          <w:rFonts w:hint="eastAsia"/>
          <w:spacing w:val="-7"/>
        </w:rPr>
        <w:t>保险金额：</w:t>
      </w:r>
      <w:r>
        <w:rPr>
          <w:spacing w:val="-45"/>
          <w:u w:val="single"/>
        </w:rPr>
        <w:t xml:space="preserve">               </w:t>
      </w:r>
      <w:r>
        <w:rPr>
          <w:spacing w:val="-45"/>
          <w:u w:val="single"/>
          <w:lang w:val="en-US" w:eastAsia="zh-CN"/>
        </w:rPr>
        <w:t>/</w:t>
      </w:r>
      <w:r>
        <w:rPr>
          <w:spacing w:val="-45"/>
          <w:u w:val="single"/>
        </w:rPr>
        <w:t xml:space="preserve">                    </w:t>
      </w:r>
      <w:r>
        <w:rPr>
          <w:rFonts w:hint="eastAsia"/>
          <w:spacing w:val="-8"/>
        </w:rPr>
        <w:t>，保险费率由承包人与发包人同意的保险</w:t>
      </w:r>
      <w:r>
        <w:rPr>
          <w:rFonts w:hint="eastAsia"/>
        </w:rPr>
        <w:t>人商定，相关保险费由</w:t>
      </w:r>
      <w:r>
        <w:rPr>
          <w:spacing w:val="103"/>
          <w:u w:val="single"/>
        </w:rPr>
        <w:t xml:space="preserve"> </w:t>
      </w:r>
      <w:r>
        <w:rPr>
          <w:rFonts w:hint="eastAsia"/>
        </w:rPr>
        <w:t>承担。</w:t>
      </w:r>
      <w:r>
        <w:t xml:space="preserve">   </w:t>
      </w:r>
      <w:r>
        <w:rPr>
          <w:spacing w:val="-2"/>
        </w:rPr>
        <w:t xml:space="preserve"> </w:t>
      </w:r>
      <w:r>
        <w:t xml:space="preserve">                     </w:t>
      </w:r>
      <w:r>
        <w:rPr>
          <w:spacing w:val="-2"/>
        </w:rPr>
        <w:t xml:space="preserve"> </w:t>
      </w:r>
      <w:r>
        <w:t xml:space="preserve">   </w:t>
      </w:r>
      <w:r>
        <w:rPr>
          <w:spacing w:val="-1"/>
        </w:rPr>
        <w:t xml:space="preserve">  </w:t>
      </w:r>
      <w:r>
        <w:t xml:space="preserve"> </w:t>
      </w:r>
    </w:p>
    <w:p>
      <w:pPr>
        <w:pStyle w:val="7"/>
        <w:numPr>
          <w:ilvl w:val="1"/>
          <w:numId w:val="46"/>
        </w:numPr>
        <w:tabs>
          <w:tab w:val="left" w:pos="1319"/>
        </w:tabs>
        <w:spacing w:before="120"/>
      </w:pPr>
      <w:bookmarkStart w:id="92" w:name="_bookmark168"/>
      <w:bookmarkEnd w:id="92"/>
      <w:r>
        <w:rPr>
          <w:rFonts w:hint="eastAsia"/>
        </w:rPr>
        <w:t>其他保险</w:t>
      </w:r>
      <w:r>
        <w:t xml:space="preserve"> </w:t>
      </w:r>
    </w:p>
    <w:p>
      <w:pPr>
        <w:pStyle w:val="8"/>
        <w:spacing w:before="9"/>
      </w:pPr>
    </w:p>
    <w:p>
      <w:pPr>
        <w:pStyle w:val="8"/>
        <w:spacing w:before="1"/>
        <w:ind w:right="1811" w:firstLine="840" w:firstLineChars="400"/>
        <w:jc w:val="both"/>
      </w:pPr>
      <w:r>
        <w:rPr>
          <w:rFonts w:hint="eastAsia"/>
        </w:rPr>
        <w:t>承包人应为其施工设备、进场材料和工程设备等办理的保险：</w:t>
      </w:r>
      <w:r>
        <w:rPr>
          <w:u w:val="single"/>
        </w:rPr>
        <w:t xml:space="preserve">         </w:t>
      </w:r>
      <w:r>
        <w:rPr>
          <w:u w:val="single"/>
          <w:lang w:val="en-US" w:eastAsia="zh-CN"/>
        </w:rPr>
        <w:t>/</w:t>
      </w:r>
      <w:r>
        <w:rPr>
          <w:u w:val="single"/>
        </w:rPr>
        <w:t xml:space="preserve">           </w:t>
      </w:r>
      <w:r>
        <w:t xml:space="preserve"> </w:t>
      </w:r>
    </w:p>
    <w:p>
      <w:pPr>
        <w:pStyle w:val="8"/>
        <w:spacing w:before="139"/>
        <w:ind w:right="1815"/>
        <w:jc w:val="right"/>
      </w:pP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spacing w:val="-1"/>
          <w:u w:val="single"/>
        </w:rPr>
        <w:t xml:space="preserve"> </w:t>
      </w:r>
      <w:r>
        <w:t xml:space="preserve"> </w:t>
      </w:r>
    </w:p>
    <w:p>
      <w:pPr>
        <w:pStyle w:val="8"/>
        <w:spacing w:before="2"/>
        <w:rPr>
          <w:sz w:val="15"/>
        </w:rPr>
      </w:pPr>
    </w:p>
    <w:p>
      <w:pPr>
        <w:pStyle w:val="7"/>
        <w:numPr>
          <w:ilvl w:val="1"/>
          <w:numId w:val="46"/>
        </w:numPr>
        <w:tabs>
          <w:tab w:val="left" w:pos="1319"/>
        </w:tabs>
        <w:spacing w:before="67"/>
      </w:pPr>
      <w:bookmarkStart w:id="93" w:name="_bookmark169"/>
      <w:bookmarkEnd w:id="93"/>
      <w:r>
        <w:rPr>
          <w:rFonts w:hint="eastAsia"/>
        </w:rPr>
        <w:t>对各项保险的一般要求</w:t>
      </w:r>
      <w:r>
        <w:t xml:space="preserve"> </w:t>
      </w:r>
    </w:p>
    <w:p>
      <w:pPr>
        <w:pStyle w:val="8"/>
        <w:spacing w:before="9"/>
      </w:pPr>
    </w:p>
    <w:p>
      <w:pPr>
        <w:pStyle w:val="33"/>
        <w:numPr>
          <w:ilvl w:val="2"/>
          <w:numId w:val="46"/>
        </w:numPr>
        <w:tabs>
          <w:tab w:val="left" w:pos="1889"/>
        </w:tabs>
        <w:rPr>
          <w:sz w:val="21"/>
        </w:rPr>
      </w:pPr>
      <w:r>
        <w:rPr>
          <w:rFonts w:hint="eastAsia"/>
          <w:sz w:val="21"/>
        </w:rPr>
        <w:t>保险凭证</w:t>
      </w:r>
      <w:r>
        <w:rPr>
          <w:sz w:val="21"/>
        </w:rPr>
        <w:t xml:space="preserve"> </w:t>
      </w:r>
    </w:p>
    <w:p>
      <w:pPr>
        <w:pStyle w:val="8"/>
        <w:spacing w:before="139"/>
        <w:ind w:left="1258"/>
      </w:pPr>
      <w:r>
        <w:rPr>
          <w:rFonts w:hint="eastAsia"/>
        </w:rPr>
        <w:t>承包人向发包人提交各项保险生效的证据和保险单副本的期限：</w:t>
      </w:r>
      <w:r>
        <w:rPr>
          <w:u w:val="single"/>
        </w:rPr>
        <w:t xml:space="preserve">        </w:t>
      </w:r>
      <w:r>
        <w:rPr>
          <w:u w:val="single"/>
          <w:lang w:val="en-US" w:eastAsia="zh-CN"/>
        </w:rPr>
        <w:t>/</w:t>
      </w:r>
      <w:r>
        <w:rPr>
          <w:u w:val="single"/>
        </w:rPr>
        <w:t xml:space="preserve">          </w:t>
      </w:r>
      <w:r>
        <w:t xml:space="preserve"> </w:t>
      </w:r>
    </w:p>
    <w:p>
      <w:pPr>
        <w:pStyle w:val="8"/>
        <w:spacing w:before="140" w:line="364" w:lineRule="auto"/>
        <w:ind w:left="1258" w:right="1815" w:hanging="420"/>
        <w:rPr>
          <w:lang w:val="en-US" w:eastAsia="zh-CN"/>
        </w:rPr>
      </w:pPr>
      <w:r>
        <w:t>20.6.4</w:t>
      </w:r>
      <w:r>
        <w:rPr>
          <w:spacing w:val="-1"/>
        </w:rPr>
        <w:t xml:space="preserve">  </w:t>
      </w:r>
      <w:r>
        <w:rPr>
          <w:rFonts w:hint="eastAsia"/>
          <w:spacing w:val="-1"/>
        </w:rPr>
        <w:t>保险金不足的补偿</w:t>
      </w:r>
      <w:r>
        <w:rPr>
          <w:spacing w:val="-1"/>
        </w:rPr>
        <w:t xml:space="preserve"> </w:t>
      </w:r>
    </w:p>
    <w:p>
      <w:pPr>
        <w:pStyle w:val="8"/>
        <w:spacing w:line="267" w:lineRule="exact"/>
        <w:ind w:left="1258"/>
      </w:pPr>
      <w:r>
        <w:rPr>
          <w:rFonts w:hint="eastAsia"/>
        </w:rPr>
        <w:t>保险金不足以补偿损失时，承包人和发包人负责补偿的责任分摊：</w:t>
      </w:r>
      <w:r>
        <w:rPr>
          <w:u w:val="single"/>
        </w:rPr>
        <w:t xml:space="preserve">        </w:t>
      </w:r>
      <w:r>
        <w:rPr>
          <w:u w:val="single"/>
          <w:lang w:val="en-US" w:eastAsia="zh-CN"/>
        </w:rPr>
        <w:t>/</w:t>
      </w:r>
      <w:r>
        <w:rPr>
          <w:u w:val="single"/>
        </w:rPr>
        <w:t xml:space="preserve">        </w:t>
      </w:r>
      <w:r>
        <w:t xml:space="preserve"> </w:t>
      </w:r>
    </w:p>
    <w:p>
      <w:pPr>
        <w:pStyle w:val="6"/>
        <w:numPr>
          <w:ilvl w:val="0"/>
          <w:numId w:val="38"/>
        </w:numPr>
        <w:tabs>
          <w:tab w:val="left" w:pos="1260"/>
        </w:tabs>
        <w:spacing w:before="61"/>
      </w:pPr>
      <w:bookmarkStart w:id="94" w:name="_bookmark170"/>
      <w:bookmarkEnd w:id="94"/>
      <w:r>
        <w:rPr>
          <w:rFonts w:hint="eastAsia"/>
        </w:rPr>
        <w:t>不可抗力</w:t>
      </w:r>
      <w:r>
        <w:t xml:space="preserve"> </w:t>
      </w:r>
    </w:p>
    <w:p>
      <w:pPr>
        <w:pStyle w:val="8"/>
        <w:spacing w:before="10"/>
        <w:rPr>
          <w:sz w:val="23"/>
        </w:rPr>
      </w:pPr>
    </w:p>
    <w:p>
      <w:pPr>
        <w:pStyle w:val="7"/>
        <w:numPr>
          <w:ilvl w:val="1"/>
          <w:numId w:val="38"/>
        </w:numPr>
        <w:tabs>
          <w:tab w:val="left" w:pos="1319"/>
        </w:tabs>
        <w:spacing w:before="0"/>
      </w:pPr>
      <w:bookmarkStart w:id="95" w:name="_bookmark171"/>
      <w:bookmarkEnd w:id="95"/>
      <w:r>
        <w:rPr>
          <w:rFonts w:hint="eastAsia"/>
        </w:rPr>
        <w:t>不可抗力的确认</w:t>
      </w:r>
      <w:r>
        <w:t xml:space="preserve"> </w:t>
      </w:r>
    </w:p>
    <w:p>
      <w:pPr>
        <w:pStyle w:val="8"/>
        <w:spacing w:before="9"/>
      </w:pPr>
    </w:p>
    <w:p>
      <w:pPr>
        <w:pStyle w:val="33"/>
        <w:numPr>
          <w:ilvl w:val="2"/>
          <w:numId w:val="38"/>
        </w:numPr>
        <w:tabs>
          <w:tab w:val="left" w:pos="632"/>
          <w:tab w:val="left" w:pos="1540"/>
        </w:tabs>
        <w:spacing w:before="1"/>
        <w:ind w:left="1540" w:right="1707" w:hanging="1229"/>
        <w:jc w:val="both"/>
        <w:rPr>
          <w:sz w:val="21"/>
        </w:rPr>
      </w:pPr>
      <w:r>
        <w:rPr>
          <w:rFonts w:hint="eastAsia"/>
          <w:spacing w:val="-6"/>
          <w:sz w:val="21"/>
        </w:rPr>
        <w:t>合同条款通用部分第</w:t>
      </w:r>
      <w:r>
        <w:rPr>
          <w:spacing w:val="-6"/>
          <w:sz w:val="21"/>
        </w:rPr>
        <w:t xml:space="preserve"> </w:t>
      </w:r>
      <w:r>
        <w:rPr>
          <w:sz w:val="21"/>
        </w:rPr>
        <w:t>21.1.1</w:t>
      </w:r>
      <w:r>
        <w:rPr>
          <w:spacing w:val="-8"/>
          <w:sz w:val="21"/>
        </w:rPr>
        <w:t xml:space="preserve"> </w:t>
      </w:r>
      <w:r>
        <w:rPr>
          <w:rFonts w:hint="eastAsia"/>
          <w:spacing w:val="-8"/>
          <w:sz w:val="21"/>
        </w:rPr>
        <w:t>项约定的不可抗力以外的其他情形：</w:t>
      </w:r>
      <w:r>
        <w:rPr>
          <w:spacing w:val="-8"/>
          <w:sz w:val="21"/>
          <w:u w:val="single"/>
        </w:rPr>
        <w:t xml:space="preserve"> 1</w:t>
      </w:r>
      <w:r>
        <w:rPr>
          <w:rFonts w:hint="eastAsia"/>
          <w:spacing w:val="-8"/>
          <w:sz w:val="21"/>
          <w:u w:val="single"/>
        </w:rPr>
        <w:t>、考古勘探、发掘或施工过程中发现文物、古迹以及具有地质研究或考古价值的其他遗迹、化石、钱币或物品等；</w:t>
      </w:r>
      <w:r>
        <w:rPr>
          <w:spacing w:val="-8"/>
          <w:sz w:val="21"/>
          <w:u w:val="single"/>
        </w:rPr>
        <w:t>2</w:t>
      </w:r>
      <w:r>
        <w:rPr>
          <w:rFonts w:hint="eastAsia"/>
          <w:spacing w:val="-8"/>
          <w:sz w:val="21"/>
          <w:u w:val="single"/>
        </w:rPr>
        <w:t>、国家、北京市或</w:t>
      </w:r>
      <w:r>
        <w:rPr>
          <w:rFonts w:hint="eastAsia"/>
          <w:spacing w:val="-8"/>
          <w:sz w:val="21"/>
          <w:u w:val="single"/>
          <w:lang w:eastAsia="zh-CN"/>
        </w:rPr>
        <w:t>海淀</w:t>
      </w:r>
      <w:r>
        <w:rPr>
          <w:rFonts w:hint="eastAsia"/>
          <w:spacing w:val="-8"/>
          <w:sz w:val="21"/>
          <w:u w:val="single"/>
        </w:rPr>
        <w:t>城区政策变化。</w:t>
      </w:r>
      <w:r>
        <w:rPr>
          <w:spacing w:val="-2"/>
          <w:sz w:val="21"/>
          <w:u w:val="single"/>
        </w:rPr>
        <w:t xml:space="preserve"> </w:t>
      </w:r>
      <w:r>
        <w:rPr>
          <w:sz w:val="21"/>
        </w:rPr>
        <w:t xml:space="preserve"> </w:t>
      </w:r>
    </w:p>
    <w:p>
      <w:pPr>
        <w:pStyle w:val="8"/>
        <w:spacing w:before="140"/>
        <w:ind w:right="1709"/>
        <w:jc w:val="right"/>
      </w:pP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2"/>
          <w:u w:val="single"/>
        </w:rPr>
        <w:t xml:space="preserve"> </w:t>
      </w:r>
      <w:r>
        <w:rPr>
          <w:u w:val="single"/>
        </w:rPr>
        <w:t xml:space="preserve">                     </w:t>
      </w:r>
      <w:r>
        <w:rPr>
          <w:spacing w:val="-2"/>
          <w:u w:val="single"/>
        </w:rPr>
        <w:t xml:space="preserve"> </w:t>
      </w:r>
      <w:r>
        <w:rPr>
          <w:u w:val="single"/>
        </w:rPr>
        <w:t xml:space="preserve">             </w:t>
      </w:r>
      <w:r>
        <w:t xml:space="preserve"> </w:t>
      </w:r>
    </w:p>
    <w:p>
      <w:pPr>
        <w:pStyle w:val="8"/>
        <w:spacing w:before="70"/>
        <w:ind w:left="838"/>
      </w:pPr>
      <w:r>
        <w:rPr>
          <w:rFonts w:hint="eastAsia"/>
        </w:rPr>
        <w:t>不可抗力的等级范围约定：</w:t>
      </w:r>
      <w:r>
        <w:rPr>
          <w:u w:val="single"/>
        </w:rPr>
        <w:t xml:space="preserve">       </w:t>
      </w:r>
      <w:r>
        <w:rPr>
          <w:u w:val="single"/>
          <w:lang w:val="en-US" w:eastAsia="zh-CN"/>
        </w:rPr>
        <w:t>/</w:t>
      </w:r>
      <w:r>
        <w:rPr>
          <w:u w:val="single"/>
        </w:rPr>
        <w:t xml:space="preserve">          </w:t>
      </w:r>
      <w:r>
        <w:t xml:space="preserve"> </w:t>
      </w:r>
    </w:p>
    <w:p>
      <w:pPr>
        <w:pStyle w:val="8"/>
        <w:spacing w:before="9"/>
        <w:rPr>
          <w:sz w:val="15"/>
        </w:rPr>
      </w:pPr>
    </w:p>
    <w:p>
      <w:pPr>
        <w:pStyle w:val="6"/>
        <w:numPr>
          <w:ilvl w:val="0"/>
          <w:numId w:val="47"/>
        </w:numPr>
        <w:tabs>
          <w:tab w:val="left" w:pos="1260"/>
        </w:tabs>
      </w:pPr>
      <w:bookmarkStart w:id="96" w:name="_bookmark172"/>
      <w:bookmarkEnd w:id="96"/>
      <w:r>
        <w:rPr>
          <w:rFonts w:hint="eastAsia"/>
        </w:rPr>
        <w:t>争议的解决</w:t>
      </w:r>
      <w:r>
        <w:t xml:space="preserve"> </w:t>
      </w:r>
    </w:p>
    <w:p>
      <w:pPr>
        <w:pStyle w:val="8"/>
        <w:spacing w:before="11"/>
        <w:rPr>
          <w:sz w:val="23"/>
        </w:rPr>
      </w:pPr>
    </w:p>
    <w:p>
      <w:pPr>
        <w:pStyle w:val="7"/>
        <w:numPr>
          <w:ilvl w:val="1"/>
          <w:numId w:val="47"/>
        </w:numPr>
        <w:tabs>
          <w:tab w:val="left" w:pos="1319"/>
        </w:tabs>
        <w:spacing w:before="0"/>
      </w:pPr>
      <w:bookmarkStart w:id="97" w:name="_bookmark173"/>
      <w:bookmarkEnd w:id="97"/>
      <w:r>
        <w:rPr>
          <w:rFonts w:hint="eastAsia"/>
        </w:rPr>
        <w:t>争议的解决方式</w:t>
      </w:r>
      <w:r>
        <w:t xml:space="preserve"> </w:t>
      </w:r>
    </w:p>
    <w:p>
      <w:pPr>
        <w:pStyle w:val="8"/>
        <w:spacing w:before="9"/>
      </w:pPr>
    </w:p>
    <w:p>
      <w:pPr>
        <w:pStyle w:val="8"/>
        <w:spacing w:line="364" w:lineRule="auto"/>
        <w:ind w:left="838" w:right="1795" w:firstLine="420"/>
      </w:pPr>
      <w:r>
        <w:rPr>
          <w:rFonts w:hint="eastAsia"/>
          <w:spacing w:val="-6"/>
        </w:rPr>
        <w:t>因本合同引起的或与本合同有关的任何争议，合同双方友好协商不成、不愿提请争议组</w:t>
      </w:r>
      <w:r>
        <w:rPr>
          <w:rFonts w:hint="eastAsia"/>
        </w:rPr>
        <w:t>评审或者不愿接受争议评审组意见的，选择下列第</w:t>
      </w:r>
      <w:r>
        <w:rPr>
          <w:rFonts w:hint="eastAsia"/>
          <w:u w:val="single"/>
          <w:lang w:val="en-US" w:eastAsia="zh-CN"/>
        </w:rPr>
        <w:t>贰</w:t>
      </w:r>
      <w:r>
        <w:rPr>
          <w:rFonts w:hint="eastAsia"/>
        </w:rPr>
        <w:t>种方式解决：</w:t>
      </w:r>
      <w:r>
        <w:t xml:space="preserve"> </w:t>
      </w:r>
    </w:p>
    <w:p>
      <w:pPr>
        <w:pStyle w:val="8"/>
        <w:spacing w:line="364" w:lineRule="auto"/>
        <w:ind w:left="838" w:right="1793" w:firstLine="420"/>
      </w:pPr>
      <w:r>
        <w:rPr>
          <w:rFonts w:hint="eastAsia"/>
          <w:u w:val="single"/>
        </w:rPr>
        <w:t>（壹）</w:t>
      </w:r>
      <w:r>
        <w:rPr>
          <w:rFonts w:hint="eastAsia"/>
        </w:rPr>
        <w:t>提请</w:t>
      </w:r>
      <w:r>
        <w:rPr>
          <w:u w:val="single"/>
        </w:rPr>
        <w:t xml:space="preserve">   </w:t>
      </w:r>
      <w:r>
        <w:rPr>
          <w:u w:val="single"/>
          <w:lang w:val="en-US" w:eastAsia="zh-CN"/>
        </w:rPr>
        <w:t>/</w:t>
      </w:r>
      <w:r>
        <w:rPr>
          <w:u w:val="single"/>
        </w:rPr>
        <w:t xml:space="preserve">     </w:t>
      </w:r>
      <w:r>
        <w:rPr>
          <w:rFonts w:hint="eastAsia"/>
        </w:rPr>
        <w:t>仲裁委员会按照该会仲裁规则进行仲裁，仲裁裁决是终局的，对合同双方均有约束力。</w:t>
      </w:r>
      <w:r>
        <w:t xml:space="preserve"> </w:t>
      </w:r>
    </w:p>
    <w:p>
      <w:pPr>
        <w:pStyle w:val="8"/>
        <w:spacing w:line="268" w:lineRule="exact"/>
        <w:ind w:left="1258"/>
      </w:pPr>
      <w:r>
        <w:rPr>
          <w:rFonts w:hint="eastAsia"/>
          <w:u w:val="single"/>
        </w:rPr>
        <w:t>（贰）</w:t>
      </w:r>
      <w:r>
        <w:rPr>
          <w:rFonts w:hint="eastAsia"/>
        </w:rPr>
        <w:t>向有管辖权的人民法院提起诉讼。</w:t>
      </w:r>
      <w:r>
        <w:t xml:space="preserve"> </w:t>
      </w:r>
    </w:p>
    <w:p>
      <w:pPr>
        <w:pStyle w:val="8"/>
        <w:spacing w:before="2"/>
        <w:rPr>
          <w:sz w:val="15"/>
        </w:rPr>
      </w:pPr>
    </w:p>
    <w:p>
      <w:pPr>
        <w:pStyle w:val="7"/>
        <w:ind w:left="838"/>
      </w:pPr>
      <w:bookmarkStart w:id="98" w:name="_bookmark174"/>
      <w:bookmarkEnd w:id="98"/>
      <w:r>
        <w:t xml:space="preserve">24.3 </w:t>
      </w:r>
      <w:r>
        <w:rPr>
          <w:rFonts w:hint="eastAsia"/>
        </w:rPr>
        <w:t>争议评审</w:t>
      </w:r>
      <w:r>
        <w:t xml:space="preserve"> </w:t>
      </w:r>
    </w:p>
    <w:p>
      <w:pPr>
        <w:pStyle w:val="8"/>
        <w:spacing w:before="9"/>
      </w:pPr>
    </w:p>
    <w:p>
      <w:pPr>
        <w:pStyle w:val="8"/>
        <w:ind w:left="1258"/>
      </w:pPr>
      <w:r>
        <w:t xml:space="preserve">24.3.4 </w:t>
      </w:r>
      <w:r>
        <w:rPr>
          <w:rFonts w:hint="eastAsia"/>
        </w:rPr>
        <w:t>争议评审组邀请合同双方代表人和有关人员举行调查会的期限：</w:t>
      </w:r>
      <w:r>
        <w:rPr>
          <w:u w:val="single"/>
        </w:rPr>
        <w:t xml:space="preserve">     </w:t>
      </w:r>
      <w:r>
        <w:rPr>
          <w:u w:val="single"/>
          <w:lang w:val="en-US" w:eastAsia="zh-CN"/>
        </w:rPr>
        <w:t>/</w:t>
      </w:r>
      <w:r>
        <w:rPr>
          <w:u w:val="single"/>
        </w:rPr>
        <w:t xml:space="preserve">      </w:t>
      </w:r>
      <w:r>
        <w:t xml:space="preserve"> </w:t>
      </w:r>
    </w:p>
    <w:p>
      <w:pPr>
        <w:pStyle w:val="8"/>
        <w:spacing w:before="139"/>
        <w:ind w:left="1258"/>
      </w:pPr>
      <w:r>
        <w:t xml:space="preserve">24.3.5 </w:t>
      </w:r>
      <w:r>
        <w:rPr>
          <w:rFonts w:hint="eastAsia"/>
        </w:rPr>
        <w:t>争议评审组在调查会后作出争议评审意见的期限：</w:t>
      </w:r>
      <w:r>
        <w:rPr>
          <w:u w:val="single"/>
        </w:rPr>
        <w:t xml:space="preserve">        </w:t>
      </w:r>
      <w:r>
        <w:rPr>
          <w:u w:val="single"/>
          <w:lang w:val="en-US" w:eastAsia="zh-CN"/>
        </w:rPr>
        <w:t>/</w:t>
      </w:r>
      <w:r>
        <w:rPr>
          <w:u w:val="single"/>
        </w:rPr>
        <w:t xml:space="preserve">               </w:t>
      </w:r>
      <w:r>
        <w:t xml:space="preserve"> </w:t>
      </w:r>
    </w:p>
    <w:p>
      <w:pPr>
        <w:sectPr>
          <w:headerReference r:id="rId5" w:type="default"/>
          <w:footerReference r:id="rId7" w:type="default"/>
          <w:headerReference r:id="rId6" w:type="even"/>
          <w:pgSz w:w="11910" w:h="16840"/>
          <w:pgMar w:top="1160" w:right="1050" w:bottom="280" w:left="960" w:header="872" w:footer="0" w:gutter="0"/>
          <w:cols w:space="720" w:num="1"/>
        </w:sectPr>
      </w:pPr>
    </w:p>
    <w:p>
      <w:pPr>
        <w:pStyle w:val="8"/>
        <w:spacing w:before="5"/>
        <w:rPr>
          <w:sz w:val="24"/>
        </w:rPr>
      </w:pPr>
    </w:p>
    <w:p>
      <w:pPr>
        <w:pStyle w:val="7"/>
        <w:ind w:left="838"/>
      </w:pPr>
      <w:bookmarkStart w:id="99" w:name="_bookmark175"/>
      <w:bookmarkEnd w:id="99"/>
      <w:r>
        <w:rPr>
          <w:rFonts w:hint="eastAsia"/>
        </w:rPr>
        <w:t>附件一：合同协议书</w:t>
      </w:r>
      <w:r>
        <w:t xml:space="preserve"> </w:t>
      </w:r>
    </w:p>
    <w:p>
      <w:pPr>
        <w:pStyle w:val="8"/>
        <w:spacing w:before="2"/>
        <w:rPr>
          <w:sz w:val="17"/>
        </w:rPr>
      </w:pPr>
    </w:p>
    <w:p>
      <w:pPr>
        <w:spacing w:before="61"/>
        <w:ind w:right="675"/>
        <w:jc w:val="center"/>
        <w:rPr>
          <w:b/>
          <w:sz w:val="28"/>
        </w:rPr>
      </w:pPr>
      <w:r>
        <w:rPr>
          <w:rFonts w:hint="eastAsia"/>
          <w:b/>
          <w:sz w:val="28"/>
        </w:rPr>
        <w:t>合同协议书</w:t>
      </w:r>
      <w:r>
        <w:rPr>
          <w:b/>
          <w:w w:val="99"/>
          <w:sz w:val="28"/>
        </w:rPr>
        <w:t xml:space="preserve">  </w:t>
      </w:r>
    </w:p>
    <w:p>
      <w:pPr>
        <w:pStyle w:val="8"/>
        <w:spacing w:before="184" w:line="364" w:lineRule="auto"/>
        <w:ind w:left="838" w:right="1918"/>
        <w:jc w:val="both"/>
      </w:pPr>
      <w:r>
        <w:t xml:space="preserve">    </w:t>
      </w:r>
      <w:r>
        <w:rPr>
          <w:spacing w:val="1"/>
        </w:rPr>
        <w:t xml:space="preserve"> </w:t>
      </w:r>
      <w:r>
        <w:rPr>
          <w:rFonts w:hint="eastAsia"/>
        </w:rPr>
        <w:t>编</w:t>
      </w:r>
      <w:r>
        <w:t xml:space="preserve"> </w:t>
      </w:r>
      <w:r>
        <w:rPr>
          <w:rFonts w:hint="eastAsia"/>
        </w:rPr>
        <w:t>号</w:t>
      </w:r>
      <w:r>
        <w:t xml:space="preserve"> </w:t>
      </w:r>
      <w:r>
        <w:rPr>
          <w:rFonts w:hint="eastAsia"/>
        </w:rPr>
        <w:t>：</w:t>
      </w:r>
    </w:p>
    <w:p>
      <w:pPr>
        <w:pStyle w:val="8"/>
        <w:spacing w:before="184" w:line="364" w:lineRule="auto"/>
        <w:ind w:left="838" w:right="1918"/>
        <w:rPr>
          <w:spacing w:val="-1"/>
          <w:lang w:eastAsia="zh-CN"/>
        </w:rPr>
      </w:pPr>
      <w:r>
        <w:t xml:space="preserve">  </w:t>
      </w:r>
      <w:r>
        <w:rPr>
          <w:rFonts w:hint="eastAsia"/>
        </w:rPr>
        <w:t>发包人（全称</w:t>
      </w:r>
      <w:r>
        <w:rPr>
          <w:rFonts w:hint="eastAsia"/>
          <w:spacing w:val="-105"/>
        </w:rPr>
        <w:t>）</w:t>
      </w:r>
      <w:r>
        <w:rPr>
          <w:rFonts w:hint="eastAsia"/>
          <w:spacing w:val="-1"/>
          <w:u w:val="single"/>
        </w:rPr>
        <w:t>：</w:t>
      </w:r>
      <w:r>
        <w:rPr>
          <w:spacing w:val="-1"/>
          <w:u w:val="single"/>
          <w:lang w:eastAsia="zh-CN"/>
        </w:rPr>
        <w:t xml:space="preserve">                                   </w:t>
      </w:r>
    </w:p>
    <w:p>
      <w:pPr>
        <w:pStyle w:val="8"/>
        <w:spacing w:before="184" w:line="364" w:lineRule="auto"/>
        <w:ind w:left="838" w:right="1918" w:firstLine="210" w:firstLineChars="100"/>
        <w:jc w:val="both"/>
        <w:rPr>
          <w:lang w:eastAsia="zh-CN"/>
        </w:rPr>
      </w:pPr>
      <w:r>
        <w:rPr>
          <w:rFonts w:hint="eastAsia"/>
        </w:rPr>
        <w:t>法定代表人</w:t>
      </w:r>
      <w:r>
        <w:t xml:space="preserve"> </w:t>
      </w:r>
      <w:r>
        <w:rPr>
          <w:rFonts w:hint="eastAsia"/>
        </w:rPr>
        <w:t>：</w:t>
      </w:r>
      <w:r>
        <w:rPr>
          <w:u w:val="single"/>
          <w:lang w:eastAsia="zh-CN"/>
        </w:rPr>
        <w:t xml:space="preserve">                                    </w:t>
      </w:r>
      <w:r>
        <w:rPr>
          <w:lang w:eastAsia="zh-CN"/>
        </w:rPr>
        <w:t xml:space="preserve"> </w:t>
      </w:r>
    </w:p>
    <w:p>
      <w:pPr>
        <w:pStyle w:val="8"/>
        <w:spacing w:before="184" w:line="364" w:lineRule="auto"/>
        <w:ind w:left="838" w:right="1918"/>
        <w:jc w:val="both"/>
        <w:rPr>
          <w:lang w:eastAsia="zh-CN"/>
        </w:rPr>
      </w:pPr>
      <w:r>
        <w:t xml:space="preserve">  </w:t>
      </w:r>
      <w:r>
        <w:rPr>
          <w:rFonts w:hint="eastAsia"/>
        </w:rPr>
        <w:t>法定注册地址</w:t>
      </w:r>
      <w:r>
        <w:t xml:space="preserve"> </w:t>
      </w:r>
      <w:r>
        <w:rPr>
          <w:rFonts w:hint="eastAsia"/>
        </w:rPr>
        <w:t>：</w:t>
      </w:r>
      <w:r>
        <w:rPr>
          <w:u w:val="single"/>
          <w:lang w:eastAsia="zh-CN"/>
        </w:rPr>
        <w:t xml:space="preserve">                                  </w:t>
      </w:r>
      <w:r>
        <w:rPr>
          <w:lang w:eastAsia="zh-CN"/>
        </w:rPr>
        <w:t xml:space="preserve"> </w:t>
      </w:r>
    </w:p>
    <w:p>
      <w:pPr>
        <w:pStyle w:val="8"/>
        <w:spacing w:before="184" w:line="364" w:lineRule="auto"/>
        <w:ind w:left="838" w:right="1918"/>
        <w:jc w:val="both"/>
        <w:rPr>
          <w:spacing w:val="-1"/>
          <w:lang w:eastAsia="zh-CN"/>
        </w:rPr>
      </w:pPr>
      <w:r>
        <w:t xml:space="preserve">  </w:t>
      </w:r>
      <w:r>
        <w:rPr>
          <w:rFonts w:hint="eastAsia"/>
        </w:rPr>
        <w:t>承包人（全称</w:t>
      </w:r>
      <w:r>
        <w:rPr>
          <w:rFonts w:hint="eastAsia"/>
          <w:spacing w:val="-105"/>
        </w:rPr>
        <w:t>）</w:t>
      </w:r>
      <w:r>
        <w:rPr>
          <w:rFonts w:hint="eastAsia"/>
          <w:spacing w:val="-1"/>
        </w:rPr>
        <w:t>：</w:t>
      </w:r>
      <w:r>
        <w:rPr>
          <w:spacing w:val="-1"/>
          <w:u w:val="single"/>
          <w:lang w:eastAsia="zh-CN"/>
        </w:rPr>
        <w:t xml:space="preserve">                                  </w:t>
      </w:r>
      <w:r>
        <w:rPr>
          <w:spacing w:val="-1"/>
          <w:lang w:eastAsia="zh-CN"/>
        </w:rPr>
        <w:t xml:space="preserve"> </w:t>
      </w:r>
    </w:p>
    <w:p>
      <w:pPr>
        <w:pStyle w:val="8"/>
        <w:spacing w:before="184" w:line="364" w:lineRule="auto"/>
        <w:ind w:left="838" w:right="1918" w:firstLine="210" w:firstLineChars="100"/>
        <w:jc w:val="both"/>
        <w:rPr>
          <w:lang w:eastAsia="zh-CN"/>
        </w:rPr>
      </w:pPr>
      <w:r>
        <w:rPr>
          <w:rFonts w:hint="eastAsia"/>
        </w:rPr>
        <w:t>法定代表人</w:t>
      </w:r>
      <w:r>
        <w:t xml:space="preserve"> </w:t>
      </w:r>
      <w:r>
        <w:rPr>
          <w:rFonts w:hint="eastAsia"/>
        </w:rPr>
        <w:t>：</w:t>
      </w:r>
      <w:r>
        <w:rPr>
          <w:u w:val="single"/>
          <w:lang w:eastAsia="zh-CN"/>
        </w:rPr>
        <w:t xml:space="preserve">                                    </w:t>
      </w:r>
      <w:r>
        <w:rPr>
          <w:lang w:eastAsia="zh-CN"/>
        </w:rPr>
        <w:t xml:space="preserve"> </w:t>
      </w:r>
    </w:p>
    <w:p>
      <w:pPr>
        <w:pStyle w:val="8"/>
        <w:spacing w:before="184" w:line="364" w:lineRule="auto"/>
        <w:ind w:left="838" w:right="1918" w:firstLine="210" w:firstLineChars="100"/>
        <w:jc w:val="both"/>
        <w:rPr>
          <w:b/>
        </w:rPr>
      </w:pPr>
      <w:r>
        <w:rPr>
          <w:rFonts w:hint="eastAsia"/>
        </w:rPr>
        <w:t>法定注册地址</w:t>
      </w:r>
      <w:r>
        <w:rPr>
          <w:rFonts w:hint="eastAsia"/>
          <w:b/>
        </w:rPr>
        <w:t>：</w:t>
      </w:r>
      <w:r>
        <w:rPr>
          <w:b/>
          <w:u w:val="single"/>
          <w:lang w:eastAsia="zh-CN"/>
        </w:rPr>
        <w:t xml:space="preserve">                                   </w:t>
      </w:r>
      <w:r>
        <w:rPr>
          <w:b/>
          <w:w w:val="99"/>
        </w:rPr>
        <w:t xml:space="preserve"> </w:t>
      </w:r>
    </w:p>
    <w:p>
      <w:pPr>
        <w:pStyle w:val="8"/>
        <w:spacing w:line="266" w:lineRule="exact"/>
        <w:ind w:left="1327" w:right="1736" w:rightChars="789" w:firstLine="420" w:firstLineChars="200"/>
      </w:pPr>
      <w:r>
        <w:rPr>
          <w:rFonts w:hint="eastAsia"/>
        </w:rPr>
        <w:t>发包人为建设</w:t>
      </w:r>
      <w:r>
        <w:rPr>
          <w:spacing w:val="-1"/>
          <w:u w:val="single"/>
        </w:rPr>
        <w:t xml:space="preserve">                               </w:t>
      </w:r>
      <w:r>
        <w:rPr>
          <w:rFonts w:hint="eastAsia"/>
        </w:rPr>
        <w:t>（</w:t>
      </w:r>
      <w:r>
        <w:rPr>
          <w:rFonts w:hint="eastAsia"/>
          <w:spacing w:val="-12"/>
        </w:rPr>
        <w:t>以下简称</w:t>
      </w:r>
      <w:r>
        <w:rPr>
          <w:spacing w:val="-12"/>
        </w:rPr>
        <w:t>?</w:t>
      </w:r>
      <w:r>
        <w:rPr>
          <w:rFonts w:hint="eastAsia"/>
          <w:spacing w:val="-12"/>
        </w:rPr>
        <w:t>°本工程</w:t>
      </w:r>
      <w:r>
        <w:rPr>
          <w:spacing w:val="-12"/>
        </w:rPr>
        <w:t>?</w:t>
      </w:r>
      <w:r>
        <w:rPr>
          <w:rFonts w:hint="eastAsia"/>
          <w:spacing w:val="-12"/>
        </w:rPr>
        <w:t>±</w:t>
      </w:r>
      <w:r>
        <w:rPr>
          <w:rFonts w:hint="eastAsia"/>
          <w:spacing w:val="-104"/>
        </w:rPr>
        <w:t>）</w:t>
      </w:r>
      <w:r>
        <w:rPr>
          <w:rFonts w:hint="eastAsia"/>
          <w:spacing w:val="-3"/>
        </w:rPr>
        <w:t>，已接受承包</w:t>
      </w:r>
      <w:r>
        <w:rPr>
          <w:rFonts w:hint="eastAsia"/>
          <w:spacing w:val="-7"/>
        </w:rPr>
        <w:t>人提出的承担本工程的施工、竣工、交付并维修其任何缺陷的投标。依照《中华人民共和国</w:t>
      </w:r>
      <w:r>
        <w:rPr>
          <w:rFonts w:hint="eastAsia"/>
          <w:spacing w:val="-26"/>
        </w:rPr>
        <w:t>谈判投标法》、《中华人民共和国合同法》、《中华人民共和国建筑法》、及其他有关法律、行政法规，遵循平等、自愿、公平和诚实信用的原则，双方共同达成并订立如下协议。</w:t>
      </w:r>
      <w:r>
        <w:rPr>
          <w:spacing w:val="-26"/>
        </w:rPr>
        <w:t xml:space="preserve"> </w:t>
      </w:r>
    </w:p>
    <w:p>
      <w:pPr>
        <w:pStyle w:val="8"/>
        <w:spacing w:line="268" w:lineRule="exact"/>
        <w:ind w:left="1258"/>
      </w:pPr>
      <w:r>
        <w:rPr>
          <w:rFonts w:hint="eastAsia"/>
        </w:rPr>
        <w:t>一、工程概况</w:t>
      </w:r>
      <w:r>
        <w:t xml:space="preserve"> </w:t>
      </w:r>
    </w:p>
    <w:p>
      <w:pPr>
        <w:pStyle w:val="8"/>
        <w:spacing w:before="140" w:line="364" w:lineRule="auto"/>
        <w:ind w:left="1258" w:right="1604"/>
      </w:pPr>
      <w:r>
        <w:rPr>
          <w:rFonts w:hint="eastAsia"/>
        </w:rPr>
        <w:t>工程名称：</w:t>
      </w:r>
      <w:r>
        <w:rPr>
          <w:u w:val="single"/>
        </w:rPr>
        <w:t xml:space="preserve">                                                                 </w:t>
      </w:r>
      <w:r>
        <w:t xml:space="preserve"> </w:t>
      </w:r>
      <w:r>
        <w:rPr>
          <w:rFonts w:hint="eastAsia"/>
        </w:rPr>
        <w:t>工程地点：</w:t>
      </w:r>
      <w:r>
        <w:rPr>
          <w:u w:val="single"/>
        </w:rPr>
        <w:t xml:space="preserve">                                                                </w:t>
      </w:r>
      <w:r>
        <w:t xml:space="preserve">  </w:t>
      </w:r>
      <w:r>
        <w:rPr>
          <w:rFonts w:hint="eastAsia"/>
        </w:rPr>
        <w:t>工程内容：</w:t>
      </w:r>
      <w:r>
        <w:rPr>
          <w:u w:val="single"/>
        </w:rPr>
        <w:t xml:space="preserve">                                                                </w:t>
      </w:r>
      <w:r>
        <w:t xml:space="preserve">  </w:t>
      </w:r>
      <w:r>
        <w:rPr>
          <w:rFonts w:hint="eastAsia"/>
        </w:rPr>
        <w:t>工程立项批准文号：</w:t>
      </w:r>
      <w:r>
        <w:rPr>
          <w:u w:val="single"/>
        </w:rPr>
        <w:t xml:space="preserve">                                                         </w:t>
      </w:r>
      <w:r>
        <w:t xml:space="preserve"> </w:t>
      </w:r>
      <w:r>
        <w:rPr>
          <w:rFonts w:hint="eastAsia"/>
        </w:rPr>
        <w:t>资金来源：</w:t>
      </w:r>
      <w:r>
        <w:rPr>
          <w:u w:val="single"/>
        </w:rPr>
        <w:t xml:space="preserve">                                                                 </w:t>
      </w:r>
      <w:r>
        <w:t xml:space="preserve"> </w:t>
      </w:r>
      <w:r>
        <w:rPr>
          <w:rFonts w:hint="eastAsia"/>
        </w:rPr>
        <w:t>二、工程承包范围</w:t>
      </w:r>
      <w:r>
        <w:t xml:space="preserve"> </w:t>
      </w:r>
    </w:p>
    <w:p>
      <w:pPr>
        <w:pStyle w:val="8"/>
        <w:spacing w:line="364" w:lineRule="auto"/>
        <w:ind w:left="1258" w:right="1709"/>
        <w:rPr>
          <w:b/>
        </w:rPr>
      </w:pPr>
      <w:r>
        <w:rPr>
          <w:rFonts w:hint="eastAsia"/>
        </w:rPr>
        <w:t>承包范围：</w:t>
      </w:r>
      <w:r>
        <w:rPr>
          <w:u w:val="single"/>
        </w:rPr>
        <w:t xml:space="preserve">                                                                </w:t>
      </w:r>
      <w:r>
        <w:t xml:space="preserve"> </w:t>
      </w:r>
      <w:r>
        <w:rPr>
          <w:rFonts w:hint="eastAsia"/>
          <w:spacing w:val="-6"/>
        </w:rPr>
        <w:t>详细承包范围见第五章</w:t>
      </w:r>
      <w:r>
        <w:rPr>
          <w:spacing w:val="-6"/>
        </w:rPr>
        <w:t>?</w:t>
      </w:r>
      <w:r>
        <w:rPr>
          <w:rFonts w:hint="eastAsia"/>
          <w:spacing w:val="-6"/>
        </w:rPr>
        <w:t>°技术标准和要求</w:t>
      </w:r>
      <w:r>
        <w:rPr>
          <w:spacing w:val="-6"/>
        </w:rPr>
        <w:t>?</w:t>
      </w:r>
      <w:r>
        <w:rPr>
          <w:rFonts w:hint="eastAsia"/>
          <w:spacing w:val="-6"/>
        </w:rPr>
        <w:t>±。</w:t>
      </w:r>
      <w:r>
        <w:rPr>
          <w:b/>
          <w:spacing w:val="-6"/>
          <w:w w:val="99"/>
        </w:rPr>
        <w:t xml:space="preserve"> </w:t>
      </w:r>
    </w:p>
    <w:p>
      <w:pPr>
        <w:pStyle w:val="8"/>
        <w:spacing w:line="268" w:lineRule="exact"/>
        <w:ind w:left="1258"/>
      </w:pPr>
      <w:r>
        <w:rPr>
          <w:rFonts w:hint="eastAsia"/>
        </w:rPr>
        <w:t>三、合同工期</w:t>
      </w:r>
      <w:r>
        <w:t xml:space="preserve"> </w:t>
      </w:r>
    </w:p>
    <w:p>
      <w:pPr>
        <w:pStyle w:val="8"/>
        <w:spacing w:before="136" w:line="364" w:lineRule="auto"/>
        <w:ind w:left="1258" w:right="4962"/>
      </w:pPr>
      <w:r>
        <w:rPr>
          <w:rFonts w:hint="eastAsia"/>
        </w:rPr>
        <w:t>计划开工日期：</w:t>
      </w:r>
      <w:r>
        <w:rPr>
          <w:spacing w:val="14"/>
          <w:u w:val="single"/>
        </w:rPr>
        <w:t xml:space="preserve">       </w:t>
      </w:r>
      <w:r>
        <w:rPr>
          <w:rFonts w:hint="eastAsia"/>
        </w:rPr>
        <w:t>年</w:t>
      </w:r>
      <w:r>
        <w:rPr>
          <w:spacing w:val="14"/>
          <w:u w:val="single"/>
        </w:rPr>
        <w:t xml:space="preserve">       </w:t>
      </w:r>
      <w:r>
        <w:rPr>
          <w:rFonts w:hint="eastAsia"/>
        </w:rPr>
        <w:t>月</w:t>
      </w:r>
      <w:r>
        <w:rPr>
          <w:spacing w:val="14"/>
          <w:u w:val="single"/>
        </w:rPr>
        <w:t xml:space="preserve">       </w:t>
      </w:r>
      <w:r>
        <w:rPr>
          <w:rFonts w:hint="eastAsia"/>
        </w:rPr>
        <w:t>日计划竣工日期：</w:t>
      </w:r>
      <w:r>
        <w:rPr>
          <w:spacing w:val="104"/>
          <w:u w:val="single"/>
        </w:rPr>
        <w:t xml:space="preserve"> </w:t>
      </w:r>
      <w:r>
        <w:rPr>
          <w:rFonts w:hint="eastAsia"/>
        </w:rPr>
        <w:t>年</w:t>
      </w:r>
      <w:r>
        <w:rPr>
          <w:spacing w:val="104"/>
          <w:u w:val="single"/>
        </w:rPr>
        <w:t xml:space="preserve"> </w:t>
      </w:r>
      <w:r>
        <w:rPr>
          <w:rFonts w:hint="eastAsia"/>
        </w:rPr>
        <w:t>月</w:t>
      </w:r>
      <w:r>
        <w:rPr>
          <w:spacing w:val="104"/>
          <w:u w:val="single"/>
        </w:rPr>
        <w:t xml:space="preserve"> </w:t>
      </w:r>
      <w:r>
        <w:rPr>
          <w:rFonts w:hint="eastAsia"/>
        </w:rPr>
        <w:t>日</w:t>
      </w:r>
      <w:r>
        <w:t xml:space="preserve"> </w:t>
      </w:r>
    </w:p>
    <w:p>
      <w:pPr>
        <w:pStyle w:val="8"/>
        <w:spacing w:line="364" w:lineRule="auto"/>
        <w:ind w:left="838" w:right="1794" w:firstLine="420"/>
      </w:pPr>
      <w:r>
        <w:rPr>
          <w:rFonts w:hint="eastAsia"/>
        </w:rPr>
        <w:t>工期总日历天数</w:t>
      </w:r>
      <w:r>
        <w:rPr>
          <w:spacing w:val="4"/>
          <w:u w:val="single"/>
        </w:rPr>
        <w:t xml:space="preserve">                      </w:t>
      </w:r>
      <w:r>
        <w:rPr>
          <w:rFonts w:hint="eastAsia"/>
          <w:spacing w:val="-11"/>
        </w:rPr>
        <w:t>天，自监理人发出的开工通知中载明的开工</w:t>
      </w:r>
      <w:r>
        <w:rPr>
          <w:rFonts w:hint="eastAsia"/>
        </w:rPr>
        <w:t>日期起算。</w:t>
      </w:r>
      <w:r>
        <w:t xml:space="preserve"> </w:t>
      </w:r>
    </w:p>
    <w:p>
      <w:pPr>
        <w:pStyle w:val="8"/>
        <w:spacing w:line="268" w:lineRule="exact"/>
        <w:ind w:left="1258"/>
      </w:pPr>
      <w:r>
        <w:rPr>
          <w:rFonts w:hint="eastAsia"/>
        </w:rPr>
        <w:t>四、质量标准</w:t>
      </w:r>
      <w:r>
        <w:t xml:space="preserve"> </w:t>
      </w:r>
    </w:p>
    <w:p>
      <w:pPr>
        <w:pStyle w:val="8"/>
        <w:spacing w:before="139" w:line="364" w:lineRule="auto"/>
        <w:ind w:left="1258" w:right="1708"/>
      </w:pPr>
      <w:r>
        <w:rPr>
          <w:rFonts w:hint="eastAsia"/>
        </w:rPr>
        <w:t>工程质量标准：</w:t>
      </w:r>
      <w:r>
        <w:rPr>
          <w:u w:val="single"/>
        </w:rPr>
        <w:t xml:space="preserve">                                                            </w:t>
      </w:r>
      <w:r>
        <w:t xml:space="preserve"> </w:t>
      </w:r>
      <w:r>
        <w:rPr>
          <w:rFonts w:hint="eastAsia"/>
        </w:rPr>
        <w:t>五、施工现场安全生产标准化管理目标等级要求</w:t>
      </w:r>
      <w:r>
        <w:t xml:space="preserve"> </w:t>
      </w:r>
    </w:p>
    <w:p>
      <w:pPr>
        <w:pStyle w:val="8"/>
        <w:spacing w:line="364" w:lineRule="auto"/>
        <w:ind w:left="1258" w:right="1708"/>
      </w:pPr>
      <w:r>
        <w:rPr>
          <w:rFonts w:hint="eastAsia"/>
        </w:rPr>
        <w:t>施工现场安全生产标准化管理目标等级：</w:t>
      </w:r>
      <w:r>
        <w:rPr>
          <w:u w:val="single"/>
        </w:rPr>
        <w:t xml:space="preserve">                                      </w:t>
      </w:r>
      <w:r>
        <w:t xml:space="preserve"> </w:t>
      </w:r>
      <w:r>
        <w:rPr>
          <w:rFonts w:hint="eastAsia"/>
        </w:rPr>
        <w:t>六、合同形式</w:t>
      </w:r>
      <w:r>
        <w:t xml:space="preserve"> </w:t>
      </w:r>
    </w:p>
    <w:p>
      <w:pPr>
        <w:spacing w:line="364" w:lineRule="auto"/>
        <w:sectPr>
          <w:pgSz w:w="11910" w:h="16840"/>
          <w:pgMar w:top="1180" w:right="0" w:bottom="280" w:left="960" w:header="873" w:footer="0" w:gutter="0"/>
          <w:cols w:space="720" w:num="1"/>
        </w:sectPr>
      </w:pPr>
    </w:p>
    <w:p>
      <w:pPr>
        <w:pStyle w:val="8"/>
        <w:spacing w:before="4"/>
        <w:rPr>
          <w:sz w:val="16"/>
        </w:rPr>
      </w:pPr>
    </w:p>
    <w:p>
      <w:pPr>
        <w:pStyle w:val="8"/>
        <w:spacing w:before="70" w:line="364" w:lineRule="auto"/>
        <w:ind w:left="1258" w:right="1814"/>
      </w:pPr>
      <w:r>
        <w:rPr>
          <w:rFonts w:hint="eastAsia"/>
        </w:rPr>
        <w:t>本</w:t>
      </w:r>
      <w:r>
        <w:t xml:space="preserve"> </w:t>
      </w:r>
      <w:r>
        <w:rPr>
          <w:rFonts w:hint="eastAsia"/>
        </w:rPr>
        <w:t>合</w:t>
      </w:r>
      <w:r>
        <w:t xml:space="preserve"> </w:t>
      </w:r>
      <w:r>
        <w:rPr>
          <w:rFonts w:hint="eastAsia"/>
        </w:rPr>
        <w:t>同</w:t>
      </w:r>
      <w:r>
        <w:t xml:space="preserve"> </w:t>
      </w:r>
      <w:r>
        <w:rPr>
          <w:rFonts w:hint="eastAsia"/>
        </w:rPr>
        <w:t>采</w:t>
      </w:r>
      <w:r>
        <w:t xml:space="preserve"> </w:t>
      </w:r>
      <w:r>
        <w:rPr>
          <w:rFonts w:hint="eastAsia"/>
        </w:rPr>
        <w:t>用</w:t>
      </w:r>
      <w:r>
        <w:rPr>
          <w:u w:val="single"/>
        </w:rPr>
        <w:t xml:space="preserve">                                             </w:t>
      </w:r>
      <w:r>
        <w:rPr>
          <w:rFonts w:hint="eastAsia"/>
        </w:rPr>
        <w:t>合</w:t>
      </w:r>
      <w:r>
        <w:t xml:space="preserve"> </w:t>
      </w:r>
      <w:r>
        <w:rPr>
          <w:rFonts w:hint="eastAsia"/>
        </w:rPr>
        <w:t>同</w:t>
      </w:r>
      <w:r>
        <w:t xml:space="preserve"> </w:t>
      </w:r>
      <w:r>
        <w:rPr>
          <w:rFonts w:hint="eastAsia"/>
        </w:rPr>
        <w:t>形</w:t>
      </w:r>
      <w:r>
        <w:t xml:space="preserve"> </w:t>
      </w:r>
      <w:r>
        <w:rPr>
          <w:rFonts w:hint="eastAsia"/>
        </w:rPr>
        <w:t>式</w:t>
      </w:r>
      <w:r>
        <w:t xml:space="preserve"> </w:t>
      </w:r>
      <w:r>
        <w:rPr>
          <w:rFonts w:hint="eastAsia"/>
        </w:rPr>
        <w:t>。</w:t>
      </w:r>
    </w:p>
    <w:p>
      <w:pPr>
        <w:pStyle w:val="8"/>
        <w:spacing w:before="70" w:line="364" w:lineRule="auto"/>
        <w:ind w:left="1258" w:right="1814"/>
      </w:pPr>
      <w:r>
        <w:rPr>
          <w:rFonts w:hint="eastAsia"/>
        </w:rPr>
        <w:t>七、签约合同价</w:t>
      </w:r>
      <w:r>
        <w:t xml:space="preserve"> </w:t>
      </w:r>
    </w:p>
    <w:p>
      <w:pPr>
        <w:pStyle w:val="8"/>
        <w:spacing w:line="268" w:lineRule="exact"/>
        <w:ind w:left="1258"/>
      </w:pPr>
      <w:r>
        <w:rPr>
          <w:rFonts w:hint="eastAsia"/>
          <w:spacing w:val="-15"/>
        </w:rPr>
        <w:t>金</w:t>
      </w:r>
      <w:r>
        <w:rPr>
          <w:spacing w:val="-15"/>
        </w:rPr>
        <w:t xml:space="preserve"> </w:t>
      </w:r>
      <w:r>
        <w:rPr>
          <w:rFonts w:hint="eastAsia"/>
          <w:spacing w:val="-15"/>
        </w:rPr>
        <w:t>额</w:t>
      </w:r>
      <w:r>
        <w:rPr>
          <w:spacing w:val="-15"/>
        </w:rPr>
        <w:t xml:space="preserve"> </w:t>
      </w:r>
      <w:r>
        <w:rPr>
          <w:rFonts w:hint="eastAsia"/>
        </w:rPr>
        <w:t>（</w:t>
      </w:r>
      <w:r>
        <w:t xml:space="preserve"> </w:t>
      </w:r>
      <w:r>
        <w:rPr>
          <w:rFonts w:hint="eastAsia"/>
        </w:rPr>
        <w:t>大</w:t>
      </w:r>
      <w:r>
        <w:t xml:space="preserve"> </w:t>
      </w:r>
      <w:r>
        <w:rPr>
          <w:rFonts w:hint="eastAsia"/>
        </w:rPr>
        <w:t>写</w:t>
      </w:r>
      <w:r>
        <w:t xml:space="preserve"> </w:t>
      </w:r>
      <w:r>
        <w:rPr>
          <w:rFonts w:hint="eastAsia"/>
          <w:spacing w:val="-68"/>
        </w:rPr>
        <w:t>）：</w:t>
      </w:r>
      <w:r>
        <w:rPr>
          <w:spacing w:val="-68"/>
          <w:u w:val="single"/>
        </w:rPr>
        <w:t xml:space="preserve">                                                               </w:t>
      </w:r>
      <w:r>
        <w:rPr>
          <w:rFonts w:hint="eastAsia"/>
        </w:rPr>
        <w:t>（</w:t>
      </w:r>
      <w:r>
        <w:t xml:space="preserve"> </w:t>
      </w:r>
      <w:r>
        <w:rPr>
          <w:rFonts w:hint="eastAsia"/>
        </w:rPr>
        <w:t>人</w:t>
      </w:r>
      <w:r>
        <w:t xml:space="preserve"> </w:t>
      </w:r>
      <w:r>
        <w:rPr>
          <w:rFonts w:hint="eastAsia"/>
        </w:rPr>
        <w:t>民</w:t>
      </w:r>
      <w:r>
        <w:t xml:space="preserve"> </w:t>
      </w:r>
      <w:r>
        <w:rPr>
          <w:rFonts w:hint="eastAsia"/>
        </w:rPr>
        <w:t>币</w:t>
      </w:r>
      <w:r>
        <w:t xml:space="preserve"> </w:t>
      </w:r>
      <w:r>
        <w:rPr>
          <w:rFonts w:hint="eastAsia"/>
          <w:spacing w:val="-105"/>
        </w:rPr>
        <w:t>）</w:t>
      </w:r>
      <w:r>
        <w:t xml:space="preserve"> </w:t>
      </w:r>
    </w:p>
    <w:p>
      <w:pPr>
        <w:pStyle w:val="8"/>
        <w:spacing w:before="140" w:line="364" w:lineRule="auto"/>
        <w:ind w:left="1468" w:right="2528" w:hanging="210"/>
      </w:pPr>
      <w:r>
        <w:rPr>
          <w:rFonts w:hint="eastAsia"/>
        </w:rPr>
        <w:t>（小写）￥：</w:t>
      </w:r>
      <w:r>
        <w:rPr>
          <w:spacing w:val="97"/>
          <w:u w:val="single"/>
        </w:rPr>
        <w:t xml:space="preserve">                 </w:t>
      </w:r>
      <w:r>
        <w:rPr>
          <w:rFonts w:hint="eastAsia"/>
        </w:rPr>
        <w:t>元</w:t>
      </w:r>
      <w:r>
        <w:t xml:space="preserve"> </w:t>
      </w:r>
    </w:p>
    <w:p>
      <w:pPr>
        <w:pStyle w:val="8"/>
        <w:spacing w:before="140" w:line="364" w:lineRule="auto"/>
        <w:ind w:left="1468" w:right="2528" w:hanging="210"/>
        <w:rPr>
          <w:spacing w:val="-6"/>
        </w:rPr>
      </w:pPr>
      <w:r>
        <w:rPr>
          <w:rFonts w:hint="eastAsia"/>
        </w:rPr>
        <w:t>其中：安全文明施工费（含税</w:t>
      </w:r>
      <w:r>
        <w:rPr>
          <w:rFonts w:hint="eastAsia"/>
          <w:spacing w:val="-105"/>
        </w:rPr>
        <w:t>）</w:t>
      </w:r>
      <w:r>
        <w:rPr>
          <w:rFonts w:hint="eastAsia"/>
        </w:rPr>
        <w:t>：</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rFonts w:hint="eastAsia"/>
          <w:spacing w:val="-6"/>
        </w:rPr>
        <w:t>元</w:t>
      </w:r>
      <w:r>
        <w:rPr>
          <w:spacing w:val="-6"/>
        </w:rPr>
        <w:t xml:space="preserve"> </w:t>
      </w:r>
    </w:p>
    <w:p>
      <w:pPr>
        <w:pStyle w:val="8"/>
        <w:spacing w:before="140" w:line="364" w:lineRule="auto"/>
        <w:ind w:left="220" w:leftChars="100" w:right="2528" w:firstLine="1188" w:firstLineChars="600"/>
      </w:pPr>
      <w:r>
        <w:rPr>
          <w:rFonts w:hint="eastAsia"/>
          <w:spacing w:val="-6"/>
        </w:rPr>
        <w:t>建</w:t>
      </w:r>
      <w:r>
        <w:rPr>
          <w:spacing w:val="-6"/>
        </w:rPr>
        <w:t xml:space="preserve"> </w:t>
      </w:r>
      <w:r>
        <w:rPr>
          <w:rFonts w:hint="eastAsia"/>
          <w:spacing w:val="-6"/>
        </w:rPr>
        <w:t>筑</w:t>
      </w:r>
      <w:r>
        <w:rPr>
          <w:spacing w:val="-6"/>
        </w:rPr>
        <w:t xml:space="preserve"> </w:t>
      </w:r>
      <w:r>
        <w:rPr>
          <w:rFonts w:hint="eastAsia"/>
          <w:spacing w:val="-6"/>
        </w:rPr>
        <w:t>垃</w:t>
      </w:r>
      <w:r>
        <w:rPr>
          <w:spacing w:val="-6"/>
        </w:rPr>
        <w:t xml:space="preserve"> </w:t>
      </w:r>
      <w:r>
        <w:rPr>
          <w:rFonts w:hint="eastAsia"/>
          <w:spacing w:val="-6"/>
        </w:rPr>
        <w:t>圾</w:t>
      </w:r>
      <w:r>
        <w:rPr>
          <w:spacing w:val="-6"/>
        </w:rPr>
        <w:t xml:space="preserve"> </w:t>
      </w:r>
      <w:r>
        <w:rPr>
          <w:rFonts w:hint="eastAsia"/>
          <w:spacing w:val="-6"/>
        </w:rPr>
        <w:t>运</w:t>
      </w:r>
      <w:r>
        <w:rPr>
          <w:spacing w:val="-6"/>
        </w:rPr>
        <w:t xml:space="preserve"> </w:t>
      </w:r>
      <w:r>
        <w:rPr>
          <w:rFonts w:hint="eastAsia"/>
          <w:spacing w:val="-6"/>
        </w:rPr>
        <w:t>输</w:t>
      </w:r>
      <w:r>
        <w:rPr>
          <w:spacing w:val="-6"/>
        </w:rPr>
        <w:t xml:space="preserve"> </w:t>
      </w:r>
      <w:r>
        <w:rPr>
          <w:rFonts w:hint="eastAsia"/>
          <w:spacing w:val="-6"/>
        </w:rPr>
        <w:t>处</w:t>
      </w:r>
      <w:r>
        <w:rPr>
          <w:spacing w:val="-6"/>
        </w:rPr>
        <w:t xml:space="preserve"> </w:t>
      </w:r>
      <w:r>
        <w:rPr>
          <w:rFonts w:hint="eastAsia"/>
          <w:spacing w:val="-6"/>
        </w:rPr>
        <w:t>置</w:t>
      </w:r>
      <w:r>
        <w:rPr>
          <w:spacing w:val="-6"/>
        </w:rPr>
        <w:t xml:space="preserve"> </w:t>
      </w:r>
      <w:r>
        <w:rPr>
          <w:rFonts w:hint="eastAsia"/>
          <w:spacing w:val="-6"/>
        </w:rPr>
        <w:t>费</w:t>
      </w:r>
      <w:r>
        <w:rPr>
          <w:spacing w:val="-6"/>
        </w:rPr>
        <w:t xml:space="preserve"> </w:t>
      </w:r>
      <w:r>
        <w:rPr>
          <w:rFonts w:hint="eastAsia"/>
        </w:rPr>
        <w:t>（</w:t>
      </w:r>
      <w:r>
        <w:t xml:space="preserve"> </w:t>
      </w:r>
      <w:r>
        <w:rPr>
          <w:rFonts w:hint="eastAsia"/>
        </w:rPr>
        <w:t>含</w:t>
      </w:r>
      <w:r>
        <w:t xml:space="preserve"> </w:t>
      </w:r>
      <w:r>
        <w:rPr>
          <w:rFonts w:hint="eastAsia"/>
        </w:rPr>
        <w:t>税</w:t>
      </w:r>
      <w:r>
        <w:t xml:space="preserve"> </w:t>
      </w:r>
      <w:r>
        <w:rPr>
          <w:rFonts w:hint="eastAsia"/>
          <w:spacing w:val="-75"/>
        </w:rPr>
        <w:t>）：</w:t>
      </w:r>
      <w:r>
        <w:rPr>
          <w:spacing w:val="-75"/>
          <w:lang w:eastAsia="zh-CN"/>
        </w:rPr>
        <w:t xml:space="preserve"> </w:t>
      </w:r>
      <w:r>
        <w:rPr>
          <w:spacing w:val="-75"/>
          <w:u w:val="single"/>
          <w:lang w:eastAsia="zh-CN"/>
        </w:rPr>
        <w:t xml:space="preserve">                                                                       </w:t>
      </w:r>
      <w:r>
        <w:rPr>
          <w:spacing w:val="-47"/>
          <w:u w:val="single"/>
        </w:rPr>
        <w:t xml:space="preserve"> </w:t>
      </w:r>
      <w:r>
        <w:rPr>
          <w:rFonts w:hint="eastAsia"/>
        </w:rPr>
        <w:t>元</w:t>
      </w:r>
      <w:r>
        <w:t xml:space="preserve"> </w:t>
      </w:r>
    </w:p>
    <w:p>
      <w:pPr>
        <w:pStyle w:val="8"/>
        <w:spacing w:line="269" w:lineRule="exact"/>
        <w:ind w:right="2548"/>
        <w:jc w:val="right"/>
      </w:pPr>
      <w:r>
        <w:rPr>
          <w:rFonts w:hint="eastAsia"/>
        </w:rPr>
        <w:t>暂列金额（含税</w:t>
      </w:r>
      <w:r>
        <w:rPr>
          <w:rFonts w:hint="eastAsia"/>
          <w:spacing w:val="-105"/>
        </w:rPr>
        <w:t>）</w:t>
      </w:r>
      <w:r>
        <w:rPr>
          <w:rFonts w:hint="eastAsia"/>
        </w:rPr>
        <w:t>：</w:t>
      </w:r>
      <w:r>
        <w:rPr>
          <w:spacing w:val="-2"/>
          <w:u w:val="single"/>
        </w:rPr>
        <w:t xml:space="preserve">                                                </w:t>
      </w:r>
      <w:r>
        <w:rPr>
          <w:rFonts w:hint="eastAsia"/>
        </w:rPr>
        <w:t>元</w:t>
      </w:r>
      <w:r>
        <w:t xml:space="preserve"> </w:t>
      </w:r>
    </w:p>
    <w:p>
      <w:pPr>
        <w:spacing w:before="139"/>
        <w:ind w:right="6223"/>
        <w:jc w:val="center"/>
        <w:rPr>
          <w:b/>
          <w:sz w:val="21"/>
        </w:rPr>
      </w:pPr>
      <w:r>
        <w:rPr>
          <w:sz w:val="21"/>
        </w:rPr>
        <w:t>?-?-</w:t>
      </w:r>
      <w:r>
        <w:rPr>
          <w:b/>
          <w:w w:val="99"/>
          <w:sz w:val="21"/>
        </w:rPr>
        <w:t xml:space="preserve"> </w:t>
      </w:r>
    </w:p>
    <w:p>
      <w:pPr>
        <w:pStyle w:val="8"/>
        <w:spacing w:before="139"/>
        <w:ind w:right="6223"/>
        <w:jc w:val="center"/>
      </w:pPr>
      <w:r>
        <w:rPr>
          <w:rFonts w:hint="eastAsia"/>
        </w:rPr>
        <w:t>八、承包人项目经理：</w:t>
      </w:r>
      <w:r>
        <w:t xml:space="preserve"> </w:t>
      </w:r>
    </w:p>
    <w:p>
      <w:pPr>
        <w:pStyle w:val="8"/>
        <w:spacing w:before="140" w:line="364" w:lineRule="auto"/>
        <w:ind w:left="1258" w:right="1688"/>
        <w:jc w:val="both"/>
        <w:rPr>
          <w:spacing w:val="-105"/>
        </w:rPr>
      </w:pPr>
      <w:r>
        <w:rPr>
          <w:rFonts w:hint="eastAsia"/>
          <w:spacing w:val="-13"/>
        </w:rPr>
        <w:t>姓</w:t>
      </w:r>
      <w:r>
        <w:rPr>
          <w:spacing w:val="-13"/>
        </w:rPr>
        <w:t xml:space="preserve"> </w:t>
      </w:r>
      <w:r>
        <w:rPr>
          <w:rFonts w:hint="eastAsia"/>
          <w:spacing w:val="-13"/>
        </w:rPr>
        <w:t>名</w:t>
      </w:r>
      <w:r>
        <w:rPr>
          <w:spacing w:val="-13"/>
        </w:rPr>
        <w:t xml:space="preserve"> </w:t>
      </w:r>
      <w:r>
        <w:rPr>
          <w:rFonts w:hint="eastAsia"/>
          <w:spacing w:val="-13"/>
        </w:rPr>
        <w:t>：</w:t>
      </w:r>
      <w:r>
        <w:rPr>
          <w:spacing w:val="-65"/>
          <w:u w:val="single"/>
        </w:rPr>
        <w:t xml:space="preserve">                                                                  </w:t>
      </w:r>
      <w:r>
        <w:rPr>
          <w:spacing w:val="-58"/>
        </w:rPr>
        <w:t xml:space="preserve">   </w:t>
      </w:r>
      <w:r>
        <w:rPr>
          <w:rFonts w:hint="eastAsia"/>
          <w:spacing w:val="-58"/>
        </w:rPr>
        <w:t>；</w:t>
      </w:r>
      <w:r>
        <w:rPr>
          <w:spacing w:val="-58"/>
        </w:rPr>
        <w:t xml:space="preserve">                </w:t>
      </w:r>
      <w:r>
        <w:rPr>
          <w:rFonts w:hint="eastAsia"/>
          <w:spacing w:val="-58"/>
        </w:rPr>
        <w:t>职</w:t>
      </w:r>
      <w:r>
        <w:rPr>
          <w:spacing w:val="-58"/>
        </w:rPr>
        <w:t xml:space="preserve"> </w:t>
      </w:r>
      <w:r>
        <w:rPr>
          <w:rFonts w:hint="eastAsia"/>
          <w:spacing w:val="-58"/>
        </w:rPr>
        <w:t>称</w:t>
      </w:r>
      <w:r>
        <w:rPr>
          <w:spacing w:val="-58"/>
        </w:rPr>
        <w:t xml:space="preserve"> </w:t>
      </w:r>
      <w:r>
        <w:rPr>
          <w:rFonts w:hint="eastAsia"/>
          <w:spacing w:val="-58"/>
        </w:rPr>
        <w:t>：</w:t>
      </w:r>
      <w:r>
        <w:rPr>
          <w:spacing w:val="-66"/>
          <w:u w:val="single"/>
        </w:rPr>
        <w:t xml:space="preserve">                                                                   </w:t>
      </w:r>
      <w:r>
        <w:rPr>
          <w:rFonts w:hint="eastAsia"/>
          <w:spacing w:val="-105"/>
        </w:rPr>
        <w:t>；</w:t>
      </w:r>
    </w:p>
    <w:p>
      <w:pPr>
        <w:pStyle w:val="8"/>
        <w:spacing w:before="140" w:line="364" w:lineRule="auto"/>
        <w:ind w:left="1258" w:right="1688"/>
        <w:jc w:val="both"/>
        <w:rPr>
          <w:spacing w:val="-75"/>
        </w:rPr>
      </w:pPr>
      <w:r>
        <w:rPr>
          <w:rFonts w:hint="eastAsia"/>
          <w:spacing w:val="-8"/>
        </w:rPr>
        <w:t>身</w:t>
      </w:r>
      <w:r>
        <w:rPr>
          <w:spacing w:val="-8"/>
        </w:rPr>
        <w:t xml:space="preserve"> </w:t>
      </w:r>
      <w:r>
        <w:rPr>
          <w:rFonts w:hint="eastAsia"/>
          <w:spacing w:val="-8"/>
        </w:rPr>
        <w:t>份</w:t>
      </w:r>
      <w:r>
        <w:rPr>
          <w:spacing w:val="-8"/>
        </w:rPr>
        <w:t xml:space="preserve"> </w:t>
      </w:r>
      <w:r>
        <w:rPr>
          <w:rFonts w:hint="eastAsia"/>
          <w:spacing w:val="-8"/>
        </w:rPr>
        <w:t>证</w:t>
      </w:r>
      <w:r>
        <w:rPr>
          <w:spacing w:val="-8"/>
        </w:rPr>
        <w:t xml:space="preserve"> </w:t>
      </w:r>
      <w:r>
        <w:rPr>
          <w:rFonts w:hint="eastAsia"/>
          <w:spacing w:val="-8"/>
        </w:rPr>
        <w:t>号</w:t>
      </w:r>
      <w:r>
        <w:rPr>
          <w:spacing w:val="-8"/>
        </w:rPr>
        <w:t xml:space="preserve"> </w:t>
      </w:r>
      <w:r>
        <w:rPr>
          <w:rFonts w:hint="eastAsia"/>
          <w:spacing w:val="-8"/>
        </w:rPr>
        <w:t>：</w:t>
      </w:r>
      <w:r>
        <w:rPr>
          <w:spacing w:val="-64"/>
          <w:u w:val="single"/>
        </w:rPr>
        <w:t xml:space="preserve">                       </w:t>
      </w:r>
      <w:r>
        <w:rPr>
          <w:rFonts w:hint="eastAsia"/>
          <w:spacing w:val="-37"/>
        </w:rPr>
        <w:t>；</w:t>
      </w:r>
      <w:r>
        <w:rPr>
          <w:spacing w:val="-37"/>
        </w:rPr>
        <w:t xml:space="preserve">                </w:t>
      </w:r>
      <w:r>
        <w:rPr>
          <w:rFonts w:hint="eastAsia"/>
          <w:spacing w:val="-37"/>
        </w:rPr>
        <w:t>建</w:t>
      </w:r>
      <w:r>
        <w:rPr>
          <w:spacing w:val="-37"/>
        </w:rPr>
        <w:t xml:space="preserve"> </w:t>
      </w:r>
      <w:r>
        <w:rPr>
          <w:rFonts w:hint="eastAsia"/>
          <w:spacing w:val="-37"/>
        </w:rPr>
        <w:t>造</w:t>
      </w:r>
      <w:r>
        <w:rPr>
          <w:spacing w:val="-37"/>
        </w:rPr>
        <w:t xml:space="preserve"> </w:t>
      </w:r>
      <w:r>
        <w:rPr>
          <w:rFonts w:hint="eastAsia"/>
          <w:spacing w:val="-37"/>
        </w:rPr>
        <w:t>师</w:t>
      </w:r>
      <w:r>
        <w:rPr>
          <w:spacing w:val="-37"/>
        </w:rPr>
        <w:t xml:space="preserve"> </w:t>
      </w:r>
      <w:r>
        <w:rPr>
          <w:rFonts w:hint="eastAsia"/>
          <w:spacing w:val="-37"/>
        </w:rPr>
        <w:t>执</w:t>
      </w:r>
      <w:r>
        <w:rPr>
          <w:spacing w:val="-37"/>
        </w:rPr>
        <w:t xml:space="preserve"> </w:t>
      </w:r>
      <w:r>
        <w:rPr>
          <w:rFonts w:hint="eastAsia"/>
          <w:spacing w:val="-37"/>
        </w:rPr>
        <w:t>业</w:t>
      </w:r>
      <w:r>
        <w:rPr>
          <w:spacing w:val="-37"/>
        </w:rPr>
        <w:t xml:space="preserve"> </w:t>
      </w:r>
      <w:r>
        <w:rPr>
          <w:rFonts w:hint="eastAsia"/>
          <w:spacing w:val="-37"/>
        </w:rPr>
        <w:t>资</w:t>
      </w:r>
      <w:r>
        <w:rPr>
          <w:spacing w:val="-37"/>
        </w:rPr>
        <w:t xml:space="preserve"> </w:t>
      </w:r>
      <w:r>
        <w:rPr>
          <w:rFonts w:hint="eastAsia"/>
          <w:spacing w:val="-37"/>
        </w:rPr>
        <w:t>格</w:t>
      </w:r>
      <w:r>
        <w:rPr>
          <w:spacing w:val="-37"/>
        </w:rPr>
        <w:t xml:space="preserve"> </w:t>
      </w:r>
      <w:r>
        <w:rPr>
          <w:rFonts w:hint="eastAsia"/>
          <w:spacing w:val="-37"/>
        </w:rPr>
        <w:t>证</w:t>
      </w:r>
      <w:r>
        <w:rPr>
          <w:spacing w:val="-37"/>
        </w:rPr>
        <w:t xml:space="preserve"> </w:t>
      </w:r>
      <w:r>
        <w:rPr>
          <w:rFonts w:hint="eastAsia"/>
          <w:spacing w:val="-37"/>
        </w:rPr>
        <w:t>书</w:t>
      </w:r>
      <w:r>
        <w:rPr>
          <w:spacing w:val="-37"/>
        </w:rPr>
        <w:t xml:space="preserve"> </w:t>
      </w:r>
      <w:r>
        <w:rPr>
          <w:rFonts w:hint="eastAsia"/>
          <w:spacing w:val="-37"/>
        </w:rPr>
        <w:t>号</w:t>
      </w:r>
      <w:r>
        <w:rPr>
          <w:spacing w:val="-37"/>
        </w:rPr>
        <w:t xml:space="preserve"> </w:t>
      </w:r>
      <w:r>
        <w:rPr>
          <w:rFonts w:hint="eastAsia"/>
          <w:spacing w:val="-37"/>
        </w:rPr>
        <w:t>：</w:t>
      </w:r>
      <w:r>
        <w:rPr>
          <w:spacing w:val="-65"/>
          <w:u w:val="single"/>
        </w:rPr>
        <w:t xml:space="preserve">                             </w:t>
      </w:r>
      <w:r>
        <w:rPr>
          <w:spacing w:val="-75"/>
        </w:rPr>
        <w:t xml:space="preserve">   </w:t>
      </w:r>
      <w:r>
        <w:rPr>
          <w:rFonts w:hint="eastAsia"/>
          <w:spacing w:val="-75"/>
        </w:rPr>
        <w:t>；</w:t>
      </w:r>
    </w:p>
    <w:p>
      <w:pPr>
        <w:pStyle w:val="8"/>
        <w:spacing w:before="140" w:line="364" w:lineRule="auto"/>
        <w:ind w:left="1258" w:right="1688"/>
        <w:jc w:val="both"/>
        <w:rPr>
          <w:spacing w:val="-105"/>
        </w:rPr>
      </w:pPr>
      <w:r>
        <w:rPr>
          <w:rFonts w:hint="eastAsia"/>
          <w:spacing w:val="-6"/>
        </w:rPr>
        <w:t>建</w:t>
      </w:r>
      <w:r>
        <w:rPr>
          <w:spacing w:val="-6"/>
        </w:rPr>
        <w:t xml:space="preserve"> </w:t>
      </w:r>
      <w:r>
        <w:rPr>
          <w:rFonts w:hint="eastAsia"/>
          <w:spacing w:val="-6"/>
        </w:rPr>
        <w:t>造</w:t>
      </w:r>
      <w:r>
        <w:rPr>
          <w:spacing w:val="-6"/>
        </w:rPr>
        <w:t xml:space="preserve"> </w:t>
      </w:r>
      <w:r>
        <w:rPr>
          <w:rFonts w:hint="eastAsia"/>
          <w:spacing w:val="-6"/>
        </w:rPr>
        <w:t>师</w:t>
      </w:r>
      <w:r>
        <w:rPr>
          <w:spacing w:val="-6"/>
        </w:rPr>
        <w:t xml:space="preserve"> </w:t>
      </w:r>
      <w:r>
        <w:rPr>
          <w:rFonts w:hint="eastAsia"/>
          <w:spacing w:val="-6"/>
        </w:rPr>
        <w:t>注</w:t>
      </w:r>
      <w:r>
        <w:rPr>
          <w:spacing w:val="-6"/>
        </w:rPr>
        <w:t xml:space="preserve"> </w:t>
      </w:r>
      <w:r>
        <w:rPr>
          <w:rFonts w:hint="eastAsia"/>
          <w:spacing w:val="-6"/>
        </w:rPr>
        <w:t>册</w:t>
      </w:r>
      <w:r>
        <w:rPr>
          <w:spacing w:val="-6"/>
        </w:rPr>
        <w:t xml:space="preserve"> </w:t>
      </w:r>
      <w:r>
        <w:rPr>
          <w:rFonts w:hint="eastAsia"/>
          <w:spacing w:val="-6"/>
        </w:rPr>
        <w:t>证</w:t>
      </w:r>
      <w:r>
        <w:rPr>
          <w:spacing w:val="-6"/>
        </w:rPr>
        <w:t xml:space="preserve"> </w:t>
      </w:r>
      <w:r>
        <w:rPr>
          <w:rFonts w:hint="eastAsia"/>
          <w:spacing w:val="-6"/>
        </w:rPr>
        <w:t>书</w:t>
      </w:r>
      <w:r>
        <w:rPr>
          <w:spacing w:val="-6"/>
        </w:rPr>
        <w:t xml:space="preserve"> </w:t>
      </w:r>
      <w:r>
        <w:rPr>
          <w:rFonts w:hint="eastAsia"/>
          <w:spacing w:val="-6"/>
        </w:rPr>
        <w:t>号</w:t>
      </w:r>
      <w:r>
        <w:rPr>
          <w:spacing w:val="-6"/>
        </w:rPr>
        <w:t xml:space="preserve"> </w:t>
      </w:r>
      <w:r>
        <w:rPr>
          <w:rFonts w:hint="eastAsia"/>
          <w:spacing w:val="-6"/>
        </w:rPr>
        <w:t>：</w:t>
      </w:r>
      <w:r>
        <w:rPr>
          <w:spacing w:val="-88"/>
          <w:u w:val="single"/>
        </w:rPr>
        <w:t xml:space="preserve">                                                                                                                                                                                                                                                                                                         </w:t>
      </w:r>
      <w:r>
        <w:rPr>
          <w:rFonts w:hint="eastAsia"/>
          <w:spacing w:val="-105"/>
        </w:rPr>
        <w:t>。</w:t>
      </w:r>
    </w:p>
    <w:p>
      <w:pPr>
        <w:pStyle w:val="8"/>
        <w:spacing w:before="140" w:line="364" w:lineRule="auto"/>
        <w:ind w:left="1258" w:right="1688"/>
        <w:jc w:val="both"/>
        <w:rPr>
          <w:spacing w:val="-105"/>
        </w:rPr>
      </w:pPr>
      <w:r>
        <w:rPr>
          <w:rFonts w:hint="eastAsia"/>
          <w:spacing w:val="-6"/>
        </w:rPr>
        <w:t>建</w:t>
      </w:r>
      <w:r>
        <w:rPr>
          <w:spacing w:val="-6"/>
        </w:rPr>
        <w:t xml:space="preserve"> </w:t>
      </w:r>
      <w:r>
        <w:rPr>
          <w:rFonts w:hint="eastAsia"/>
          <w:spacing w:val="-6"/>
        </w:rPr>
        <w:t>造</w:t>
      </w:r>
      <w:r>
        <w:rPr>
          <w:spacing w:val="-6"/>
        </w:rPr>
        <w:t xml:space="preserve"> </w:t>
      </w:r>
      <w:r>
        <w:rPr>
          <w:rFonts w:hint="eastAsia"/>
          <w:spacing w:val="-6"/>
        </w:rPr>
        <w:t>师</w:t>
      </w:r>
      <w:r>
        <w:rPr>
          <w:spacing w:val="-6"/>
        </w:rPr>
        <w:t xml:space="preserve"> </w:t>
      </w:r>
      <w:r>
        <w:rPr>
          <w:rFonts w:hint="eastAsia"/>
          <w:spacing w:val="-6"/>
        </w:rPr>
        <w:t>执</w:t>
      </w:r>
      <w:r>
        <w:rPr>
          <w:spacing w:val="-6"/>
        </w:rPr>
        <w:t xml:space="preserve"> </w:t>
      </w:r>
      <w:r>
        <w:rPr>
          <w:rFonts w:hint="eastAsia"/>
          <w:spacing w:val="-6"/>
        </w:rPr>
        <w:t>业</w:t>
      </w:r>
      <w:r>
        <w:rPr>
          <w:spacing w:val="-6"/>
        </w:rPr>
        <w:t xml:space="preserve"> </w:t>
      </w:r>
      <w:r>
        <w:rPr>
          <w:rFonts w:hint="eastAsia"/>
          <w:spacing w:val="-6"/>
        </w:rPr>
        <w:t>印</w:t>
      </w:r>
      <w:r>
        <w:rPr>
          <w:spacing w:val="-6"/>
        </w:rPr>
        <w:t xml:space="preserve"> </w:t>
      </w:r>
      <w:r>
        <w:rPr>
          <w:rFonts w:hint="eastAsia"/>
          <w:spacing w:val="-6"/>
        </w:rPr>
        <w:t>章</w:t>
      </w:r>
      <w:r>
        <w:rPr>
          <w:spacing w:val="-6"/>
        </w:rPr>
        <w:t xml:space="preserve"> </w:t>
      </w:r>
      <w:r>
        <w:rPr>
          <w:rFonts w:hint="eastAsia"/>
          <w:spacing w:val="-6"/>
        </w:rPr>
        <w:t>号</w:t>
      </w:r>
      <w:r>
        <w:rPr>
          <w:spacing w:val="-6"/>
        </w:rPr>
        <w:t xml:space="preserve"> </w:t>
      </w:r>
      <w:r>
        <w:rPr>
          <w:rFonts w:hint="eastAsia"/>
          <w:spacing w:val="-6"/>
        </w:rPr>
        <w:t>：</w:t>
      </w:r>
      <w:r>
        <w:rPr>
          <w:spacing w:val="-88"/>
          <w:u w:val="single"/>
        </w:rPr>
        <w:t xml:space="preserve">                                                                                                                                                                                                                                                                                                         </w:t>
      </w:r>
      <w:r>
        <w:rPr>
          <w:rFonts w:hint="eastAsia"/>
          <w:spacing w:val="-105"/>
        </w:rPr>
        <w:t>。</w:t>
      </w:r>
    </w:p>
    <w:p>
      <w:pPr>
        <w:pStyle w:val="8"/>
        <w:spacing w:before="140" w:line="364" w:lineRule="auto"/>
        <w:ind w:left="1258" w:right="1688"/>
        <w:jc w:val="both"/>
        <w:rPr>
          <w:spacing w:val="-105"/>
        </w:rPr>
      </w:pPr>
      <w:r>
        <w:rPr>
          <w:rFonts w:hint="eastAsia"/>
          <w:spacing w:val="-4"/>
        </w:rPr>
        <w:t>安</w:t>
      </w:r>
      <w:r>
        <w:rPr>
          <w:spacing w:val="-4"/>
        </w:rPr>
        <w:t xml:space="preserve"> </w:t>
      </w:r>
      <w:r>
        <w:rPr>
          <w:rFonts w:hint="eastAsia"/>
          <w:spacing w:val="-4"/>
        </w:rPr>
        <w:t>全</w:t>
      </w:r>
      <w:r>
        <w:rPr>
          <w:spacing w:val="-4"/>
        </w:rPr>
        <w:t xml:space="preserve"> </w:t>
      </w:r>
      <w:r>
        <w:rPr>
          <w:rFonts w:hint="eastAsia"/>
          <w:spacing w:val="-4"/>
        </w:rPr>
        <w:t>生</w:t>
      </w:r>
      <w:r>
        <w:rPr>
          <w:spacing w:val="-4"/>
        </w:rPr>
        <w:t xml:space="preserve"> </w:t>
      </w:r>
      <w:r>
        <w:rPr>
          <w:rFonts w:hint="eastAsia"/>
          <w:spacing w:val="-4"/>
        </w:rPr>
        <w:t>产</w:t>
      </w:r>
      <w:r>
        <w:rPr>
          <w:spacing w:val="-4"/>
        </w:rPr>
        <w:t xml:space="preserve"> </w:t>
      </w:r>
      <w:r>
        <w:rPr>
          <w:rFonts w:hint="eastAsia"/>
          <w:spacing w:val="-4"/>
        </w:rPr>
        <w:t>考</w:t>
      </w:r>
      <w:r>
        <w:rPr>
          <w:spacing w:val="-4"/>
        </w:rPr>
        <w:t xml:space="preserve"> </w:t>
      </w:r>
      <w:r>
        <w:rPr>
          <w:rFonts w:hint="eastAsia"/>
          <w:spacing w:val="-4"/>
        </w:rPr>
        <w:t>核</w:t>
      </w:r>
      <w:r>
        <w:rPr>
          <w:spacing w:val="-4"/>
        </w:rPr>
        <w:t xml:space="preserve"> </w:t>
      </w:r>
      <w:r>
        <w:rPr>
          <w:rFonts w:hint="eastAsia"/>
          <w:spacing w:val="-4"/>
        </w:rPr>
        <w:t>合</w:t>
      </w:r>
      <w:r>
        <w:rPr>
          <w:spacing w:val="-4"/>
        </w:rPr>
        <w:t xml:space="preserve"> </w:t>
      </w:r>
      <w:r>
        <w:rPr>
          <w:rFonts w:hint="eastAsia"/>
          <w:spacing w:val="-4"/>
        </w:rPr>
        <w:t>格</w:t>
      </w:r>
      <w:r>
        <w:rPr>
          <w:spacing w:val="-4"/>
        </w:rPr>
        <w:t xml:space="preserve"> </w:t>
      </w:r>
      <w:r>
        <w:rPr>
          <w:rFonts w:hint="eastAsia"/>
          <w:spacing w:val="-4"/>
        </w:rPr>
        <w:t>证</w:t>
      </w:r>
      <w:r>
        <w:rPr>
          <w:spacing w:val="-4"/>
        </w:rPr>
        <w:t xml:space="preserve"> </w:t>
      </w:r>
      <w:r>
        <w:rPr>
          <w:rFonts w:hint="eastAsia"/>
          <w:spacing w:val="-4"/>
        </w:rPr>
        <w:t>书</w:t>
      </w:r>
      <w:r>
        <w:rPr>
          <w:spacing w:val="-4"/>
        </w:rPr>
        <w:t xml:space="preserve"> </w:t>
      </w:r>
      <w:r>
        <w:rPr>
          <w:rFonts w:hint="eastAsia"/>
          <w:spacing w:val="-4"/>
        </w:rPr>
        <w:t>号</w:t>
      </w:r>
      <w:r>
        <w:rPr>
          <w:spacing w:val="-4"/>
        </w:rPr>
        <w:t xml:space="preserve"> </w:t>
      </w:r>
      <w:r>
        <w:rPr>
          <w:rFonts w:hint="eastAsia"/>
          <w:spacing w:val="-4"/>
        </w:rPr>
        <w:t>：</w:t>
      </w:r>
      <w:r>
        <w:rPr>
          <w:spacing w:val="-88"/>
          <w:u w:val="single"/>
        </w:rPr>
        <w:t xml:space="preserve">                                                                                                                                                                                                                                                 </w:t>
      </w:r>
      <w:r>
        <w:rPr>
          <w:rFonts w:hint="eastAsia"/>
          <w:spacing w:val="-105"/>
        </w:rPr>
        <w:t>。</w:t>
      </w:r>
    </w:p>
    <w:p>
      <w:pPr>
        <w:pStyle w:val="8"/>
        <w:spacing w:before="140" w:line="364" w:lineRule="auto"/>
        <w:ind w:left="1258" w:right="1688"/>
        <w:jc w:val="both"/>
      </w:pPr>
      <w:r>
        <w:rPr>
          <w:rFonts w:hint="eastAsia"/>
        </w:rPr>
        <w:t>九、合同文件的组成</w:t>
      </w:r>
      <w:r>
        <w:t xml:space="preserve"> </w:t>
      </w:r>
    </w:p>
    <w:p>
      <w:pPr>
        <w:pStyle w:val="8"/>
        <w:spacing w:line="364" w:lineRule="auto"/>
        <w:ind w:left="1258" w:right="6857"/>
      </w:pPr>
      <w:r>
        <w:rPr>
          <w:rFonts w:hint="eastAsia"/>
        </w:rPr>
        <w:t>下列文件共同构成合同文件：</w:t>
      </w:r>
      <w:r>
        <w:t xml:space="preserve"> 1</w:t>
      </w:r>
      <w:r>
        <w:rPr>
          <w:rFonts w:hint="eastAsia"/>
        </w:rPr>
        <w:t>、本协议书；</w:t>
      </w:r>
      <w:r>
        <w:t xml:space="preserve"> </w:t>
      </w:r>
    </w:p>
    <w:p>
      <w:pPr>
        <w:pStyle w:val="8"/>
        <w:spacing w:line="269" w:lineRule="exact"/>
        <w:ind w:left="1258"/>
      </w:pPr>
      <w:r>
        <w:t>2</w:t>
      </w:r>
      <w:r>
        <w:rPr>
          <w:rFonts w:hint="eastAsia"/>
        </w:rPr>
        <w:t>、中标通知书；</w:t>
      </w:r>
      <w:r>
        <w:t xml:space="preserve"> </w:t>
      </w:r>
    </w:p>
    <w:p>
      <w:pPr>
        <w:pStyle w:val="8"/>
        <w:spacing w:before="136"/>
        <w:ind w:left="1258"/>
      </w:pPr>
      <w:r>
        <w:t>3</w:t>
      </w:r>
      <w:r>
        <w:rPr>
          <w:rFonts w:hint="eastAsia"/>
        </w:rPr>
        <w:t>、投标函及投标函附录；</w:t>
      </w:r>
      <w:r>
        <w:t xml:space="preserve"> </w:t>
      </w:r>
    </w:p>
    <w:p>
      <w:pPr>
        <w:pStyle w:val="8"/>
        <w:spacing w:before="139"/>
        <w:ind w:left="1258"/>
      </w:pPr>
      <w:r>
        <w:rPr>
          <w:spacing w:val="-1"/>
        </w:rPr>
        <w:t>4</w:t>
      </w:r>
      <w:r>
        <w:rPr>
          <w:rFonts w:hint="eastAsia"/>
          <w:spacing w:val="-1"/>
        </w:rPr>
        <w:t>、合同条款专用部分；</w:t>
      </w:r>
      <w:r>
        <w:rPr>
          <w:spacing w:val="-1"/>
        </w:rPr>
        <w:t xml:space="preserve"> </w:t>
      </w:r>
    </w:p>
    <w:p>
      <w:pPr>
        <w:pStyle w:val="8"/>
        <w:spacing w:before="140"/>
        <w:ind w:left="1258"/>
      </w:pPr>
      <w:r>
        <w:rPr>
          <w:spacing w:val="-1"/>
        </w:rPr>
        <w:t>5</w:t>
      </w:r>
      <w:r>
        <w:rPr>
          <w:rFonts w:hint="eastAsia"/>
          <w:spacing w:val="-1"/>
        </w:rPr>
        <w:t>、合同条款通用部分；</w:t>
      </w:r>
      <w:r>
        <w:rPr>
          <w:spacing w:val="-1"/>
        </w:rPr>
        <w:t xml:space="preserve"> </w:t>
      </w:r>
    </w:p>
    <w:p>
      <w:pPr>
        <w:pStyle w:val="8"/>
        <w:spacing w:before="139"/>
        <w:ind w:left="1258"/>
      </w:pPr>
      <w:r>
        <w:t>6</w:t>
      </w:r>
      <w:r>
        <w:rPr>
          <w:rFonts w:hint="eastAsia"/>
        </w:rPr>
        <w:t>、技术标准和要求；</w:t>
      </w:r>
      <w:r>
        <w:t xml:space="preserve"> </w:t>
      </w:r>
    </w:p>
    <w:p>
      <w:pPr>
        <w:pStyle w:val="8"/>
        <w:spacing w:before="139"/>
        <w:ind w:left="1258"/>
      </w:pPr>
      <w:r>
        <w:t>7</w:t>
      </w:r>
      <w:r>
        <w:rPr>
          <w:rFonts w:hint="eastAsia"/>
        </w:rPr>
        <w:t>、图纸；</w:t>
      </w:r>
      <w:r>
        <w:t xml:space="preserve"> </w:t>
      </w:r>
    </w:p>
    <w:p>
      <w:pPr>
        <w:pStyle w:val="8"/>
        <w:spacing w:before="140"/>
        <w:ind w:left="1258"/>
      </w:pPr>
      <w:r>
        <w:t>8</w:t>
      </w:r>
      <w:r>
        <w:rPr>
          <w:rFonts w:hint="eastAsia"/>
        </w:rPr>
        <w:t>、已标价工程量清单；</w:t>
      </w:r>
      <w:r>
        <w:t xml:space="preserve"> </w:t>
      </w:r>
    </w:p>
    <w:p>
      <w:pPr>
        <w:pStyle w:val="8"/>
        <w:spacing w:before="139"/>
        <w:ind w:left="1258"/>
      </w:pPr>
      <w:r>
        <w:t>9</w:t>
      </w:r>
      <w:r>
        <w:rPr>
          <w:rFonts w:hint="eastAsia"/>
        </w:rPr>
        <w:t>、其他合同文件。</w:t>
      </w:r>
      <w:r>
        <w:t xml:space="preserve"> </w:t>
      </w:r>
    </w:p>
    <w:p>
      <w:pPr>
        <w:pStyle w:val="8"/>
        <w:spacing w:before="140" w:line="364" w:lineRule="auto"/>
        <w:ind w:left="1258" w:right="1810"/>
      </w:pPr>
      <w:r>
        <w:rPr>
          <w:rFonts w:hint="eastAsia"/>
        </w:rPr>
        <w:t>上述文件互相补充和解释，如有不明确或不一致之处，以合同约定次序在先者为准。十、本协议书中有关词语定义与合同条款中的定义相同。</w:t>
      </w:r>
      <w:r>
        <w:t xml:space="preserve"> </w:t>
      </w:r>
    </w:p>
    <w:p>
      <w:pPr>
        <w:pStyle w:val="8"/>
        <w:spacing w:line="364" w:lineRule="auto"/>
        <w:ind w:left="1258" w:right="2020"/>
      </w:pPr>
      <w:r>
        <w:rPr>
          <w:rFonts w:hint="eastAsia"/>
        </w:rPr>
        <w:t>十一、承包人承诺按照合同约定进行施工、竣工、交付并承担质量缺陷保修责任。十二、发包人承诺按照合同约定的条件、期限和方式向承包人支付合同价款。</w:t>
      </w:r>
      <w:r>
        <w:t xml:space="preserve"> </w:t>
      </w:r>
    </w:p>
    <w:p>
      <w:pPr>
        <w:pStyle w:val="8"/>
        <w:spacing w:line="364" w:lineRule="auto"/>
        <w:ind w:left="838" w:right="1811" w:firstLine="420"/>
      </w:pPr>
      <w:r>
        <w:rPr>
          <w:rFonts w:hint="eastAsia"/>
        </w:rPr>
        <w:t>十三、本协议书连同其他合同文件正本一式两份，合同双方各执一份；副本一式</w:t>
      </w:r>
      <w:r>
        <w:rPr>
          <w:u w:val="single"/>
        </w:rPr>
        <w:t xml:space="preserve">   </w:t>
      </w:r>
      <w:r>
        <w:t xml:space="preserve"> </w:t>
      </w:r>
      <w:r>
        <w:rPr>
          <w:rFonts w:hint="eastAsia"/>
        </w:rPr>
        <w:t>份，其中一份在合同报送建设行政主管部门备案时留存。</w:t>
      </w:r>
      <w:r>
        <w:t xml:space="preserve"> </w:t>
      </w:r>
    </w:p>
    <w:p>
      <w:pPr>
        <w:pStyle w:val="8"/>
        <w:spacing w:line="364" w:lineRule="auto"/>
        <w:ind w:left="838" w:right="1792" w:firstLine="420"/>
        <w:rPr>
          <w:sz w:val="14"/>
        </w:rPr>
      </w:pPr>
      <w:r>
        <w:rPr>
          <w:rFonts w:hint="eastAsia"/>
          <w:spacing w:val="-11"/>
        </w:rPr>
        <w:t>十四、合同未尽事宜，双方另行签订补充协议，但不得背离本协议第八条所约定的合同</w:t>
      </w:r>
      <w:r>
        <w:rPr>
          <w:rFonts w:hint="eastAsia"/>
        </w:rPr>
        <w:t>文件的实质性内容。补充协议是合同文件的组成部分。</w:t>
      </w:r>
      <w:r>
        <w:t xml:space="preserve"> </w:t>
      </w:r>
    </w:p>
    <w:p>
      <w:pPr>
        <w:spacing w:before="70"/>
        <w:ind w:left="838"/>
        <w:rPr>
          <w:b/>
          <w:sz w:val="21"/>
        </w:rPr>
      </w:pPr>
      <w:r>
        <w:rPr>
          <w:b/>
          <w:w w:val="99"/>
          <w:sz w:val="21"/>
        </w:rPr>
        <w:t xml:space="preserve"> </w:t>
      </w:r>
    </w:p>
    <w:p>
      <w:pPr>
        <w:pStyle w:val="8"/>
        <w:spacing w:before="139"/>
      </w:pPr>
      <w:r>
        <w:rPr>
          <w:rFonts w:hint="eastAsia"/>
        </w:rPr>
        <w:t>发包人：</w:t>
      </w:r>
      <w:r>
        <w:rPr>
          <w:spacing w:val="99"/>
          <w:u w:val="single"/>
        </w:rPr>
        <w:t xml:space="preserve">         </w:t>
      </w:r>
      <w:r>
        <w:rPr>
          <w:rFonts w:hint="eastAsia"/>
        </w:rPr>
        <w:t>（盖单位章）</w:t>
      </w:r>
      <w:r>
        <w:t xml:space="preserve"> </w:t>
      </w:r>
      <w:r>
        <w:rPr>
          <w:rFonts w:hint="eastAsia"/>
        </w:rPr>
        <w:t>承包人：</w:t>
      </w:r>
      <w:r>
        <w:rPr>
          <w:spacing w:val="103"/>
          <w:u w:val="single"/>
        </w:rPr>
        <w:t xml:space="preserve">           </w:t>
      </w:r>
      <w:r>
        <w:rPr>
          <w:rFonts w:hint="eastAsia"/>
        </w:rPr>
        <w:t>（盖单位章</w:t>
      </w:r>
      <w:r>
        <w:rPr>
          <w:rFonts w:hint="eastAsia"/>
          <w:spacing w:val="-87"/>
        </w:rPr>
        <w:t>）</w:t>
      </w:r>
      <w:r>
        <w:t xml:space="preserve"> </w:t>
      </w:r>
    </w:p>
    <w:p>
      <w:pPr>
        <w:pStyle w:val="8"/>
        <w:spacing w:before="140"/>
        <w:ind w:left="838"/>
      </w:pPr>
      <w:r>
        <w:t xml:space="preserve"> </w:t>
      </w:r>
    </w:p>
    <w:p>
      <w:pPr>
        <w:pStyle w:val="8"/>
        <w:spacing w:before="140"/>
      </w:pPr>
      <w:r>
        <w:rPr>
          <w:rFonts w:hint="eastAsia"/>
        </w:rPr>
        <w:t>法</w:t>
      </w:r>
      <w:r>
        <w:t xml:space="preserve"> </w:t>
      </w:r>
      <w:r>
        <w:rPr>
          <w:rFonts w:hint="eastAsia"/>
        </w:rPr>
        <w:t>定</w:t>
      </w:r>
      <w:r>
        <w:t xml:space="preserve"> </w:t>
      </w:r>
      <w:r>
        <w:rPr>
          <w:rFonts w:hint="eastAsia"/>
        </w:rPr>
        <w:t>代</w:t>
      </w:r>
      <w:r>
        <w:t xml:space="preserve"> </w:t>
      </w:r>
      <w:r>
        <w:rPr>
          <w:rFonts w:hint="eastAsia"/>
        </w:rPr>
        <w:t>表</w:t>
      </w:r>
      <w:r>
        <w:t xml:space="preserve"> </w:t>
      </w:r>
      <w:r>
        <w:rPr>
          <w:rFonts w:hint="eastAsia"/>
        </w:rPr>
        <w:t>人</w:t>
      </w:r>
      <w:r>
        <w:t xml:space="preserve"> </w:t>
      </w:r>
      <w:r>
        <w:rPr>
          <w:rFonts w:hint="eastAsia"/>
        </w:rPr>
        <w:t>或</w:t>
      </w:r>
      <w:r>
        <w:t xml:space="preserve"> </w:t>
      </w:r>
      <w:r>
        <w:rPr>
          <w:rFonts w:hint="eastAsia"/>
        </w:rPr>
        <w:t>其</w:t>
      </w:r>
      <w:r>
        <w:t xml:space="preserve">                  </w:t>
      </w:r>
      <w:r>
        <w:rPr>
          <w:rFonts w:hint="eastAsia"/>
        </w:rPr>
        <w:t>法</w:t>
      </w:r>
      <w:r>
        <w:t xml:space="preserve"> </w:t>
      </w:r>
      <w:r>
        <w:rPr>
          <w:rFonts w:hint="eastAsia"/>
        </w:rPr>
        <w:t>定</w:t>
      </w:r>
      <w:r>
        <w:t xml:space="preserve"> </w:t>
      </w:r>
      <w:r>
        <w:rPr>
          <w:rFonts w:hint="eastAsia"/>
        </w:rPr>
        <w:t>代</w:t>
      </w:r>
      <w:r>
        <w:t xml:space="preserve"> </w:t>
      </w:r>
      <w:r>
        <w:rPr>
          <w:rFonts w:hint="eastAsia"/>
        </w:rPr>
        <w:t>表</w:t>
      </w:r>
      <w:r>
        <w:t xml:space="preserve"> </w:t>
      </w:r>
      <w:r>
        <w:rPr>
          <w:rFonts w:hint="eastAsia"/>
        </w:rPr>
        <w:t>人</w:t>
      </w:r>
      <w:r>
        <w:t xml:space="preserve"> </w:t>
      </w:r>
      <w:r>
        <w:rPr>
          <w:rFonts w:hint="eastAsia"/>
        </w:rPr>
        <w:t>或</w:t>
      </w:r>
      <w:r>
        <w:t xml:space="preserve"> </w:t>
      </w:r>
      <w:r>
        <w:rPr>
          <w:rFonts w:hint="eastAsia"/>
        </w:rPr>
        <w:t>其</w:t>
      </w:r>
      <w:r>
        <w:t xml:space="preserve"> </w:t>
      </w:r>
    </w:p>
    <w:p>
      <w:pPr>
        <w:pStyle w:val="8"/>
        <w:spacing w:before="140"/>
      </w:pPr>
      <w:r>
        <w:rPr>
          <w:rFonts w:hint="eastAsia"/>
        </w:rPr>
        <w:t>委托代理人：</w:t>
      </w:r>
      <w:r>
        <w:rPr>
          <w:spacing w:val="103"/>
          <w:u w:val="single"/>
        </w:rPr>
        <w:t xml:space="preserve">      </w:t>
      </w:r>
      <w:r>
        <w:rPr>
          <w:rFonts w:hint="eastAsia"/>
        </w:rPr>
        <w:t>（签字）</w:t>
      </w:r>
      <w:r>
        <w:rPr>
          <w:spacing w:val="13"/>
        </w:rPr>
        <w:t xml:space="preserve">     </w:t>
      </w:r>
      <w:r>
        <w:rPr>
          <w:rFonts w:hint="eastAsia"/>
          <w:spacing w:val="13"/>
        </w:rPr>
        <w:t>委托代理人：</w:t>
      </w:r>
      <w:r>
        <w:rPr>
          <w:spacing w:val="104"/>
          <w:u w:val="single"/>
        </w:rPr>
        <w:t xml:space="preserve">        </w:t>
      </w:r>
      <w:r>
        <w:rPr>
          <w:rFonts w:hint="eastAsia"/>
        </w:rPr>
        <w:t>（签字</w:t>
      </w:r>
      <w:r>
        <w:rPr>
          <w:rFonts w:hint="eastAsia"/>
          <w:spacing w:val="-87"/>
        </w:rPr>
        <w:t>）</w:t>
      </w:r>
      <w:r>
        <w:t xml:space="preserve"> </w:t>
      </w:r>
    </w:p>
    <w:p>
      <w:pPr>
        <w:pStyle w:val="8"/>
        <w:spacing w:before="139"/>
        <w:ind w:left="838"/>
      </w:pPr>
      <w:r>
        <w:t xml:space="preserve"> </w:t>
      </w:r>
    </w:p>
    <w:p>
      <w:pPr>
        <w:pStyle w:val="8"/>
        <w:spacing w:before="140"/>
      </w:pP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r>
        <w:rPr>
          <w:lang w:eastAsia="zh-CN"/>
        </w:rPr>
        <w:t xml:space="preserve">                    </w:t>
      </w:r>
      <w:r>
        <w:rPr>
          <w:u w:val="single"/>
        </w:rPr>
        <w:t xml:space="preserve">      </w:t>
      </w:r>
      <w:r>
        <w:rPr>
          <w:rFonts w:hint="eastAsia"/>
        </w:rPr>
        <w:t>年</w:t>
      </w:r>
      <w:r>
        <w:rPr>
          <w:u w:val="single"/>
        </w:rPr>
        <w:t xml:space="preserve">     </w:t>
      </w:r>
      <w:r>
        <w:rPr>
          <w:rFonts w:hint="eastAsia"/>
        </w:rPr>
        <w:t>月</w:t>
      </w:r>
      <w:r>
        <w:rPr>
          <w:spacing w:val="93"/>
          <w:u w:val="single"/>
        </w:rPr>
        <w:t xml:space="preserve">   </w:t>
      </w:r>
      <w:r>
        <w:rPr>
          <w:rFonts w:hint="eastAsia"/>
        </w:rPr>
        <w:t>日</w:t>
      </w:r>
      <w:r>
        <w:t xml:space="preserve"> </w:t>
      </w:r>
    </w:p>
    <w:p>
      <w:pPr>
        <w:pStyle w:val="8"/>
        <w:spacing w:before="139"/>
        <w:ind w:left="838"/>
      </w:pPr>
      <w:r>
        <w:t xml:space="preserve"> </w:t>
      </w:r>
    </w:p>
    <w:p>
      <w:pPr>
        <w:pStyle w:val="8"/>
        <w:spacing w:before="139"/>
        <w:rPr>
          <w:b/>
        </w:rPr>
      </w:pPr>
      <w:r>
        <w:rPr>
          <w:rFonts w:hint="eastAsia"/>
        </w:rPr>
        <w:t>签约地点：</w:t>
      </w:r>
      <w:r>
        <w:rPr>
          <w:u w:val="single"/>
        </w:rPr>
        <w:t xml:space="preserve">                                                                   </w:t>
      </w:r>
      <w:r>
        <w:rPr>
          <w:b/>
          <w:w w:val="99"/>
          <w:u w:val="single"/>
        </w:rPr>
        <w:t xml:space="preserve"> </w:t>
      </w:r>
      <w:r>
        <w:rPr>
          <w:b/>
          <w:w w:val="99"/>
        </w:rPr>
        <w:t xml:space="preserve"> </w:t>
      </w:r>
    </w:p>
    <w:p>
      <w:pPr>
        <w:spacing w:before="140"/>
        <w:ind w:left="838"/>
        <w:rPr>
          <w:b/>
          <w:sz w:val="21"/>
        </w:rPr>
      </w:pPr>
      <w:r>
        <w:rPr>
          <w:b/>
          <w:w w:val="99"/>
          <w:sz w:val="21"/>
        </w:rPr>
        <w:t xml:space="preserve"> </w:t>
      </w:r>
    </w:p>
    <w:p>
      <w:pPr>
        <w:rPr>
          <w:sz w:val="21"/>
        </w:rPr>
        <w:sectPr>
          <w:headerReference r:id="rId8" w:type="default"/>
          <w:pgSz w:w="11910" w:h="16840"/>
          <w:pgMar w:top="1180" w:right="0" w:bottom="280" w:left="960" w:header="873" w:footer="0" w:gutter="0"/>
          <w:cols w:space="720" w:num="1"/>
        </w:sectPr>
      </w:pPr>
    </w:p>
    <w:p>
      <w:pPr>
        <w:pStyle w:val="8"/>
        <w:spacing w:before="1"/>
        <w:rPr>
          <w:b/>
          <w:sz w:val="26"/>
        </w:rPr>
      </w:pPr>
    </w:p>
    <w:p>
      <w:pPr>
        <w:spacing w:before="66"/>
        <w:ind w:left="838"/>
        <w:rPr>
          <w:sz w:val="24"/>
        </w:rPr>
      </w:pPr>
      <w:bookmarkStart w:id="100" w:name="_bookmark176"/>
      <w:bookmarkEnd w:id="100"/>
      <w:r>
        <w:rPr>
          <w:rFonts w:hint="eastAsia"/>
          <w:sz w:val="24"/>
        </w:rPr>
        <w:t>附件二：承包人提供的材料和工程设备一览表</w:t>
      </w:r>
      <w:r>
        <w:rPr>
          <w:sz w:val="24"/>
        </w:rPr>
        <w:t xml:space="preserve"> </w:t>
      </w:r>
    </w:p>
    <w:p>
      <w:pPr>
        <w:pStyle w:val="8"/>
        <w:spacing w:before="11"/>
      </w:pPr>
    </w:p>
    <w:p>
      <w:pPr>
        <w:ind w:left="2744"/>
        <w:rPr>
          <w:b/>
          <w:sz w:val="28"/>
        </w:rPr>
      </w:pPr>
      <w:r>
        <w:rPr>
          <w:rFonts w:hint="eastAsia"/>
          <w:b/>
          <w:sz w:val="28"/>
        </w:rPr>
        <w:t>承包人提供的材料和工程设备一览表</w:t>
      </w:r>
      <w:r>
        <w:rPr>
          <w:b/>
          <w:w w:val="99"/>
          <w:sz w:val="28"/>
        </w:rPr>
        <w:t xml:space="preserve"> </w:t>
      </w:r>
    </w:p>
    <w:p>
      <w:pPr>
        <w:pStyle w:val="8"/>
        <w:spacing w:before="4"/>
        <w:rPr>
          <w:b/>
          <w:sz w:val="14"/>
        </w:rPr>
      </w:pPr>
    </w:p>
    <w:tbl>
      <w:tblPr>
        <w:tblStyle w:val="17"/>
        <w:tblW w:w="0" w:type="auto"/>
        <w:tblInd w:w="10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0"/>
        <w:gridCol w:w="1154"/>
        <w:gridCol w:w="1050"/>
        <w:gridCol w:w="630"/>
        <w:gridCol w:w="525"/>
        <w:gridCol w:w="734"/>
        <w:gridCol w:w="840"/>
        <w:gridCol w:w="840"/>
        <w:gridCol w:w="735"/>
        <w:gridCol w:w="9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trPr>
        <w:tc>
          <w:tcPr>
            <w:tcW w:w="480" w:type="dxa"/>
          </w:tcPr>
          <w:p>
            <w:pPr>
              <w:pStyle w:val="34"/>
              <w:spacing w:before="7"/>
              <w:rPr>
                <w:b/>
                <w:sz w:val="19"/>
              </w:rPr>
            </w:pPr>
          </w:p>
          <w:p>
            <w:pPr>
              <w:pStyle w:val="34"/>
              <w:spacing w:line="364" w:lineRule="auto"/>
              <w:ind w:left="133" w:right="21"/>
              <w:rPr>
                <w:sz w:val="21"/>
              </w:rPr>
            </w:pPr>
            <w:r>
              <w:rPr>
                <w:rFonts w:hint="eastAsia"/>
                <w:sz w:val="21"/>
              </w:rPr>
              <w:t>序号</w:t>
            </w:r>
            <w:r>
              <w:rPr>
                <w:sz w:val="21"/>
              </w:rPr>
              <w:t xml:space="preserve"> </w:t>
            </w:r>
          </w:p>
        </w:tc>
        <w:tc>
          <w:tcPr>
            <w:tcW w:w="1154" w:type="dxa"/>
          </w:tcPr>
          <w:p>
            <w:pPr>
              <w:pStyle w:val="34"/>
              <w:spacing w:before="7"/>
              <w:rPr>
                <w:b/>
                <w:sz w:val="19"/>
              </w:rPr>
            </w:pPr>
          </w:p>
          <w:p>
            <w:pPr>
              <w:pStyle w:val="34"/>
              <w:spacing w:line="364" w:lineRule="auto"/>
              <w:ind w:left="155" w:right="41"/>
              <w:rPr>
                <w:sz w:val="21"/>
              </w:rPr>
            </w:pPr>
            <w:r>
              <w:rPr>
                <w:rFonts w:hint="eastAsia"/>
                <w:sz w:val="21"/>
              </w:rPr>
              <w:t>材料设备名</w:t>
            </w:r>
            <w:r>
              <w:rPr>
                <w:sz w:val="21"/>
              </w:rPr>
              <w:t xml:space="preserve"> </w:t>
            </w:r>
            <w:r>
              <w:rPr>
                <w:rFonts w:hint="eastAsia"/>
                <w:sz w:val="21"/>
              </w:rPr>
              <w:t>称</w:t>
            </w:r>
            <w:r>
              <w:rPr>
                <w:sz w:val="21"/>
              </w:rPr>
              <w:t xml:space="preserve"> </w:t>
            </w:r>
          </w:p>
        </w:tc>
        <w:tc>
          <w:tcPr>
            <w:tcW w:w="1050" w:type="dxa"/>
          </w:tcPr>
          <w:p>
            <w:pPr>
              <w:pStyle w:val="34"/>
              <w:spacing w:before="7"/>
              <w:rPr>
                <w:b/>
                <w:sz w:val="19"/>
              </w:rPr>
            </w:pPr>
          </w:p>
          <w:p>
            <w:pPr>
              <w:pStyle w:val="34"/>
              <w:spacing w:line="364" w:lineRule="auto"/>
              <w:ind w:left="314" w:right="198"/>
              <w:rPr>
                <w:sz w:val="21"/>
              </w:rPr>
            </w:pPr>
            <w:r>
              <w:rPr>
                <w:rFonts w:hint="eastAsia"/>
                <w:sz w:val="21"/>
              </w:rPr>
              <w:t>规格型号</w:t>
            </w:r>
            <w:r>
              <w:rPr>
                <w:sz w:val="21"/>
              </w:rPr>
              <w:t xml:space="preserve"> </w:t>
            </w:r>
          </w:p>
        </w:tc>
        <w:tc>
          <w:tcPr>
            <w:tcW w:w="630" w:type="dxa"/>
          </w:tcPr>
          <w:p>
            <w:pPr>
              <w:pStyle w:val="34"/>
              <w:spacing w:before="7"/>
              <w:rPr>
                <w:b/>
                <w:sz w:val="19"/>
              </w:rPr>
            </w:pPr>
          </w:p>
          <w:p>
            <w:pPr>
              <w:pStyle w:val="34"/>
              <w:spacing w:line="364" w:lineRule="auto"/>
              <w:ind w:left="210" w:right="92"/>
              <w:rPr>
                <w:sz w:val="21"/>
              </w:rPr>
            </w:pPr>
            <w:r>
              <w:rPr>
                <w:rFonts w:hint="eastAsia"/>
                <w:sz w:val="21"/>
              </w:rPr>
              <w:t>单位</w:t>
            </w:r>
            <w:r>
              <w:rPr>
                <w:sz w:val="21"/>
              </w:rPr>
              <w:t xml:space="preserve"> </w:t>
            </w:r>
          </w:p>
        </w:tc>
        <w:tc>
          <w:tcPr>
            <w:tcW w:w="525" w:type="dxa"/>
          </w:tcPr>
          <w:p>
            <w:pPr>
              <w:pStyle w:val="34"/>
              <w:spacing w:before="7"/>
              <w:rPr>
                <w:b/>
                <w:sz w:val="19"/>
              </w:rPr>
            </w:pPr>
          </w:p>
          <w:p>
            <w:pPr>
              <w:pStyle w:val="34"/>
              <w:spacing w:line="364" w:lineRule="auto"/>
              <w:ind w:left="157" w:right="40"/>
              <w:rPr>
                <w:sz w:val="21"/>
              </w:rPr>
            </w:pPr>
            <w:r>
              <w:rPr>
                <w:rFonts w:hint="eastAsia"/>
                <w:sz w:val="21"/>
              </w:rPr>
              <w:t>数量</w:t>
            </w:r>
            <w:r>
              <w:rPr>
                <w:sz w:val="21"/>
              </w:rPr>
              <w:t xml:space="preserve"> </w:t>
            </w:r>
          </w:p>
        </w:tc>
        <w:tc>
          <w:tcPr>
            <w:tcW w:w="734" w:type="dxa"/>
          </w:tcPr>
          <w:p>
            <w:pPr>
              <w:pStyle w:val="34"/>
              <w:spacing w:before="7"/>
              <w:rPr>
                <w:b/>
                <w:sz w:val="19"/>
              </w:rPr>
            </w:pPr>
          </w:p>
          <w:p>
            <w:pPr>
              <w:pStyle w:val="34"/>
              <w:spacing w:line="364" w:lineRule="auto"/>
              <w:ind w:left="261" w:right="145"/>
              <w:rPr>
                <w:sz w:val="21"/>
              </w:rPr>
            </w:pPr>
            <w:r>
              <w:rPr>
                <w:rFonts w:hint="eastAsia"/>
                <w:sz w:val="21"/>
              </w:rPr>
              <w:t>单价</w:t>
            </w:r>
            <w:r>
              <w:rPr>
                <w:sz w:val="21"/>
              </w:rPr>
              <w:t xml:space="preserve"> </w:t>
            </w:r>
          </w:p>
        </w:tc>
        <w:tc>
          <w:tcPr>
            <w:tcW w:w="840" w:type="dxa"/>
          </w:tcPr>
          <w:p>
            <w:pPr>
              <w:pStyle w:val="34"/>
              <w:spacing w:before="7"/>
              <w:rPr>
                <w:b/>
                <w:sz w:val="19"/>
              </w:rPr>
            </w:pPr>
          </w:p>
          <w:p>
            <w:pPr>
              <w:pStyle w:val="34"/>
              <w:spacing w:line="364" w:lineRule="auto"/>
              <w:ind w:left="211" w:right="91"/>
              <w:rPr>
                <w:sz w:val="21"/>
              </w:rPr>
            </w:pPr>
            <w:r>
              <w:rPr>
                <w:rFonts w:hint="eastAsia"/>
                <w:sz w:val="21"/>
              </w:rPr>
              <w:t>交货方式</w:t>
            </w:r>
            <w:r>
              <w:rPr>
                <w:sz w:val="21"/>
              </w:rPr>
              <w:t xml:space="preserve"> </w:t>
            </w:r>
          </w:p>
        </w:tc>
        <w:tc>
          <w:tcPr>
            <w:tcW w:w="840" w:type="dxa"/>
          </w:tcPr>
          <w:p>
            <w:pPr>
              <w:pStyle w:val="34"/>
              <w:spacing w:before="7"/>
              <w:rPr>
                <w:b/>
                <w:sz w:val="19"/>
              </w:rPr>
            </w:pPr>
          </w:p>
          <w:p>
            <w:pPr>
              <w:pStyle w:val="34"/>
              <w:spacing w:line="364" w:lineRule="auto"/>
              <w:ind w:left="211" w:right="91"/>
              <w:rPr>
                <w:sz w:val="21"/>
              </w:rPr>
            </w:pPr>
            <w:r>
              <w:rPr>
                <w:rFonts w:hint="eastAsia"/>
                <w:sz w:val="21"/>
              </w:rPr>
              <w:t>交货地点</w:t>
            </w:r>
            <w:r>
              <w:rPr>
                <w:sz w:val="21"/>
              </w:rPr>
              <w:t xml:space="preserve"> </w:t>
            </w:r>
          </w:p>
        </w:tc>
        <w:tc>
          <w:tcPr>
            <w:tcW w:w="735" w:type="dxa"/>
          </w:tcPr>
          <w:p>
            <w:pPr>
              <w:pStyle w:val="34"/>
              <w:spacing w:before="47" w:line="364" w:lineRule="auto"/>
              <w:ind w:left="159" w:right="38"/>
              <w:rPr>
                <w:sz w:val="21"/>
              </w:rPr>
            </w:pPr>
            <w:r>
              <w:rPr>
                <w:rFonts w:hint="eastAsia"/>
                <w:sz w:val="21"/>
              </w:rPr>
              <w:t>计划交货时间</w:t>
            </w:r>
            <w:r>
              <w:rPr>
                <w:sz w:val="21"/>
              </w:rPr>
              <w:t xml:space="preserve"> </w:t>
            </w:r>
          </w:p>
        </w:tc>
        <w:tc>
          <w:tcPr>
            <w:tcW w:w="944" w:type="dxa"/>
          </w:tcPr>
          <w:p>
            <w:pPr>
              <w:pStyle w:val="34"/>
              <w:rPr>
                <w:b/>
                <w:sz w:val="20"/>
              </w:rPr>
            </w:pPr>
          </w:p>
          <w:p>
            <w:pPr>
              <w:pStyle w:val="34"/>
              <w:spacing w:before="6"/>
              <w:rPr>
                <w:b/>
                <w:sz w:val="15"/>
              </w:rPr>
            </w:pPr>
          </w:p>
          <w:p>
            <w:pPr>
              <w:pStyle w:val="34"/>
              <w:ind w:left="295" w:right="178"/>
              <w:jc w:val="center"/>
              <w:rPr>
                <w:sz w:val="21"/>
              </w:rPr>
            </w:pPr>
            <w:r>
              <w:rPr>
                <w:rFonts w:hint="eastAsia"/>
                <w:sz w:val="21"/>
              </w:rPr>
              <w:t>备注</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480" w:type="dxa"/>
          </w:tcPr>
          <w:p>
            <w:pPr>
              <w:pStyle w:val="34"/>
              <w:spacing w:before="4"/>
              <w:ind w:right="89"/>
              <w:jc w:val="right"/>
              <w:rPr>
                <w:sz w:val="28"/>
              </w:rPr>
            </w:pPr>
            <w:r>
              <w:rPr>
                <w:w w:val="99"/>
                <w:sz w:val="28"/>
              </w:rPr>
              <w:t xml:space="preserve"> </w:t>
            </w:r>
          </w:p>
        </w:tc>
        <w:tc>
          <w:tcPr>
            <w:tcW w:w="1154" w:type="dxa"/>
          </w:tcPr>
          <w:p>
            <w:pPr>
              <w:pStyle w:val="34"/>
              <w:spacing w:before="4"/>
              <w:ind w:right="426"/>
              <w:jc w:val="right"/>
              <w:rPr>
                <w:sz w:val="28"/>
              </w:rPr>
            </w:pPr>
            <w:r>
              <w:rPr>
                <w:w w:val="99"/>
                <w:sz w:val="28"/>
              </w:rPr>
              <w:t xml:space="preserve"> </w:t>
            </w:r>
          </w:p>
        </w:tc>
        <w:tc>
          <w:tcPr>
            <w:tcW w:w="1050" w:type="dxa"/>
          </w:tcPr>
          <w:p>
            <w:pPr>
              <w:pStyle w:val="34"/>
              <w:spacing w:before="4"/>
              <w:ind w:right="373"/>
              <w:jc w:val="right"/>
              <w:rPr>
                <w:sz w:val="28"/>
              </w:rPr>
            </w:pPr>
            <w:r>
              <w:rPr>
                <w:w w:val="99"/>
                <w:sz w:val="28"/>
              </w:rPr>
              <w:t xml:space="preserve"> </w:t>
            </w:r>
          </w:p>
        </w:tc>
        <w:tc>
          <w:tcPr>
            <w:tcW w:w="630" w:type="dxa"/>
          </w:tcPr>
          <w:p>
            <w:pPr>
              <w:pStyle w:val="34"/>
              <w:spacing w:before="4"/>
              <w:ind w:right="163"/>
              <w:jc w:val="right"/>
              <w:rPr>
                <w:sz w:val="28"/>
              </w:rPr>
            </w:pPr>
            <w:r>
              <w:rPr>
                <w:w w:val="99"/>
                <w:sz w:val="28"/>
              </w:rPr>
              <w:t xml:space="preserve"> </w:t>
            </w:r>
          </w:p>
        </w:tc>
        <w:tc>
          <w:tcPr>
            <w:tcW w:w="525" w:type="dxa"/>
          </w:tcPr>
          <w:p>
            <w:pPr>
              <w:pStyle w:val="34"/>
              <w:spacing w:before="4"/>
              <w:ind w:right="112"/>
              <w:jc w:val="right"/>
              <w:rPr>
                <w:sz w:val="28"/>
              </w:rPr>
            </w:pPr>
            <w:r>
              <w:rPr>
                <w:w w:val="99"/>
                <w:sz w:val="28"/>
              </w:rPr>
              <w:t xml:space="preserve"> </w:t>
            </w:r>
          </w:p>
        </w:tc>
        <w:tc>
          <w:tcPr>
            <w:tcW w:w="734" w:type="dxa"/>
          </w:tcPr>
          <w:p>
            <w:pPr>
              <w:pStyle w:val="34"/>
              <w:spacing w:before="4"/>
              <w:ind w:right="216"/>
              <w:jc w:val="right"/>
              <w:rPr>
                <w:sz w:val="28"/>
              </w:rPr>
            </w:pPr>
            <w:r>
              <w:rPr>
                <w:w w:val="99"/>
                <w:sz w:val="28"/>
              </w:rPr>
              <w:t xml:space="preserve"> </w:t>
            </w:r>
          </w:p>
        </w:tc>
        <w:tc>
          <w:tcPr>
            <w:tcW w:w="840" w:type="dxa"/>
          </w:tcPr>
          <w:p>
            <w:pPr>
              <w:pStyle w:val="34"/>
              <w:spacing w:before="4"/>
              <w:ind w:right="266"/>
              <w:jc w:val="right"/>
              <w:rPr>
                <w:sz w:val="28"/>
              </w:rPr>
            </w:pPr>
            <w:r>
              <w:rPr>
                <w:w w:val="99"/>
                <w:sz w:val="28"/>
              </w:rPr>
              <w:t xml:space="preserve"> </w:t>
            </w:r>
          </w:p>
        </w:tc>
        <w:tc>
          <w:tcPr>
            <w:tcW w:w="840" w:type="dxa"/>
          </w:tcPr>
          <w:p>
            <w:pPr>
              <w:pStyle w:val="34"/>
              <w:spacing w:before="4"/>
              <w:ind w:right="266"/>
              <w:jc w:val="right"/>
              <w:rPr>
                <w:sz w:val="28"/>
              </w:rPr>
            </w:pPr>
            <w:r>
              <w:rPr>
                <w:w w:val="99"/>
                <w:sz w:val="28"/>
              </w:rPr>
              <w:t xml:space="preserve"> </w:t>
            </w:r>
          </w:p>
        </w:tc>
        <w:tc>
          <w:tcPr>
            <w:tcW w:w="735" w:type="dxa"/>
          </w:tcPr>
          <w:p>
            <w:pPr>
              <w:pStyle w:val="34"/>
              <w:spacing w:before="4"/>
              <w:ind w:right="215"/>
              <w:jc w:val="right"/>
              <w:rPr>
                <w:sz w:val="28"/>
              </w:rPr>
            </w:pPr>
            <w:r>
              <w:rPr>
                <w:w w:val="99"/>
                <w:sz w:val="28"/>
              </w:rPr>
              <w:t xml:space="preserve"> </w:t>
            </w:r>
          </w:p>
        </w:tc>
        <w:tc>
          <w:tcPr>
            <w:tcW w:w="944" w:type="dxa"/>
          </w:tcPr>
          <w:p>
            <w:pPr>
              <w:pStyle w:val="34"/>
              <w:spacing w:before="4"/>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480" w:type="dxa"/>
          </w:tcPr>
          <w:p>
            <w:pPr>
              <w:pStyle w:val="34"/>
              <w:spacing w:before="4"/>
              <w:ind w:right="89"/>
              <w:jc w:val="right"/>
              <w:rPr>
                <w:sz w:val="28"/>
              </w:rPr>
            </w:pPr>
            <w:r>
              <w:rPr>
                <w:w w:val="99"/>
                <w:sz w:val="28"/>
              </w:rPr>
              <w:t xml:space="preserve"> </w:t>
            </w:r>
          </w:p>
        </w:tc>
        <w:tc>
          <w:tcPr>
            <w:tcW w:w="1154" w:type="dxa"/>
          </w:tcPr>
          <w:p>
            <w:pPr>
              <w:pStyle w:val="34"/>
              <w:spacing w:before="4"/>
              <w:ind w:right="426"/>
              <w:jc w:val="right"/>
              <w:rPr>
                <w:sz w:val="28"/>
              </w:rPr>
            </w:pPr>
            <w:r>
              <w:rPr>
                <w:w w:val="99"/>
                <w:sz w:val="28"/>
              </w:rPr>
              <w:t xml:space="preserve"> </w:t>
            </w:r>
          </w:p>
        </w:tc>
        <w:tc>
          <w:tcPr>
            <w:tcW w:w="1050" w:type="dxa"/>
          </w:tcPr>
          <w:p>
            <w:pPr>
              <w:pStyle w:val="34"/>
              <w:spacing w:before="4"/>
              <w:ind w:right="373"/>
              <w:jc w:val="right"/>
              <w:rPr>
                <w:sz w:val="28"/>
              </w:rPr>
            </w:pPr>
            <w:r>
              <w:rPr>
                <w:w w:val="99"/>
                <w:sz w:val="28"/>
              </w:rPr>
              <w:t xml:space="preserve"> </w:t>
            </w:r>
          </w:p>
        </w:tc>
        <w:tc>
          <w:tcPr>
            <w:tcW w:w="630" w:type="dxa"/>
          </w:tcPr>
          <w:p>
            <w:pPr>
              <w:pStyle w:val="34"/>
              <w:spacing w:before="4"/>
              <w:ind w:right="163"/>
              <w:jc w:val="right"/>
              <w:rPr>
                <w:sz w:val="28"/>
              </w:rPr>
            </w:pPr>
            <w:r>
              <w:rPr>
                <w:w w:val="99"/>
                <w:sz w:val="28"/>
              </w:rPr>
              <w:t xml:space="preserve"> </w:t>
            </w:r>
          </w:p>
        </w:tc>
        <w:tc>
          <w:tcPr>
            <w:tcW w:w="525" w:type="dxa"/>
          </w:tcPr>
          <w:p>
            <w:pPr>
              <w:pStyle w:val="34"/>
              <w:spacing w:before="4"/>
              <w:ind w:right="112"/>
              <w:jc w:val="right"/>
              <w:rPr>
                <w:sz w:val="28"/>
              </w:rPr>
            </w:pPr>
            <w:r>
              <w:rPr>
                <w:w w:val="99"/>
                <w:sz w:val="28"/>
              </w:rPr>
              <w:t xml:space="preserve"> </w:t>
            </w:r>
          </w:p>
        </w:tc>
        <w:tc>
          <w:tcPr>
            <w:tcW w:w="734" w:type="dxa"/>
          </w:tcPr>
          <w:p>
            <w:pPr>
              <w:pStyle w:val="34"/>
              <w:spacing w:before="4"/>
              <w:ind w:right="216"/>
              <w:jc w:val="right"/>
              <w:rPr>
                <w:sz w:val="28"/>
              </w:rPr>
            </w:pPr>
            <w:r>
              <w:rPr>
                <w:w w:val="99"/>
                <w:sz w:val="28"/>
              </w:rPr>
              <w:t xml:space="preserve"> </w:t>
            </w:r>
          </w:p>
        </w:tc>
        <w:tc>
          <w:tcPr>
            <w:tcW w:w="840" w:type="dxa"/>
          </w:tcPr>
          <w:p>
            <w:pPr>
              <w:pStyle w:val="34"/>
              <w:spacing w:before="4"/>
              <w:ind w:right="266"/>
              <w:jc w:val="right"/>
              <w:rPr>
                <w:sz w:val="28"/>
              </w:rPr>
            </w:pPr>
            <w:r>
              <w:rPr>
                <w:w w:val="99"/>
                <w:sz w:val="28"/>
              </w:rPr>
              <w:t xml:space="preserve"> </w:t>
            </w:r>
          </w:p>
        </w:tc>
        <w:tc>
          <w:tcPr>
            <w:tcW w:w="840" w:type="dxa"/>
          </w:tcPr>
          <w:p>
            <w:pPr>
              <w:pStyle w:val="34"/>
              <w:spacing w:before="4"/>
              <w:ind w:right="266"/>
              <w:jc w:val="right"/>
              <w:rPr>
                <w:sz w:val="28"/>
              </w:rPr>
            </w:pPr>
            <w:r>
              <w:rPr>
                <w:w w:val="99"/>
                <w:sz w:val="28"/>
              </w:rPr>
              <w:t xml:space="preserve"> </w:t>
            </w:r>
          </w:p>
        </w:tc>
        <w:tc>
          <w:tcPr>
            <w:tcW w:w="735" w:type="dxa"/>
          </w:tcPr>
          <w:p>
            <w:pPr>
              <w:pStyle w:val="34"/>
              <w:spacing w:before="4"/>
              <w:ind w:right="215"/>
              <w:jc w:val="right"/>
              <w:rPr>
                <w:sz w:val="28"/>
              </w:rPr>
            </w:pPr>
            <w:r>
              <w:rPr>
                <w:w w:val="99"/>
                <w:sz w:val="28"/>
              </w:rPr>
              <w:t xml:space="preserve"> </w:t>
            </w:r>
          </w:p>
        </w:tc>
        <w:tc>
          <w:tcPr>
            <w:tcW w:w="944" w:type="dxa"/>
          </w:tcPr>
          <w:p>
            <w:pPr>
              <w:pStyle w:val="34"/>
              <w:spacing w:before="4"/>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480" w:type="dxa"/>
          </w:tcPr>
          <w:p>
            <w:pPr>
              <w:pStyle w:val="34"/>
              <w:spacing w:before="4"/>
              <w:ind w:right="89"/>
              <w:jc w:val="right"/>
              <w:rPr>
                <w:sz w:val="28"/>
              </w:rPr>
            </w:pPr>
            <w:r>
              <w:rPr>
                <w:w w:val="99"/>
                <w:sz w:val="28"/>
              </w:rPr>
              <w:t xml:space="preserve"> </w:t>
            </w:r>
          </w:p>
        </w:tc>
        <w:tc>
          <w:tcPr>
            <w:tcW w:w="1154" w:type="dxa"/>
          </w:tcPr>
          <w:p>
            <w:pPr>
              <w:pStyle w:val="34"/>
              <w:spacing w:before="4"/>
              <w:ind w:right="426"/>
              <w:jc w:val="right"/>
              <w:rPr>
                <w:sz w:val="28"/>
              </w:rPr>
            </w:pPr>
            <w:r>
              <w:rPr>
                <w:w w:val="99"/>
                <w:sz w:val="28"/>
              </w:rPr>
              <w:t xml:space="preserve"> </w:t>
            </w:r>
          </w:p>
        </w:tc>
        <w:tc>
          <w:tcPr>
            <w:tcW w:w="1050" w:type="dxa"/>
          </w:tcPr>
          <w:p>
            <w:pPr>
              <w:pStyle w:val="34"/>
              <w:spacing w:before="4"/>
              <w:ind w:right="373"/>
              <w:jc w:val="right"/>
              <w:rPr>
                <w:sz w:val="28"/>
              </w:rPr>
            </w:pPr>
            <w:r>
              <w:rPr>
                <w:w w:val="99"/>
                <w:sz w:val="28"/>
              </w:rPr>
              <w:t xml:space="preserve"> </w:t>
            </w:r>
          </w:p>
        </w:tc>
        <w:tc>
          <w:tcPr>
            <w:tcW w:w="630" w:type="dxa"/>
          </w:tcPr>
          <w:p>
            <w:pPr>
              <w:pStyle w:val="34"/>
              <w:spacing w:before="4"/>
              <w:ind w:right="163"/>
              <w:jc w:val="right"/>
              <w:rPr>
                <w:sz w:val="28"/>
              </w:rPr>
            </w:pPr>
            <w:r>
              <w:rPr>
                <w:w w:val="99"/>
                <w:sz w:val="28"/>
              </w:rPr>
              <w:t xml:space="preserve"> </w:t>
            </w:r>
          </w:p>
        </w:tc>
        <w:tc>
          <w:tcPr>
            <w:tcW w:w="525" w:type="dxa"/>
          </w:tcPr>
          <w:p>
            <w:pPr>
              <w:pStyle w:val="34"/>
              <w:spacing w:before="4"/>
              <w:ind w:right="112"/>
              <w:jc w:val="right"/>
              <w:rPr>
                <w:sz w:val="28"/>
              </w:rPr>
            </w:pPr>
            <w:r>
              <w:rPr>
                <w:w w:val="99"/>
                <w:sz w:val="28"/>
              </w:rPr>
              <w:t xml:space="preserve"> </w:t>
            </w:r>
          </w:p>
        </w:tc>
        <w:tc>
          <w:tcPr>
            <w:tcW w:w="734" w:type="dxa"/>
          </w:tcPr>
          <w:p>
            <w:pPr>
              <w:pStyle w:val="34"/>
              <w:spacing w:before="4"/>
              <w:ind w:right="216"/>
              <w:jc w:val="right"/>
              <w:rPr>
                <w:sz w:val="28"/>
              </w:rPr>
            </w:pPr>
            <w:r>
              <w:rPr>
                <w:w w:val="99"/>
                <w:sz w:val="28"/>
              </w:rPr>
              <w:t xml:space="preserve"> </w:t>
            </w:r>
          </w:p>
        </w:tc>
        <w:tc>
          <w:tcPr>
            <w:tcW w:w="840" w:type="dxa"/>
          </w:tcPr>
          <w:p>
            <w:pPr>
              <w:pStyle w:val="34"/>
              <w:spacing w:before="4"/>
              <w:ind w:right="266"/>
              <w:jc w:val="right"/>
              <w:rPr>
                <w:sz w:val="28"/>
              </w:rPr>
            </w:pPr>
            <w:r>
              <w:rPr>
                <w:w w:val="99"/>
                <w:sz w:val="28"/>
              </w:rPr>
              <w:t xml:space="preserve"> </w:t>
            </w:r>
          </w:p>
        </w:tc>
        <w:tc>
          <w:tcPr>
            <w:tcW w:w="840" w:type="dxa"/>
          </w:tcPr>
          <w:p>
            <w:pPr>
              <w:pStyle w:val="34"/>
              <w:spacing w:before="4"/>
              <w:ind w:right="266"/>
              <w:jc w:val="right"/>
              <w:rPr>
                <w:sz w:val="28"/>
              </w:rPr>
            </w:pPr>
            <w:r>
              <w:rPr>
                <w:w w:val="99"/>
                <w:sz w:val="28"/>
              </w:rPr>
              <w:t xml:space="preserve"> </w:t>
            </w:r>
          </w:p>
        </w:tc>
        <w:tc>
          <w:tcPr>
            <w:tcW w:w="735" w:type="dxa"/>
          </w:tcPr>
          <w:p>
            <w:pPr>
              <w:pStyle w:val="34"/>
              <w:spacing w:before="4"/>
              <w:ind w:right="215"/>
              <w:jc w:val="right"/>
              <w:rPr>
                <w:sz w:val="28"/>
              </w:rPr>
            </w:pPr>
            <w:r>
              <w:rPr>
                <w:w w:val="99"/>
                <w:sz w:val="28"/>
              </w:rPr>
              <w:t xml:space="preserve"> </w:t>
            </w:r>
          </w:p>
        </w:tc>
        <w:tc>
          <w:tcPr>
            <w:tcW w:w="944" w:type="dxa"/>
          </w:tcPr>
          <w:p>
            <w:pPr>
              <w:pStyle w:val="34"/>
              <w:spacing w:before="4"/>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4" w:hRule="atLeast"/>
        </w:trPr>
        <w:tc>
          <w:tcPr>
            <w:tcW w:w="480" w:type="dxa"/>
          </w:tcPr>
          <w:p>
            <w:pPr>
              <w:pStyle w:val="34"/>
              <w:spacing w:before="4"/>
              <w:ind w:right="89"/>
              <w:jc w:val="right"/>
              <w:rPr>
                <w:sz w:val="28"/>
              </w:rPr>
            </w:pPr>
            <w:r>
              <w:rPr>
                <w:w w:val="99"/>
                <w:sz w:val="28"/>
              </w:rPr>
              <w:t xml:space="preserve"> </w:t>
            </w:r>
          </w:p>
        </w:tc>
        <w:tc>
          <w:tcPr>
            <w:tcW w:w="1154" w:type="dxa"/>
          </w:tcPr>
          <w:p>
            <w:pPr>
              <w:pStyle w:val="34"/>
              <w:spacing w:before="4"/>
              <w:ind w:right="426"/>
              <w:jc w:val="right"/>
              <w:rPr>
                <w:sz w:val="28"/>
              </w:rPr>
            </w:pPr>
            <w:r>
              <w:rPr>
                <w:w w:val="99"/>
                <w:sz w:val="28"/>
              </w:rPr>
              <w:t xml:space="preserve"> </w:t>
            </w:r>
          </w:p>
        </w:tc>
        <w:tc>
          <w:tcPr>
            <w:tcW w:w="1050" w:type="dxa"/>
          </w:tcPr>
          <w:p>
            <w:pPr>
              <w:pStyle w:val="34"/>
              <w:spacing w:before="4"/>
              <w:ind w:right="373"/>
              <w:jc w:val="right"/>
              <w:rPr>
                <w:sz w:val="28"/>
              </w:rPr>
            </w:pPr>
            <w:r>
              <w:rPr>
                <w:w w:val="99"/>
                <w:sz w:val="28"/>
              </w:rPr>
              <w:t xml:space="preserve"> </w:t>
            </w:r>
          </w:p>
        </w:tc>
        <w:tc>
          <w:tcPr>
            <w:tcW w:w="630" w:type="dxa"/>
          </w:tcPr>
          <w:p>
            <w:pPr>
              <w:pStyle w:val="34"/>
              <w:spacing w:before="4"/>
              <w:ind w:right="163"/>
              <w:jc w:val="right"/>
              <w:rPr>
                <w:sz w:val="28"/>
              </w:rPr>
            </w:pPr>
            <w:r>
              <w:rPr>
                <w:w w:val="99"/>
                <w:sz w:val="28"/>
              </w:rPr>
              <w:t xml:space="preserve"> </w:t>
            </w:r>
          </w:p>
        </w:tc>
        <w:tc>
          <w:tcPr>
            <w:tcW w:w="525" w:type="dxa"/>
          </w:tcPr>
          <w:p>
            <w:pPr>
              <w:pStyle w:val="34"/>
              <w:spacing w:before="4"/>
              <w:ind w:right="112"/>
              <w:jc w:val="right"/>
              <w:rPr>
                <w:sz w:val="28"/>
              </w:rPr>
            </w:pPr>
            <w:r>
              <w:rPr>
                <w:w w:val="99"/>
                <w:sz w:val="28"/>
              </w:rPr>
              <w:t xml:space="preserve"> </w:t>
            </w:r>
          </w:p>
        </w:tc>
        <w:tc>
          <w:tcPr>
            <w:tcW w:w="734" w:type="dxa"/>
          </w:tcPr>
          <w:p>
            <w:pPr>
              <w:pStyle w:val="34"/>
              <w:spacing w:before="4"/>
              <w:ind w:right="216"/>
              <w:jc w:val="right"/>
              <w:rPr>
                <w:sz w:val="28"/>
              </w:rPr>
            </w:pPr>
            <w:r>
              <w:rPr>
                <w:w w:val="99"/>
                <w:sz w:val="28"/>
              </w:rPr>
              <w:t xml:space="preserve"> </w:t>
            </w:r>
          </w:p>
        </w:tc>
        <w:tc>
          <w:tcPr>
            <w:tcW w:w="840" w:type="dxa"/>
          </w:tcPr>
          <w:p>
            <w:pPr>
              <w:pStyle w:val="34"/>
              <w:spacing w:before="4"/>
              <w:ind w:right="266"/>
              <w:jc w:val="right"/>
              <w:rPr>
                <w:sz w:val="28"/>
              </w:rPr>
            </w:pPr>
            <w:r>
              <w:rPr>
                <w:w w:val="99"/>
                <w:sz w:val="28"/>
              </w:rPr>
              <w:t xml:space="preserve"> </w:t>
            </w:r>
          </w:p>
        </w:tc>
        <w:tc>
          <w:tcPr>
            <w:tcW w:w="840" w:type="dxa"/>
          </w:tcPr>
          <w:p>
            <w:pPr>
              <w:pStyle w:val="34"/>
              <w:spacing w:before="4"/>
              <w:ind w:right="266"/>
              <w:jc w:val="right"/>
              <w:rPr>
                <w:sz w:val="28"/>
              </w:rPr>
            </w:pPr>
            <w:r>
              <w:rPr>
                <w:w w:val="99"/>
                <w:sz w:val="28"/>
              </w:rPr>
              <w:t xml:space="preserve"> </w:t>
            </w:r>
          </w:p>
        </w:tc>
        <w:tc>
          <w:tcPr>
            <w:tcW w:w="735" w:type="dxa"/>
          </w:tcPr>
          <w:p>
            <w:pPr>
              <w:pStyle w:val="34"/>
              <w:spacing w:before="4"/>
              <w:ind w:right="215"/>
              <w:jc w:val="right"/>
              <w:rPr>
                <w:sz w:val="28"/>
              </w:rPr>
            </w:pPr>
            <w:r>
              <w:rPr>
                <w:w w:val="99"/>
                <w:sz w:val="28"/>
              </w:rPr>
              <w:t xml:space="preserve"> </w:t>
            </w:r>
          </w:p>
        </w:tc>
        <w:tc>
          <w:tcPr>
            <w:tcW w:w="944" w:type="dxa"/>
          </w:tcPr>
          <w:p>
            <w:pPr>
              <w:pStyle w:val="34"/>
              <w:spacing w:before="4"/>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480" w:type="dxa"/>
          </w:tcPr>
          <w:p>
            <w:pPr>
              <w:pStyle w:val="34"/>
              <w:spacing w:before="4"/>
              <w:ind w:right="89"/>
              <w:jc w:val="right"/>
              <w:rPr>
                <w:sz w:val="28"/>
              </w:rPr>
            </w:pPr>
            <w:r>
              <w:rPr>
                <w:w w:val="99"/>
                <w:sz w:val="28"/>
              </w:rPr>
              <w:t xml:space="preserve"> </w:t>
            </w:r>
          </w:p>
        </w:tc>
        <w:tc>
          <w:tcPr>
            <w:tcW w:w="1154" w:type="dxa"/>
          </w:tcPr>
          <w:p>
            <w:pPr>
              <w:pStyle w:val="34"/>
              <w:spacing w:before="4"/>
              <w:ind w:right="426"/>
              <w:jc w:val="right"/>
              <w:rPr>
                <w:sz w:val="28"/>
              </w:rPr>
            </w:pPr>
            <w:r>
              <w:rPr>
                <w:w w:val="99"/>
                <w:sz w:val="28"/>
              </w:rPr>
              <w:t xml:space="preserve"> </w:t>
            </w:r>
          </w:p>
        </w:tc>
        <w:tc>
          <w:tcPr>
            <w:tcW w:w="1050" w:type="dxa"/>
          </w:tcPr>
          <w:p>
            <w:pPr>
              <w:pStyle w:val="34"/>
              <w:spacing w:before="4"/>
              <w:ind w:right="373"/>
              <w:jc w:val="right"/>
              <w:rPr>
                <w:sz w:val="28"/>
              </w:rPr>
            </w:pPr>
            <w:r>
              <w:rPr>
                <w:w w:val="99"/>
                <w:sz w:val="28"/>
              </w:rPr>
              <w:t xml:space="preserve"> </w:t>
            </w:r>
          </w:p>
        </w:tc>
        <w:tc>
          <w:tcPr>
            <w:tcW w:w="630" w:type="dxa"/>
          </w:tcPr>
          <w:p>
            <w:pPr>
              <w:pStyle w:val="34"/>
              <w:spacing w:before="4"/>
              <w:ind w:right="163"/>
              <w:jc w:val="right"/>
              <w:rPr>
                <w:sz w:val="28"/>
              </w:rPr>
            </w:pPr>
            <w:r>
              <w:rPr>
                <w:w w:val="99"/>
                <w:sz w:val="28"/>
              </w:rPr>
              <w:t xml:space="preserve"> </w:t>
            </w:r>
          </w:p>
        </w:tc>
        <w:tc>
          <w:tcPr>
            <w:tcW w:w="525" w:type="dxa"/>
          </w:tcPr>
          <w:p>
            <w:pPr>
              <w:pStyle w:val="34"/>
              <w:spacing w:before="4"/>
              <w:ind w:right="112"/>
              <w:jc w:val="right"/>
              <w:rPr>
                <w:sz w:val="28"/>
              </w:rPr>
            </w:pPr>
            <w:r>
              <w:rPr>
                <w:w w:val="99"/>
                <w:sz w:val="28"/>
              </w:rPr>
              <w:t xml:space="preserve"> </w:t>
            </w:r>
          </w:p>
        </w:tc>
        <w:tc>
          <w:tcPr>
            <w:tcW w:w="734" w:type="dxa"/>
          </w:tcPr>
          <w:p>
            <w:pPr>
              <w:pStyle w:val="34"/>
              <w:spacing w:before="4"/>
              <w:ind w:right="216"/>
              <w:jc w:val="right"/>
              <w:rPr>
                <w:sz w:val="28"/>
              </w:rPr>
            </w:pPr>
            <w:r>
              <w:rPr>
                <w:w w:val="99"/>
                <w:sz w:val="28"/>
              </w:rPr>
              <w:t xml:space="preserve"> </w:t>
            </w:r>
          </w:p>
        </w:tc>
        <w:tc>
          <w:tcPr>
            <w:tcW w:w="840" w:type="dxa"/>
          </w:tcPr>
          <w:p>
            <w:pPr>
              <w:pStyle w:val="34"/>
              <w:spacing w:before="4"/>
              <w:ind w:right="266"/>
              <w:jc w:val="right"/>
              <w:rPr>
                <w:sz w:val="28"/>
              </w:rPr>
            </w:pPr>
            <w:r>
              <w:rPr>
                <w:w w:val="99"/>
                <w:sz w:val="28"/>
              </w:rPr>
              <w:t xml:space="preserve"> </w:t>
            </w:r>
          </w:p>
        </w:tc>
        <w:tc>
          <w:tcPr>
            <w:tcW w:w="840" w:type="dxa"/>
          </w:tcPr>
          <w:p>
            <w:pPr>
              <w:pStyle w:val="34"/>
              <w:spacing w:before="4"/>
              <w:ind w:right="266"/>
              <w:jc w:val="right"/>
              <w:rPr>
                <w:sz w:val="28"/>
              </w:rPr>
            </w:pPr>
            <w:r>
              <w:rPr>
                <w:w w:val="99"/>
                <w:sz w:val="28"/>
              </w:rPr>
              <w:t xml:space="preserve"> </w:t>
            </w:r>
          </w:p>
        </w:tc>
        <w:tc>
          <w:tcPr>
            <w:tcW w:w="735" w:type="dxa"/>
          </w:tcPr>
          <w:p>
            <w:pPr>
              <w:pStyle w:val="34"/>
              <w:spacing w:before="4"/>
              <w:ind w:right="215"/>
              <w:jc w:val="right"/>
              <w:rPr>
                <w:sz w:val="28"/>
              </w:rPr>
            </w:pPr>
            <w:r>
              <w:rPr>
                <w:w w:val="99"/>
                <w:sz w:val="28"/>
              </w:rPr>
              <w:t xml:space="preserve"> </w:t>
            </w:r>
          </w:p>
        </w:tc>
        <w:tc>
          <w:tcPr>
            <w:tcW w:w="944" w:type="dxa"/>
          </w:tcPr>
          <w:p>
            <w:pPr>
              <w:pStyle w:val="34"/>
              <w:spacing w:before="4"/>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480" w:type="dxa"/>
          </w:tcPr>
          <w:p>
            <w:pPr>
              <w:pStyle w:val="34"/>
              <w:spacing w:before="4"/>
              <w:ind w:right="89"/>
              <w:jc w:val="right"/>
              <w:rPr>
                <w:sz w:val="28"/>
              </w:rPr>
            </w:pPr>
            <w:r>
              <w:rPr>
                <w:w w:val="99"/>
                <w:sz w:val="28"/>
              </w:rPr>
              <w:t xml:space="preserve"> </w:t>
            </w:r>
          </w:p>
        </w:tc>
        <w:tc>
          <w:tcPr>
            <w:tcW w:w="1154" w:type="dxa"/>
          </w:tcPr>
          <w:p>
            <w:pPr>
              <w:pStyle w:val="34"/>
              <w:spacing w:before="4"/>
              <w:ind w:right="426"/>
              <w:jc w:val="right"/>
              <w:rPr>
                <w:sz w:val="28"/>
              </w:rPr>
            </w:pPr>
            <w:r>
              <w:rPr>
                <w:w w:val="99"/>
                <w:sz w:val="28"/>
              </w:rPr>
              <w:t xml:space="preserve"> </w:t>
            </w:r>
          </w:p>
        </w:tc>
        <w:tc>
          <w:tcPr>
            <w:tcW w:w="1050" w:type="dxa"/>
          </w:tcPr>
          <w:p>
            <w:pPr>
              <w:pStyle w:val="34"/>
              <w:spacing w:before="4"/>
              <w:ind w:right="373"/>
              <w:jc w:val="right"/>
              <w:rPr>
                <w:sz w:val="28"/>
              </w:rPr>
            </w:pPr>
            <w:r>
              <w:rPr>
                <w:w w:val="99"/>
                <w:sz w:val="28"/>
              </w:rPr>
              <w:t xml:space="preserve"> </w:t>
            </w:r>
          </w:p>
        </w:tc>
        <w:tc>
          <w:tcPr>
            <w:tcW w:w="630" w:type="dxa"/>
          </w:tcPr>
          <w:p>
            <w:pPr>
              <w:pStyle w:val="34"/>
              <w:spacing w:before="4"/>
              <w:ind w:right="163"/>
              <w:jc w:val="right"/>
              <w:rPr>
                <w:sz w:val="28"/>
              </w:rPr>
            </w:pPr>
            <w:r>
              <w:rPr>
                <w:w w:val="99"/>
                <w:sz w:val="28"/>
              </w:rPr>
              <w:t xml:space="preserve"> </w:t>
            </w:r>
          </w:p>
        </w:tc>
        <w:tc>
          <w:tcPr>
            <w:tcW w:w="525" w:type="dxa"/>
          </w:tcPr>
          <w:p>
            <w:pPr>
              <w:pStyle w:val="34"/>
              <w:spacing w:before="4"/>
              <w:ind w:right="112"/>
              <w:jc w:val="right"/>
              <w:rPr>
                <w:sz w:val="28"/>
              </w:rPr>
            </w:pPr>
            <w:r>
              <w:rPr>
                <w:w w:val="99"/>
                <w:sz w:val="28"/>
              </w:rPr>
              <w:t xml:space="preserve"> </w:t>
            </w:r>
          </w:p>
        </w:tc>
        <w:tc>
          <w:tcPr>
            <w:tcW w:w="734" w:type="dxa"/>
          </w:tcPr>
          <w:p>
            <w:pPr>
              <w:pStyle w:val="34"/>
              <w:spacing w:before="4"/>
              <w:ind w:right="216"/>
              <w:jc w:val="right"/>
              <w:rPr>
                <w:sz w:val="28"/>
              </w:rPr>
            </w:pPr>
            <w:r>
              <w:rPr>
                <w:w w:val="99"/>
                <w:sz w:val="28"/>
              </w:rPr>
              <w:t xml:space="preserve"> </w:t>
            </w:r>
          </w:p>
        </w:tc>
        <w:tc>
          <w:tcPr>
            <w:tcW w:w="840" w:type="dxa"/>
          </w:tcPr>
          <w:p>
            <w:pPr>
              <w:pStyle w:val="34"/>
              <w:spacing w:before="4"/>
              <w:ind w:right="266"/>
              <w:jc w:val="right"/>
              <w:rPr>
                <w:sz w:val="28"/>
              </w:rPr>
            </w:pPr>
            <w:r>
              <w:rPr>
                <w:w w:val="99"/>
                <w:sz w:val="28"/>
              </w:rPr>
              <w:t xml:space="preserve"> </w:t>
            </w:r>
          </w:p>
        </w:tc>
        <w:tc>
          <w:tcPr>
            <w:tcW w:w="840" w:type="dxa"/>
          </w:tcPr>
          <w:p>
            <w:pPr>
              <w:pStyle w:val="34"/>
              <w:spacing w:before="4"/>
              <w:ind w:right="266"/>
              <w:jc w:val="right"/>
              <w:rPr>
                <w:sz w:val="28"/>
              </w:rPr>
            </w:pPr>
            <w:r>
              <w:rPr>
                <w:w w:val="99"/>
                <w:sz w:val="28"/>
              </w:rPr>
              <w:t xml:space="preserve"> </w:t>
            </w:r>
          </w:p>
        </w:tc>
        <w:tc>
          <w:tcPr>
            <w:tcW w:w="735" w:type="dxa"/>
          </w:tcPr>
          <w:p>
            <w:pPr>
              <w:pStyle w:val="34"/>
              <w:spacing w:before="4"/>
              <w:ind w:right="215"/>
              <w:jc w:val="right"/>
              <w:rPr>
                <w:sz w:val="28"/>
              </w:rPr>
            </w:pPr>
            <w:r>
              <w:rPr>
                <w:w w:val="99"/>
                <w:sz w:val="28"/>
              </w:rPr>
              <w:t xml:space="preserve"> </w:t>
            </w:r>
          </w:p>
        </w:tc>
        <w:tc>
          <w:tcPr>
            <w:tcW w:w="944" w:type="dxa"/>
          </w:tcPr>
          <w:p>
            <w:pPr>
              <w:pStyle w:val="34"/>
              <w:spacing w:before="4"/>
              <w:ind w:left="151"/>
              <w:jc w:val="center"/>
              <w:rPr>
                <w:sz w:val="28"/>
              </w:rPr>
            </w:pPr>
            <w:r>
              <w:rPr>
                <w:w w:val="99"/>
                <w:sz w:val="28"/>
              </w:rPr>
              <w:t xml:space="preserve"> </w:t>
            </w:r>
          </w:p>
        </w:tc>
      </w:tr>
    </w:tbl>
    <w:p>
      <w:pPr>
        <w:jc w:val="center"/>
        <w:rPr>
          <w:sz w:val="28"/>
        </w:rPr>
        <w:sectPr>
          <w:pgSz w:w="11910" w:h="16840"/>
          <w:pgMar w:top="1160" w:right="0" w:bottom="280" w:left="960" w:header="872" w:footer="0" w:gutter="0"/>
          <w:cols w:space="720" w:num="1"/>
        </w:sectPr>
      </w:pPr>
    </w:p>
    <w:p>
      <w:pPr>
        <w:spacing w:before="66"/>
        <w:ind w:left="838"/>
        <w:rPr>
          <w:sz w:val="24"/>
        </w:rPr>
      </w:pPr>
      <w:bookmarkStart w:id="101" w:name="_bookmark177"/>
      <w:bookmarkEnd w:id="101"/>
      <w:r>
        <w:rPr>
          <w:rFonts w:hint="eastAsia"/>
          <w:sz w:val="24"/>
        </w:rPr>
        <w:t>附件三：发包人提供的材料和工程设备一览表</w:t>
      </w:r>
      <w:r>
        <w:rPr>
          <w:sz w:val="24"/>
        </w:rPr>
        <w:t xml:space="preserve"> </w:t>
      </w:r>
    </w:p>
    <w:p>
      <w:pPr>
        <w:pStyle w:val="8"/>
        <w:spacing w:before="11"/>
      </w:pPr>
    </w:p>
    <w:p>
      <w:pPr>
        <w:ind w:left="2744"/>
        <w:rPr>
          <w:b/>
          <w:sz w:val="28"/>
        </w:rPr>
      </w:pPr>
      <w:r>
        <w:rPr>
          <w:rFonts w:hint="eastAsia"/>
          <w:b/>
          <w:sz w:val="28"/>
        </w:rPr>
        <w:t>发包人提供的材料和工程设备一览表</w:t>
      </w:r>
      <w:r>
        <w:rPr>
          <w:b/>
          <w:w w:val="99"/>
          <w:sz w:val="28"/>
        </w:rPr>
        <w:t xml:space="preserve"> </w:t>
      </w:r>
    </w:p>
    <w:p>
      <w:pPr>
        <w:pStyle w:val="8"/>
        <w:spacing w:before="4"/>
        <w:rPr>
          <w:b/>
          <w:sz w:val="14"/>
        </w:rPr>
      </w:pPr>
    </w:p>
    <w:tbl>
      <w:tblPr>
        <w:tblStyle w:val="17"/>
        <w:tblW w:w="0" w:type="auto"/>
        <w:tblInd w:w="10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0"/>
        <w:gridCol w:w="1154"/>
        <w:gridCol w:w="1050"/>
        <w:gridCol w:w="630"/>
        <w:gridCol w:w="525"/>
        <w:gridCol w:w="734"/>
        <w:gridCol w:w="840"/>
        <w:gridCol w:w="840"/>
        <w:gridCol w:w="735"/>
        <w:gridCol w:w="9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15" w:hRule="atLeast"/>
        </w:trPr>
        <w:tc>
          <w:tcPr>
            <w:tcW w:w="480" w:type="dxa"/>
          </w:tcPr>
          <w:p>
            <w:pPr>
              <w:pStyle w:val="34"/>
              <w:spacing w:before="7"/>
              <w:rPr>
                <w:b/>
                <w:sz w:val="19"/>
              </w:rPr>
            </w:pPr>
          </w:p>
          <w:p>
            <w:pPr>
              <w:pStyle w:val="34"/>
              <w:spacing w:line="364" w:lineRule="auto"/>
              <w:ind w:left="133" w:right="21"/>
              <w:rPr>
                <w:sz w:val="21"/>
              </w:rPr>
            </w:pPr>
            <w:r>
              <w:rPr>
                <w:rFonts w:hint="eastAsia"/>
                <w:sz w:val="21"/>
              </w:rPr>
              <w:t>序号</w:t>
            </w:r>
            <w:r>
              <w:rPr>
                <w:sz w:val="21"/>
              </w:rPr>
              <w:t xml:space="preserve"> </w:t>
            </w:r>
          </w:p>
        </w:tc>
        <w:tc>
          <w:tcPr>
            <w:tcW w:w="1154" w:type="dxa"/>
          </w:tcPr>
          <w:p>
            <w:pPr>
              <w:pStyle w:val="34"/>
              <w:spacing w:before="7"/>
              <w:rPr>
                <w:b/>
                <w:sz w:val="19"/>
              </w:rPr>
            </w:pPr>
          </w:p>
          <w:p>
            <w:pPr>
              <w:pStyle w:val="34"/>
              <w:spacing w:line="364" w:lineRule="auto"/>
              <w:ind w:left="155" w:right="41"/>
              <w:rPr>
                <w:sz w:val="21"/>
              </w:rPr>
            </w:pPr>
            <w:r>
              <w:rPr>
                <w:rFonts w:hint="eastAsia"/>
                <w:sz w:val="21"/>
              </w:rPr>
              <w:t>材料设备名</w:t>
            </w:r>
            <w:r>
              <w:rPr>
                <w:sz w:val="21"/>
              </w:rPr>
              <w:t xml:space="preserve"> </w:t>
            </w:r>
            <w:r>
              <w:rPr>
                <w:rFonts w:hint="eastAsia"/>
                <w:sz w:val="21"/>
              </w:rPr>
              <w:t>称</w:t>
            </w:r>
            <w:r>
              <w:rPr>
                <w:sz w:val="21"/>
              </w:rPr>
              <w:t xml:space="preserve"> </w:t>
            </w:r>
          </w:p>
        </w:tc>
        <w:tc>
          <w:tcPr>
            <w:tcW w:w="1050" w:type="dxa"/>
          </w:tcPr>
          <w:p>
            <w:pPr>
              <w:pStyle w:val="34"/>
              <w:spacing w:before="7"/>
              <w:rPr>
                <w:b/>
                <w:sz w:val="19"/>
              </w:rPr>
            </w:pPr>
          </w:p>
          <w:p>
            <w:pPr>
              <w:pStyle w:val="34"/>
              <w:spacing w:line="364" w:lineRule="auto"/>
              <w:ind w:left="314" w:right="198"/>
              <w:rPr>
                <w:sz w:val="21"/>
              </w:rPr>
            </w:pPr>
            <w:r>
              <w:rPr>
                <w:rFonts w:hint="eastAsia"/>
                <w:sz w:val="21"/>
              </w:rPr>
              <w:t>规格型号</w:t>
            </w:r>
            <w:r>
              <w:rPr>
                <w:sz w:val="21"/>
              </w:rPr>
              <w:t xml:space="preserve"> </w:t>
            </w:r>
          </w:p>
        </w:tc>
        <w:tc>
          <w:tcPr>
            <w:tcW w:w="630" w:type="dxa"/>
          </w:tcPr>
          <w:p>
            <w:pPr>
              <w:pStyle w:val="34"/>
              <w:spacing w:before="7"/>
              <w:rPr>
                <w:b/>
                <w:sz w:val="19"/>
              </w:rPr>
            </w:pPr>
          </w:p>
          <w:p>
            <w:pPr>
              <w:pStyle w:val="34"/>
              <w:spacing w:line="364" w:lineRule="auto"/>
              <w:ind w:left="210" w:right="92"/>
              <w:rPr>
                <w:sz w:val="21"/>
              </w:rPr>
            </w:pPr>
            <w:r>
              <w:rPr>
                <w:rFonts w:hint="eastAsia"/>
                <w:sz w:val="21"/>
              </w:rPr>
              <w:t>单位</w:t>
            </w:r>
            <w:r>
              <w:rPr>
                <w:sz w:val="21"/>
              </w:rPr>
              <w:t xml:space="preserve"> </w:t>
            </w:r>
          </w:p>
        </w:tc>
        <w:tc>
          <w:tcPr>
            <w:tcW w:w="525" w:type="dxa"/>
          </w:tcPr>
          <w:p>
            <w:pPr>
              <w:pStyle w:val="34"/>
              <w:spacing w:before="7"/>
              <w:rPr>
                <w:b/>
                <w:sz w:val="19"/>
              </w:rPr>
            </w:pPr>
          </w:p>
          <w:p>
            <w:pPr>
              <w:pStyle w:val="34"/>
              <w:spacing w:line="364" w:lineRule="auto"/>
              <w:ind w:left="157" w:right="40"/>
              <w:rPr>
                <w:sz w:val="21"/>
              </w:rPr>
            </w:pPr>
            <w:r>
              <w:rPr>
                <w:rFonts w:hint="eastAsia"/>
                <w:sz w:val="21"/>
              </w:rPr>
              <w:t>数量</w:t>
            </w:r>
            <w:r>
              <w:rPr>
                <w:sz w:val="21"/>
              </w:rPr>
              <w:t xml:space="preserve"> </w:t>
            </w:r>
          </w:p>
        </w:tc>
        <w:tc>
          <w:tcPr>
            <w:tcW w:w="734" w:type="dxa"/>
          </w:tcPr>
          <w:p>
            <w:pPr>
              <w:pStyle w:val="34"/>
              <w:spacing w:before="7"/>
              <w:rPr>
                <w:b/>
                <w:sz w:val="19"/>
              </w:rPr>
            </w:pPr>
          </w:p>
          <w:p>
            <w:pPr>
              <w:pStyle w:val="34"/>
              <w:spacing w:line="364" w:lineRule="auto"/>
              <w:ind w:left="261" w:right="145"/>
              <w:rPr>
                <w:sz w:val="21"/>
              </w:rPr>
            </w:pPr>
            <w:r>
              <w:rPr>
                <w:rFonts w:hint="eastAsia"/>
                <w:sz w:val="21"/>
              </w:rPr>
              <w:t>单价</w:t>
            </w:r>
            <w:r>
              <w:rPr>
                <w:sz w:val="21"/>
              </w:rPr>
              <w:t xml:space="preserve"> </w:t>
            </w:r>
          </w:p>
        </w:tc>
        <w:tc>
          <w:tcPr>
            <w:tcW w:w="840" w:type="dxa"/>
          </w:tcPr>
          <w:p>
            <w:pPr>
              <w:pStyle w:val="34"/>
              <w:spacing w:before="7"/>
              <w:rPr>
                <w:b/>
                <w:sz w:val="19"/>
              </w:rPr>
            </w:pPr>
          </w:p>
          <w:p>
            <w:pPr>
              <w:pStyle w:val="34"/>
              <w:spacing w:line="364" w:lineRule="auto"/>
              <w:ind w:left="211" w:right="91"/>
              <w:rPr>
                <w:sz w:val="21"/>
              </w:rPr>
            </w:pPr>
            <w:r>
              <w:rPr>
                <w:rFonts w:hint="eastAsia"/>
                <w:sz w:val="21"/>
              </w:rPr>
              <w:t>交货方式</w:t>
            </w:r>
            <w:r>
              <w:rPr>
                <w:sz w:val="21"/>
              </w:rPr>
              <w:t xml:space="preserve"> </w:t>
            </w:r>
          </w:p>
        </w:tc>
        <w:tc>
          <w:tcPr>
            <w:tcW w:w="840" w:type="dxa"/>
          </w:tcPr>
          <w:p>
            <w:pPr>
              <w:pStyle w:val="34"/>
              <w:spacing w:before="7"/>
              <w:rPr>
                <w:b/>
                <w:sz w:val="19"/>
              </w:rPr>
            </w:pPr>
          </w:p>
          <w:p>
            <w:pPr>
              <w:pStyle w:val="34"/>
              <w:spacing w:line="364" w:lineRule="auto"/>
              <w:ind w:left="211" w:right="91"/>
              <w:rPr>
                <w:sz w:val="21"/>
              </w:rPr>
            </w:pPr>
            <w:r>
              <w:rPr>
                <w:rFonts w:hint="eastAsia"/>
                <w:sz w:val="21"/>
              </w:rPr>
              <w:t>交货地点</w:t>
            </w:r>
            <w:r>
              <w:rPr>
                <w:sz w:val="21"/>
              </w:rPr>
              <w:t xml:space="preserve"> </w:t>
            </w:r>
          </w:p>
        </w:tc>
        <w:tc>
          <w:tcPr>
            <w:tcW w:w="735" w:type="dxa"/>
          </w:tcPr>
          <w:p>
            <w:pPr>
              <w:pStyle w:val="34"/>
              <w:spacing w:before="47" w:line="364" w:lineRule="auto"/>
              <w:ind w:left="159" w:right="38"/>
              <w:rPr>
                <w:sz w:val="21"/>
              </w:rPr>
            </w:pPr>
            <w:r>
              <w:rPr>
                <w:rFonts w:hint="eastAsia"/>
                <w:sz w:val="21"/>
              </w:rPr>
              <w:t>计划交货时间</w:t>
            </w:r>
            <w:r>
              <w:rPr>
                <w:sz w:val="21"/>
              </w:rPr>
              <w:t xml:space="preserve"> </w:t>
            </w:r>
          </w:p>
        </w:tc>
        <w:tc>
          <w:tcPr>
            <w:tcW w:w="944" w:type="dxa"/>
          </w:tcPr>
          <w:p>
            <w:pPr>
              <w:pStyle w:val="34"/>
              <w:rPr>
                <w:b/>
                <w:sz w:val="20"/>
              </w:rPr>
            </w:pPr>
          </w:p>
          <w:p>
            <w:pPr>
              <w:pStyle w:val="34"/>
              <w:spacing w:before="6"/>
              <w:rPr>
                <w:b/>
                <w:sz w:val="15"/>
              </w:rPr>
            </w:pPr>
          </w:p>
          <w:p>
            <w:pPr>
              <w:pStyle w:val="34"/>
              <w:ind w:left="295" w:right="178"/>
              <w:jc w:val="center"/>
              <w:rPr>
                <w:sz w:val="21"/>
              </w:rPr>
            </w:pPr>
            <w:r>
              <w:rPr>
                <w:rFonts w:hint="eastAsia"/>
                <w:sz w:val="21"/>
              </w:rPr>
              <w:t>备注</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480" w:type="dxa"/>
          </w:tcPr>
          <w:p>
            <w:pPr>
              <w:pStyle w:val="34"/>
              <w:spacing w:before="4"/>
              <w:ind w:right="89"/>
              <w:jc w:val="right"/>
              <w:rPr>
                <w:sz w:val="28"/>
              </w:rPr>
            </w:pPr>
            <w:r>
              <w:rPr>
                <w:w w:val="99"/>
                <w:sz w:val="28"/>
              </w:rPr>
              <w:t xml:space="preserve"> </w:t>
            </w:r>
          </w:p>
        </w:tc>
        <w:tc>
          <w:tcPr>
            <w:tcW w:w="1154" w:type="dxa"/>
          </w:tcPr>
          <w:p>
            <w:pPr>
              <w:pStyle w:val="34"/>
              <w:spacing w:before="4"/>
              <w:ind w:right="426"/>
              <w:jc w:val="right"/>
              <w:rPr>
                <w:sz w:val="28"/>
              </w:rPr>
            </w:pPr>
            <w:r>
              <w:rPr>
                <w:w w:val="99"/>
                <w:sz w:val="28"/>
              </w:rPr>
              <w:t xml:space="preserve"> </w:t>
            </w:r>
          </w:p>
        </w:tc>
        <w:tc>
          <w:tcPr>
            <w:tcW w:w="1050" w:type="dxa"/>
          </w:tcPr>
          <w:p>
            <w:pPr>
              <w:pStyle w:val="34"/>
              <w:spacing w:before="4"/>
              <w:ind w:right="373"/>
              <w:jc w:val="right"/>
              <w:rPr>
                <w:sz w:val="28"/>
              </w:rPr>
            </w:pPr>
            <w:r>
              <w:rPr>
                <w:w w:val="99"/>
                <w:sz w:val="28"/>
              </w:rPr>
              <w:t xml:space="preserve"> </w:t>
            </w:r>
          </w:p>
        </w:tc>
        <w:tc>
          <w:tcPr>
            <w:tcW w:w="630" w:type="dxa"/>
          </w:tcPr>
          <w:p>
            <w:pPr>
              <w:pStyle w:val="34"/>
              <w:spacing w:before="4"/>
              <w:ind w:right="163"/>
              <w:jc w:val="right"/>
              <w:rPr>
                <w:sz w:val="28"/>
              </w:rPr>
            </w:pPr>
            <w:r>
              <w:rPr>
                <w:w w:val="99"/>
                <w:sz w:val="28"/>
              </w:rPr>
              <w:t xml:space="preserve"> </w:t>
            </w:r>
          </w:p>
        </w:tc>
        <w:tc>
          <w:tcPr>
            <w:tcW w:w="525" w:type="dxa"/>
          </w:tcPr>
          <w:p>
            <w:pPr>
              <w:pStyle w:val="34"/>
              <w:spacing w:before="4"/>
              <w:ind w:right="112"/>
              <w:jc w:val="right"/>
              <w:rPr>
                <w:sz w:val="28"/>
              </w:rPr>
            </w:pPr>
            <w:r>
              <w:rPr>
                <w:w w:val="99"/>
                <w:sz w:val="28"/>
              </w:rPr>
              <w:t xml:space="preserve"> </w:t>
            </w:r>
          </w:p>
        </w:tc>
        <w:tc>
          <w:tcPr>
            <w:tcW w:w="734" w:type="dxa"/>
          </w:tcPr>
          <w:p>
            <w:pPr>
              <w:pStyle w:val="34"/>
              <w:spacing w:before="4"/>
              <w:ind w:right="216"/>
              <w:jc w:val="right"/>
              <w:rPr>
                <w:sz w:val="28"/>
              </w:rPr>
            </w:pPr>
            <w:r>
              <w:rPr>
                <w:w w:val="99"/>
                <w:sz w:val="28"/>
              </w:rPr>
              <w:t xml:space="preserve"> </w:t>
            </w:r>
          </w:p>
        </w:tc>
        <w:tc>
          <w:tcPr>
            <w:tcW w:w="840" w:type="dxa"/>
          </w:tcPr>
          <w:p>
            <w:pPr>
              <w:pStyle w:val="34"/>
              <w:spacing w:before="4"/>
              <w:ind w:right="266"/>
              <w:jc w:val="right"/>
              <w:rPr>
                <w:sz w:val="28"/>
              </w:rPr>
            </w:pPr>
            <w:r>
              <w:rPr>
                <w:w w:val="99"/>
                <w:sz w:val="28"/>
              </w:rPr>
              <w:t xml:space="preserve"> </w:t>
            </w:r>
          </w:p>
        </w:tc>
        <w:tc>
          <w:tcPr>
            <w:tcW w:w="840" w:type="dxa"/>
          </w:tcPr>
          <w:p>
            <w:pPr>
              <w:pStyle w:val="34"/>
              <w:spacing w:before="4"/>
              <w:ind w:right="266"/>
              <w:jc w:val="right"/>
              <w:rPr>
                <w:sz w:val="28"/>
              </w:rPr>
            </w:pPr>
            <w:r>
              <w:rPr>
                <w:w w:val="99"/>
                <w:sz w:val="28"/>
              </w:rPr>
              <w:t xml:space="preserve"> </w:t>
            </w:r>
          </w:p>
        </w:tc>
        <w:tc>
          <w:tcPr>
            <w:tcW w:w="735" w:type="dxa"/>
          </w:tcPr>
          <w:p>
            <w:pPr>
              <w:pStyle w:val="34"/>
              <w:spacing w:before="4"/>
              <w:ind w:right="215"/>
              <w:jc w:val="right"/>
              <w:rPr>
                <w:sz w:val="28"/>
              </w:rPr>
            </w:pPr>
            <w:r>
              <w:rPr>
                <w:w w:val="99"/>
                <w:sz w:val="28"/>
              </w:rPr>
              <w:t xml:space="preserve"> </w:t>
            </w:r>
          </w:p>
        </w:tc>
        <w:tc>
          <w:tcPr>
            <w:tcW w:w="944" w:type="dxa"/>
          </w:tcPr>
          <w:p>
            <w:pPr>
              <w:pStyle w:val="34"/>
              <w:spacing w:before="4"/>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480" w:type="dxa"/>
          </w:tcPr>
          <w:p>
            <w:pPr>
              <w:pStyle w:val="34"/>
              <w:spacing w:before="4"/>
              <w:ind w:right="89"/>
              <w:jc w:val="right"/>
              <w:rPr>
                <w:sz w:val="28"/>
              </w:rPr>
            </w:pPr>
            <w:r>
              <w:rPr>
                <w:w w:val="99"/>
                <w:sz w:val="28"/>
              </w:rPr>
              <w:t xml:space="preserve"> </w:t>
            </w:r>
          </w:p>
        </w:tc>
        <w:tc>
          <w:tcPr>
            <w:tcW w:w="1154" w:type="dxa"/>
          </w:tcPr>
          <w:p>
            <w:pPr>
              <w:pStyle w:val="34"/>
              <w:spacing w:before="4"/>
              <w:ind w:right="426"/>
              <w:jc w:val="right"/>
              <w:rPr>
                <w:sz w:val="28"/>
              </w:rPr>
            </w:pPr>
            <w:r>
              <w:rPr>
                <w:w w:val="99"/>
                <w:sz w:val="28"/>
              </w:rPr>
              <w:t xml:space="preserve"> </w:t>
            </w:r>
          </w:p>
        </w:tc>
        <w:tc>
          <w:tcPr>
            <w:tcW w:w="1050" w:type="dxa"/>
          </w:tcPr>
          <w:p>
            <w:pPr>
              <w:pStyle w:val="34"/>
              <w:spacing w:before="4"/>
              <w:ind w:right="373"/>
              <w:jc w:val="right"/>
              <w:rPr>
                <w:sz w:val="28"/>
              </w:rPr>
            </w:pPr>
            <w:r>
              <w:rPr>
                <w:w w:val="99"/>
                <w:sz w:val="28"/>
              </w:rPr>
              <w:t xml:space="preserve"> </w:t>
            </w:r>
          </w:p>
        </w:tc>
        <w:tc>
          <w:tcPr>
            <w:tcW w:w="630" w:type="dxa"/>
          </w:tcPr>
          <w:p>
            <w:pPr>
              <w:pStyle w:val="34"/>
              <w:spacing w:before="4"/>
              <w:ind w:right="163"/>
              <w:jc w:val="right"/>
              <w:rPr>
                <w:sz w:val="28"/>
              </w:rPr>
            </w:pPr>
            <w:r>
              <w:rPr>
                <w:w w:val="99"/>
                <w:sz w:val="28"/>
              </w:rPr>
              <w:t xml:space="preserve"> </w:t>
            </w:r>
          </w:p>
        </w:tc>
        <w:tc>
          <w:tcPr>
            <w:tcW w:w="525" w:type="dxa"/>
          </w:tcPr>
          <w:p>
            <w:pPr>
              <w:pStyle w:val="34"/>
              <w:spacing w:before="4"/>
              <w:ind w:right="112"/>
              <w:jc w:val="right"/>
              <w:rPr>
                <w:sz w:val="28"/>
              </w:rPr>
            </w:pPr>
            <w:r>
              <w:rPr>
                <w:w w:val="99"/>
                <w:sz w:val="28"/>
              </w:rPr>
              <w:t xml:space="preserve"> </w:t>
            </w:r>
          </w:p>
        </w:tc>
        <w:tc>
          <w:tcPr>
            <w:tcW w:w="734" w:type="dxa"/>
          </w:tcPr>
          <w:p>
            <w:pPr>
              <w:pStyle w:val="34"/>
              <w:spacing w:before="4"/>
              <w:ind w:right="216"/>
              <w:jc w:val="right"/>
              <w:rPr>
                <w:sz w:val="28"/>
              </w:rPr>
            </w:pPr>
            <w:r>
              <w:rPr>
                <w:w w:val="99"/>
                <w:sz w:val="28"/>
              </w:rPr>
              <w:t xml:space="preserve"> </w:t>
            </w:r>
          </w:p>
        </w:tc>
        <w:tc>
          <w:tcPr>
            <w:tcW w:w="840" w:type="dxa"/>
          </w:tcPr>
          <w:p>
            <w:pPr>
              <w:pStyle w:val="34"/>
              <w:spacing w:before="4"/>
              <w:ind w:right="266"/>
              <w:jc w:val="right"/>
              <w:rPr>
                <w:sz w:val="28"/>
              </w:rPr>
            </w:pPr>
            <w:r>
              <w:rPr>
                <w:w w:val="99"/>
                <w:sz w:val="28"/>
              </w:rPr>
              <w:t xml:space="preserve"> </w:t>
            </w:r>
          </w:p>
        </w:tc>
        <w:tc>
          <w:tcPr>
            <w:tcW w:w="840" w:type="dxa"/>
          </w:tcPr>
          <w:p>
            <w:pPr>
              <w:pStyle w:val="34"/>
              <w:spacing w:before="4"/>
              <w:ind w:right="266"/>
              <w:jc w:val="right"/>
              <w:rPr>
                <w:sz w:val="28"/>
              </w:rPr>
            </w:pPr>
            <w:r>
              <w:rPr>
                <w:w w:val="99"/>
                <w:sz w:val="28"/>
              </w:rPr>
              <w:t xml:space="preserve"> </w:t>
            </w:r>
          </w:p>
        </w:tc>
        <w:tc>
          <w:tcPr>
            <w:tcW w:w="735" w:type="dxa"/>
          </w:tcPr>
          <w:p>
            <w:pPr>
              <w:pStyle w:val="34"/>
              <w:spacing w:before="4"/>
              <w:ind w:right="215"/>
              <w:jc w:val="right"/>
              <w:rPr>
                <w:sz w:val="28"/>
              </w:rPr>
            </w:pPr>
            <w:r>
              <w:rPr>
                <w:w w:val="99"/>
                <w:sz w:val="28"/>
              </w:rPr>
              <w:t xml:space="preserve"> </w:t>
            </w:r>
          </w:p>
        </w:tc>
        <w:tc>
          <w:tcPr>
            <w:tcW w:w="944" w:type="dxa"/>
          </w:tcPr>
          <w:p>
            <w:pPr>
              <w:pStyle w:val="34"/>
              <w:spacing w:before="4"/>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5" w:hRule="atLeast"/>
        </w:trPr>
        <w:tc>
          <w:tcPr>
            <w:tcW w:w="480" w:type="dxa"/>
          </w:tcPr>
          <w:p>
            <w:pPr>
              <w:pStyle w:val="34"/>
              <w:spacing w:before="4"/>
              <w:ind w:right="89"/>
              <w:jc w:val="right"/>
              <w:rPr>
                <w:sz w:val="28"/>
              </w:rPr>
            </w:pPr>
            <w:r>
              <w:rPr>
                <w:w w:val="99"/>
                <w:sz w:val="28"/>
              </w:rPr>
              <w:t xml:space="preserve"> </w:t>
            </w:r>
          </w:p>
        </w:tc>
        <w:tc>
          <w:tcPr>
            <w:tcW w:w="1154" w:type="dxa"/>
          </w:tcPr>
          <w:p>
            <w:pPr>
              <w:pStyle w:val="34"/>
              <w:spacing w:before="4"/>
              <w:ind w:right="426"/>
              <w:jc w:val="right"/>
              <w:rPr>
                <w:sz w:val="28"/>
              </w:rPr>
            </w:pPr>
            <w:r>
              <w:rPr>
                <w:w w:val="99"/>
                <w:sz w:val="28"/>
              </w:rPr>
              <w:t xml:space="preserve"> </w:t>
            </w:r>
          </w:p>
        </w:tc>
        <w:tc>
          <w:tcPr>
            <w:tcW w:w="1050" w:type="dxa"/>
          </w:tcPr>
          <w:p>
            <w:pPr>
              <w:pStyle w:val="34"/>
              <w:spacing w:before="4"/>
              <w:ind w:right="373"/>
              <w:jc w:val="right"/>
              <w:rPr>
                <w:sz w:val="28"/>
              </w:rPr>
            </w:pPr>
            <w:r>
              <w:rPr>
                <w:w w:val="99"/>
                <w:sz w:val="28"/>
              </w:rPr>
              <w:t xml:space="preserve"> </w:t>
            </w:r>
          </w:p>
        </w:tc>
        <w:tc>
          <w:tcPr>
            <w:tcW w:w="630" w:type="dxa"/>
          </w:tcPr>
          <w:p>
            <w:pPr>
              <w:pStyle w:val="34"/>
              <w:spacing w:before="4"/>
              <w:ind w:right="163"/>
              <w:jc w:val="right"/>
              <w:rPr>
                <w:sz w:val="28"/>
              </w:rPr>
            </w:pPr>
            <w:r>
              <w:rPr>
                <w:w w:val="99"/>
                <w:sz w:val="28"/>
              </w:rPr>
              <w:t xml:space="preserve"> </w:t>
            </w:r>
          </w:p>
        </w:tc>
        <w:tc>
          <w:tcPr>
            <w:tcW w:w="525" w:type="dxa"/>
          </w:tcPr>
          <w:p>
            <w:pPr>
              <w:pStyle w:val="34"/>
              <w:spacing w:before="4"/>
              <w:ind w:right="112"/>
              <w:jc w:val="right"/>
              <w:rPr>
                <w:sz w:val="28"/>
              </w:rPr>
            </w:pPr>
            <w:r>
              <w:rPr>
                <w:w w:val="99"/>
                <w:sz w:val="28"/>
              </w:rPr>
              <w:t xml:space="preserve"> </w:t>
            </w:r>
          </w:p>
        </w:tc>
        <w:tc>
          <w:tcPr>
            <w:tcW w:w="734" w:type="dxa"/>
          </w:tcPr>
          <w:p>
            <w:pPr>
              <w:pStyle w:val="34"/>
              <w:spacing w:before="4"/>
              <w:ind w:right="216"/>
              <w:jc w:val="right"/>
              <w:rPr>
                <w:sz w:val="28"/>
              </w:rPr>
            </w:pPr>
            <w:r>
              <w:rPr>
                <w:w w:val="99"/>
                <w:sz w:val="28"/>
              </w:rPr>
              <w:t xml:space="preserve"> </w:t>
            </w:r>
          </w:p>
        </w:tc>
        <w:tc>
          <w:tcPr>
            <w:tcW w:w="840" w:type="dxa"/>
          </w:tcPr>
          <w:p>
            <w:pPr>
              <w:pStyle w:val="34"/>
              <w:spacing w:before="4"/>
              <w:ind w:right="266"/>
              <w:jc w:val="right"/>
              <w:rPr>
                <w:sz w:val="28"/>
              </w:rPr>
            </w:pPr>
            <w:r>
              <w:rPr>
                <w:w w:val="99"/>
                <w:sz w:val="28"/>
              </w:rPr>
              <w:t xml:space="preserve"> </w:t>
            </w:r>
          </w:p>
        </w:tc>
        <w:tc>
          <w:tcPr>
            <w:tcW w:w="840" w:type="dxa"/>
          </w:tcPr>
          <w:p>
            <w:pPr>
              <w:pStyle w:val="34"/>
              <w:spacing w:before="4"/>
              <w:ind w:right="266"/>
              <w:jc w:val="right"/>
              <w:rPr>
                <w:sz w:val="28"/>
              </w:rPr>
            </w:pPr>
            <w:r>
              <w:rPr>
                <w:w w:val="99"/>
                <w:sz w:val="28"/>
              </w:rPr>
              <w:t xml:space="preserve"> </w:t>
            </w:r>
          </w:p>
        </w:tc>
        <w:tc>
          <w:tcPr>
            <w:tcW w:w="735" w:type="dxa"/>
          </w:tcPr>
          <w:p>
            <w:pPr>
              <w:pStyle w:val="34"/>
              <w:spacing w:before="4"/>
              <w:ind w:right="215"/>
              <w:jc w:val="right"/>
              <w:rPr>
                <w:sz w:val="28"/>
              </w:rPr>
            </w:pPr>
            <w:r>
              <w:rPr>
                <w:w w:val="99"/>
                <w:sz w:val="28"/>
              </w:rPr>
              <w:t xml:space="preserve"> </w:t>
            </w:r>
          </w:p>
        </w:tc>
        <w:tc>
          <w:tcPr>
            <w:tcW w:w="944" w:type="dxa"/>
          </w:tcPr>
          <w:p>
            <w:pPr>
              <w:pStyle w:val="34"/>
              <w:spacing w:before="4"/>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4" w:hRule="atLeast"/>
        </w:trPr>
        <w:tc>
          <w:tcPr>
            <w:tcW w:w="480" w:type="dxa"/>
          </w:tcPr>
          <w:p>
            <w:pPr>
              <w:pStyle w:val="34"/>
              <w:spacing w:before="4"/>
              <w:ind w:right="89"/>
              <w:jc w:val="right"/>
              <w:rPr>
                <w:sz w:val="28"/>
              </w:rPr>
            </w:pPr>
            <w:r>
              <w:rPr>
                <w:w w:val="99"/>
                <w:sz w:val="28"/>
              </w:rPr>
              <w:t xml:space="preserve"> </w:t>
            </w:r>
          </w:p>
        </w:tc>
        <w:tc>
          <w:tcPr>
            <w:tcW w:w="1154" w:type="dxa"/>
          </w:tcPr>
          <w:p>
            <w:pPr>
              <w:pStyle w:val="34"/>
              <w:spacing w:before="4"/>
              <w:ind w:right="426"/>
              <w:jc w:val="right"/>
              <w:rPr>
                <w:sz w:val="28"/>
              </w:rPr>
            </w:pPr>
            <w:r>
              <w:rPr>
                <w:w w:val="99"/>
                <w:sz w:val="28"/>
              </w:rPr>
              <w:t xml:space="preserve"> </w:t>
            </w:r>
          </w:p>
        </w:tc>
        <w:tc>
          <w:tcPr>
            <w:tcW w:w="1050" w:type="dxa"/>
          </w:tcPr>
          <w:p>
            <w:pPr>
              <w:pStyle w:val="34"/>
              <w:spacing w:before="4"/>
              <w:ind w:right="373"/>
              <w:jc w:val="right"/>
              <w:rPr>
                <w:sz w:val="28"/>
              </w:rPr>
            </w:pPr>
            <w:r>
              <w:rPr>
                <w:w w:val="99"/>
                <w:sz w:val="28"/>
              </w:rPr>
              <w:t xml:space="preserve"> </w:t>
            </w:r>
          </w:p>
        </w:tc>
        <w:tc>
          <w:tcPr>
            <w:tcW w:w="630" w:type="dxa"/>
          </w:tcPr>
          <w:p>
            <w:pPr>
              <w:pStyle w:val="34"/>
              <w:spacing w:before="4"/>
              <w:ind w:right="163"/>
              <w:jc w:val="right"/>
              <w:rPr>
                <w:sz w:val="28"/>
              </w:rPr>
            </w:pPr>
            <w:r>
              <w:rPr>
                <w:w w:val="99"/>
                <w:sz w:val="28"/>
              </w:rPr>
              <w:t xml:space="preserve"> </w:t>
            </w:r>
          </w:p>
        </w:tc>
        <w:tc>
          <w:tcPr>
            <w:tcW w:w="525" w:type="dxa"/>
          </w:tcPr>
          <w:p>
            <w:pPr>
              <w:pStyle w:val="34"/>
              <w:spacing w:before="4"/>
              <w:ind w:right="112"/>
              <w:jc w:val="right"/>
              <w:rPr>
                <w:sz w:val="28"/>
              </w:rPr>
            </w:pPr>
            <w:r>
              <w:rPr>
                <w:w w:val="99"/>
                <w:sz w:val="28"/>
              </w:rPr>
              <w:t xml:space="preserve"> </w:t>
            </w:r>
          </w:p>
        </w:tc>
        <w:tc>
          <w:tcPr>
            <w:tcW w:w="734" w:type="dxa"/>
          </w:tcPr>
          <w:p>
            <w:pPr>
              <w:pStyle w:val="34"/>
              <w:spacing w:before="4"/>
              <w:ind w:right="216"/>
              <w:jc w:val="right"/>
              <w:rPr>
                <w:sz w:val="28"/>
              </w:rPr>
            </w:pPr>
            <w:r>
              <w:rPr>
                <w:w w:val="99"/>
                <w:sz w:val="28"/>
              </w:rPr>
              <w:t xml:space="preserve"> </w:t>
            </w:r>
          </w:p>
        </w:tc>
        <w:tc>
          <w:tcPr>
            <w:tcW w:w="840" w:type="dxa"/>
          </w:tcPr>
          <w:p>
            <w:pPr>
              <w:pStyle w:val="34"/>
              <w:spacing w:before="4"/>
              <w:ind w:right="266"/>
              <w:jc w:val="right"/>
              <w:rPr>
                <w:sz w:val="28"/>
              </w:rPr>
            </w:pPr>
            <w:r>
              <w:rPr>
                <w:w w:val="99"/>
                <w:sz w:val="28"/>
              </w:rPr>
              <w:t xml:space="preserve"> </w:t>
            </w:r>
          </w:p>
        </w:tc>
        <w:tc>
          <w:tcPr>
            <w:tcW w:w="840" w:type="dxa"/>
          </w:tcPr>
          <w:p>
            <w:pPr>
              <w:pStyle w:val="34"/>
              <w:spacing w:before="4"/>
              <w:ind w:right="266"/>
              <w:jc w:val="right"/>
              <w:rPr>
                <w:sz w:val="28"/>
              </w:rPr>
            </w:pPr>
            <w:r>
              <w:rPr>
                <w:w w:val="99"/>
                <w:sz w:val="28"/>
              </w:rPr>
              <w:t xml:space="preserve"> </w:t>
            </w:r>
          </w:p>
        </w:tc>
        <w:tc>
          <w:tcPr>
            <w:tcW w:w="735" w:type="dxa"/>
          </w:tcPr>
          <w:p>
            <w:pPr>
              <w:pStyle w:val="34"/>
              <w:spacing w:before="4"/>
              <w:ind w:right="215"/>
              <w:jc w:val="right"/>
              <w:rPr>
                <w:sz w:val="28"/>
              </w:rPr>
            </w:pPr>
            <w:r>
              <w:rPr>
                <w:w w:val="99"/>
                <w:sz w:val="28"/>
              </w:rPr>
              <w:t xml:space="preserve"> </w:t>
            </w:r>
          </w:p>
        </w:tc>
        <w:tc>
          <w:tcPr>
            <w:tcW w:w="944" w:type="dxa"/>
          </w:tcPr>
          <w:p>
            <w:pPr>
              <w:pStyle w:val="34"/>
              <w:spacing w:before="4"/>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5" w:hRule="atLeast"/>
        </w:trPr>
        <w:tc>
          <w:tcPr>
            <w:tcW w:w="480" w:type="dxa"/>
          </w:tcPr>
          <w:p>
            <w:pPr>
              <w:pStyle w:val="34"/>
              <w:spacing w:before="4"/>
              <w:ind w:right="89"/>
              <w:jc w:val="right"/>
              <w:rPr>
                <w:sz w:val="28"/>
              </w:rPr>
            </w:pPr>
            <w:r>
              <w:rPr>
                <w:w w:val="99"/>
                <w:sz w:val="28"/>
              </w:rPr>
              <w:t xml:space="preserve"> </w:t>
            </w:r>
          </w:p>
        </w:tc>
        <w:tc>
          <w:tcPr>
            <w:tcW w:w="1154" w:type="dxa"/>
          </w:tcPr>
          <w:p>
            <w:pPr>
              <w:pStyle w:val="34"/>
              <w:spacing w:before="4"/>
              <w:ind w:right="426"/>
              <w:jc w:val="right"/>
              <w:rPr>
                <w:sz w:val="28"/>
              </w:rPr>
            </w:pPr>
            <w:r>
              <w:rPr>
                <w:w w:val="99"/>
                <w:sz w:val="28"/>
              </w:rPr>
              <w:t xml:space="preserve"> </w:t>
            </w:r>
          </w:p>
        </w:tc>
        <w:tc>
          <w:tcPr>
            <w:tcW w:w="1050" w:type="dxa"/>
          </w:tcPr>
          <w:p>
            <w:pPr>
              <w:pStyle w:val="34"/>
              <w:spacing w:before="4"/>
              <w:ind w:right="373"/>
              <w:jc w:val="right"/>
              <w:rPr>
                <w:sz w:val="28"/>
              </w:rPr>
            </w:pPr>
            <w:r>
              <w:rPr>
                <w:w w:val="99"/>
                <w:sz w:val="28"/>
              </w:rPr>
              <w:t xml:space="preserve"> </w:t>
            </w:r>
          </w:p>
        </w:tc>
        <w:tc>
          <w:tcPr>
            <w:tcW w:w="630" w:type="dxa"/>
          </w:tcPr>
          <w:p>
            <w:pPr>
              <w:pStyle w:val="34"/>
              <w:spacing w:before="4"/>
              <w:ind w:right="163"/>
              <w:jc w:val="right"/>
              <w:rPr>
                <w:sz w:val="28"/>
              </w:rPr>
            </w:pPr>
            <w:r>
              <w:rPr>
                <w:w w:val="99"/>
                <w:sz w:val="28"/>
              </w:rPr>
              <w:t xml:space="preserve"> </w:t>
            </w:r>
          </w:p>
        </w:tc>
        <w:tc>
          <w:tcPr>
            <w:tcW w:w="525" w:type="dxa"/>
          </w:tcPr>
          <w:p>
            <w:pPr>
              <w:pStyle w:val="34"/>
              <w:spacing w:before="4"/>
              <w:ind w:right="112"/>
              <w:jc w:val="right"/>
              <w:rPr>
                <w:sz w:val="28"/>
              </w:rPr>
            </w:pPr>
            <w:r>
              <w:rPr>
                <w:w w:val="99"/>
                <w:sz w:val="28"/>
              </w:rPr>
              <w:t xml:space="preserve"> </w:t>
            </w:r>
          </w:p>
        </w:tc>
        <w:tc>
          <w:tcPr>
            <w:tcW w:w="734" w:type="dxa"/>
          </w:tcPr>
          <w:p>
            <w:pPr>
              <w:pStyle w:val="34"/>
              <w:spacing w:before="4"/>
              <w:ind w:right="216"/>
              <w:jc w:val="right"/>
              <w:rPr>
                <w:sz w:val="28"/>
              </w:rPr>
            </w:pPr>
            <w:r>
              <w:rPr>
                <w:w w:val="99"/>
                <w:sz w:val="28"/>
              </w:rPr>
              <w:t xml:space="preserve"> </w:t>
            </w:r>
          </w:p>
        </w:tc>
        <w:tc>
          <w:tcPr>
            <w:tcW w:w="840" w:type="dxa"/>
          </w:tcPr>
          <w:p>
            <w:pPr>
              <w:pStyle w:val="34"/>
              <w:spacing w:before="4"/>
              <w:ind w:right="266"/>
              <w:jc w:val="right"/>
              <w:rPr>
                <w:sz w:val="28"/>
              </w:rPr>
            </w:pPr>
            <w:r>
              <w:rPr>
                <w:w w:val="99"/>
                <w:sz w:val="28"/>
              </w:rPr>
              <w:t xml:space="preserve"> </w:t>
            </w:r>
          </w:p>
        </w:tc>
        <w:tc>
          <w:tcPr>
            <w:tcW w:w="840" w:type="dxa"/>
          </w:tcPr>
          <w:p>
            <w:pPr>
              <w:pStyle w:val="34"/>
              <w:spacing w:before="4"/>
              <w:ind w:right="266"/>
              <w:jc w:val="right"/>
              <w:rPr>
                <w:sz w:val="28"/>
              </w:rPr>
            </w:pPr>
            <w:r>
              <w:rPr>
                <w:w w:val="99"/>
                <w:sz w:val="28"/>
              </w:rPr>
              <w:t xml:space="preserve"> </w:t>
            </w:r>
          </w:p>
        </w:tc>
        <w:tc>
          <w:tcPr>
            <w:tcW w:w="735" w:type="dxa"/>
          </w:tcPr>
          <w:p>
            <w:pPr>
              <w:pStyle w:val="34"/>
              <w:spacing w:before="4"/>
              <w:ind w:right="215"/>
              <w:jc w:val="right"/>
              <w:rPr>
                <w:sz w:val="28"/>
              </w:rPr>
            </w:pPr>
            <w:r>
              <w:rPr>
                <w:w w:val="99"/>
                <w:sz w:val="28"/>
              </w:rPr>
              <w:t xml:space="preserve"> </w:t>
            </w:r>
          </w:p>
        </w:tc>
        <w:tc>
          <w:tcPr>
            <w:tcW w:w="944" w:type="dxa"/>
          </w:tcPr>
          <w:p>
            <w:pPr>
              <w:pStyle w:val="34"/>
              <w:spacing w:before="4"/>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480" w:type="dxa"/>
          </w:tcPr>
          <w:p>
            <w:pPr>
              <w:pStyle w:val="34"/>
              <w:spacing w:before="3"/>
              <w:ind w:right="89"/>
              <w:jc w:val="right"/>
              <w:rPr>
                <w:sz w:val="28"/>
              </w:rPr>
            </w:pPr>
            <w:r>
              <w:rPr>
                <w:w w:val="99"/>
                <w:sz w:val="28"/>
              </w:rPr>
              <w:t xml:space="preserve"> </w:t>
            </w:r>
          </w:p>
        </w:tc>
        <w:tc>
          <w:tcPr>
            <w:tcW w:w="1154" w:type="dxa"/>
          </w:tcPr>
          <w:p>
            <w:pPr>
              <w:pStyle w:val="34"/>
              <w:spacing w:before="3"/>
              <w:ind w:right="426"/>
              <w:jc w:val="right"/>
              <w:rPr>
                <w:sz w:val="28"/>
              </w:rPr>
            </w:pPr>
            <w:r>
              <w:rPr>
                <w:w w:val="99"/>
                <w:sz w:val="28"/>
              </w:rPr>
              <w:t xml:space="preserve"> </w:t>
            </w:r>
          </w:p>
        </w:tc>
        <w:tc>
          <w:tcPr>
            <w:tcW w:w="1050" w:type="dxa"/>
          </w:tcPr>
          <w:p>
            <w:pPr>
              <w:pStyle w:val="34"/>
              <w:spacing w:before="3"/>
              <w:ind w:right="373"/>
              <w:jc w:val="right"/>
              <w:rPr>
                <w:sz w:val="28"/>
              </w:rPr>
            </w:pPr>
            <w:r>
              <w:rPr>
                <w:w w:val="99"/>
                <w:sz w:val="28"/>
              </w:rPr>
              <w:t xml:space="preserve"> </w:t>
            </w:r>
          </w:p>
        </w:tc>
        <w:tc>
          <w:tcPr>
            <w:tcW w:w="630" w:type="dxa"/>
          </w:tcPr>
          <w:p>
            <w:pPr>
              <w:pStyle w:val="34"/>
              <w:spacing w:before="3"/>
              <w:ind w:right="163"/>
              <w:jc w:val="right"/>
              <w:rPr>
                <w:sz w:val="28"/>
              </w:rPr>
            </w:pPr>
            <w:r>
              <w:rPr>
                <w:w w:val="99"/>
                <w:sz w:val="28"/>
              </w:rPr>
              <w:t xml:space="preserve"> </w:t>
            </w:r>
          </w:p>
        </w:tc>
        <w:tc>
          <w:tcPr>
            <w:tcW w:w="525" w:type="dxa"/>
          </w:tcPr>
          <w:p>
            <w:pPr>
              <w:pStyle w:val="34"/>
              <w:spacing w:before="3"/>
              <w:ind w:right="112"/>
              <w:jc w:val="right"/>
              <w:rPr>
                <w:sz w:val="28"/>
              </w:rPr>
            </w:pPr>
            <w:r>
              <w:rPr>
                <w:w w:val="99"/>
                <w:sz w:val="28"/>
              </w:rPr>
              <w:t xml:space="preserve"> </w:t>
            </w:r>
          </w:p>
        </w:tc>
        <w:tc>
          <w:tcPr>
            <w:tcW w:w="734" w:type="dxa"/>
          </w:tcPr>
          <w:p>
            <w:pPr>
              <w:pStyle w:val="34"/>
              <w:spacing w:before="3"/>
              <w:ind w:right="21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840" w:type="dxa"/>
          </w:tcPr>
          <w:p>
            <w:pPr>
              <w:pStyle w:val="34"/>
              <w:spacing w:before="3"/>
              <w:ind w:right="266"/>
              <w:jc w:val="right"/>
              <w:rPr>
                <w:sz w:val="28"/>
              </w:rPr>
            </w:pPr>
            <w:r>
              <w:rPr>
                <w:w w:val="99"/>
                <w:sz w:val="28"/>
              </w:rPr>
              <w:t xml:space="preserve"> </w:t>
            </w:r>
          </w:p>
        </w:tc>
        <w:tc>
          <w:tcPr>
            <w:tcW w:w="735" w:type="dxa"/>
          </w:tcPr>
          <w:p>
            <w:pPr>
              <w:pStyle w:val="34"/>
              <w:spacing w:before="3"/>
              <w:ind w:right="215"/>
              <w:jc w:val="right"/>
              <w:rPr>
                <w:sz w:val="28"/>
              </w:rPr>
            </w:pPr>
            <w:r>
              <w:rPr>
                <w:w w:val="99"/>
                <w:sz w:val="28"/>
              </w:rPr>
              <w:t xml:space="preserve"> </w:t>
            </w:r>
          </w:p>
        </w:tc>
        <w:tc>
          <w:tcPr>
            <w:tcW w:w="944" w:type="dxa"/>
          </w:tcPr>
          <w:p>
            <w:pPr>
              <w:pStyle w:val="34"/>
              <w:spacing w:before="3"/>
              <w:ind w:left="151"/>
              <w:jc w:val="center"/>
              <w:rPr>
                <w:sz w:val="28"/>
              </w:rPr>
            </w:pPr>
            <w:r>
              <w:rPr>
                <w:w w:val="99"/>
                <w:sz w:val="28"/>
              </w:rPr>
              <w:t xml:space="preserve"> </w:t>
            </w:r>
          </w:p>
        </w:tc>
      </w:tr>
    </w:tbl>
    <w:p>
      <w:pPr>
        <w:pStyle w:val="8"/>
        <w:spacing w:before="1" w:line="364" w:lineRule="auto"/>
        <w:ind w:left="838" w:right="1792"/>
        <w:sectPr>
          <w:pgSz w:w="11910" w:h="16840"/>
          <w:pgMar w:top="1180" w:right="0" w:bottom="280" w:left="960" w:header="873" w:footer="0" w:gutter="0"/>
          <w:cols w:space="720" w:num="1"/>
        </w:sectPr>
      </w:pPr>
      <w:r>
        <w:rPr>
          <w:rFonts w:hint="eastAsia"/>
        </w:rPr>
        <w:t>备注：除合同另有约定外，本表所列发包人供应材料和工程设备的数量不考虑施工损耗，施工损耗被认为已经包括在承包人的投标价格中。</w:t>
      </w:r>
    </w:p>
    <w:p>
      <w:pPr>
        <w:pStyle w:val="8"/>
        <w:rPr>
          <w:sz w:val="20"/>
        </w:rPr>
      </w:pPr>
      <w:bookmarkStart w:id="102" w:name="_bookmark178"/>
      <w:bookmarkEnd w:id="102"/>
      <w:bookmarkStart w:id="103" w:name="_bookmark179"/>
      <w:bookmarkEnd w:id="103"/>
    </w:p>
    <w:p>
      <w:pPr>
        <w:pStyle w:val="8"/>
        <w:rPr>
          <w:sz w:val="15"/>
        </w:rPr>
      </w:pPr>
    </w:p>
    <w:p>
      <w:pPr>
        <w:pStyle w:val="7"/>
        <w:ind w:left="838"/>
      </w:pPr>
      <w:bookmarkStart w:id="104" w:name="_bookmark180"/>
      <w:bookmarkEnd w:id="104"/>
      <w:r>
        <w:rPr>
          <w:rFonts w:hint="eastAsia"/>
        </w:rPr>
        <w:t>附件</w:t>
      </w:r>
      <w:r>
        <w:rPr>
          <w:rFonts w:hint="eastAsia"/>
          <w:lang w:eastAsia="zh-CN"/>
        </w:rPr>
        <w:t>四</w:t>
      </w:r>
      <w:r>
        <w:rPr>
          <w:rFonts w:hint="eastAsia"/>
        </w:rPr>
        <w:t>：质量保修书格式</w:t>
      </w:r>
      <w:r>
        <w:t xml:space="preserve"> </w:t>
      </w:r>
    </w:p>
    <w:p>
      <w:pPr>
        <w:pStyle w:val="8"/>
        <w:rPr>
          <w:sz w:val="14"/>
        </w:rPr>
      </w:pPr>
    </w:p>
    <w:p>
      <w:pPr>
        <w:spacing w:before="60"/>
        <w:ind w:right="254"/>
        <w:jc w:val="center"/>
        <w:rPr>
          <w:b/>
          <w:sz w:val="28"/>
        </w:rPr>
      </w:pPr>
      <w:r>
        <w:rPr>
          <w:rFonts w:hint="eastAsia"/>
          <w:b/>
          <w:sz w:val="28"/>
        </w:rPr>
        <w:t>房屋建筑工程质量保修书</w:t>
      </w:r>
      <w:r>
        <w:rPr>
          <w:b/>
          <w:w w:val="99"/>
          <w:sz w:val="28"/>
        </w:rPr>
        <w:t xml:space="preserve"> </w:t>
      </w:r>
    </w:p>
    <w:p>
      <w:pPr>
        <w:pStyle w:val="8"/>
        <w:spacing w:before="184"/>
        <w:ind w:left="838"/>
      </w:pPr>
      <w:r>
        <w:t xml:space="preserve"> </w:t>
      </w:r>
    </w:p>
    <w:p>
      <w:pPr>
        <w:pStyle w:val="8"/>
        <w:spacing w:before="139" w:line="364" w:lineRule="auto"/>
        <w:ind w:left="838" w:right="2234"/>
      </w:pPr>
      <w:r>
        <w:rPr>
          <w:rFonts w:hint="eastAsia"/>
        </w:rPr>
        <w:t>发包人：</w:t>
      </w:r>
      <w:r>
        <w:rPr>
          <w:u w:val="single"/>
        </w:rPr>
        <w:t xml:space="preserve">                                                                 </w:t>
      </w:r>
      <w:r>
        <w:t xml:space="preserve"> </w:t>
      </w:r>
      <w:r>
        <w:rPr>
          <w:rFonts w:hint="eastAsia"/>
        </w:rPr>
        <w:t>承包人：</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t xml:space="preserve"> </w:t>
      </w:r>
    </w:p>
    <w:p>
      <w:pPr>
        <w:pStyle w:val="8"/>
        <w:spacing w:line="268" w:lineRule="exact"/>
        <w:ind w:left="1326"/>
      </w:pPr>
      <w:r>
        <w:t xml:space="preserve"> </w:t>
      </w:r>
    </w:p>
    <w:p>
      <w:pPr>
        <w:pStyle w:val="8"/>
        <w:spacing w:before="141" w:line="364" w:lineRule="auto"/>
        <w:ind w:left="838" w:right="1794" w:firstLine="420"/>
        <w:jc w:val="both"/>
      </w:pPr>
      <w:r>
        <w:rPr>
          <w:rFonts w:hint="eastAsia"/>
          <w:spacing w:val="-11"/>
        </w:rPr>
        <w:t>发包人、承包人根据《中华人民共和国建筑法》</w:t>
      </w:r>
      <w:r>
        <w:rPr>
          <w:rFonts w:hint="eastAsia"/>
          <w:spacing w:val="-14"/>
        </w:rPr>
        <w:t>、《建设工程质量管理条例》和《房屋建</w:t>
      </w:r>
      <w:r>
        <w:rPr>
          <w:rFonts w:hint="eastAsia"/>
          <w:spacing w:val="-13"/>
        </w:rPr>
        <w:t>筑工程质量保修办法》，经协商一致，对</w:t>
      </w:r>
      <w:r>
        <w:rPr>
          <w:spacing w:val="3"/>
          <w:u w:val="single"/>
        </w:rPr>
        <w:t xml:space="preserve">                         </w:t>
      </w:r>
      <w:r>
        <w:rPr>
          <w:rFonts w:hint="eastAsia"/>
        </w:rPr>
        <w:t>（工程名称</w:t>
      </w:r>
      <w:r>
        <w:rPr>
          <w:rFonts w:hint="eastAsia"/>
          <w:spacing w:val="-22"/>
        </w:rPr>
        <w:t>）</w:t>
      </w:r>
      <w:r>
        <w:rPr>
          <w:rFonts w:hint="eastAsia"/>
          <w:spacing w:val="-5"/>
        </w:rPr>
        <w:t>签订保</w:t>
      </w:r>
      <w:r>
        <w:rPr>
          <w:rFonts w:hint="eastAsia"/>
        </w:rPr>
        <w:t>修书。</w:t>
      </w:r>
      <w:r>
        <w:t xml:space="preserve"> </w:t>
      </w:r>
    </w:p>
    <w:p>
      <w:pPr>
        <w:pStyle w:val="8"/>
        <w:spacing w:line="267" w:lineRule="exact"/>
        <w:ind w:left="1258"/>
      </w:pPr>
      <w:r>
        <w:rPr>
          <w:rFonts w:hint="eastAsia"/>
        </w:rPr>
        <w:t>一、工程保修范围和内容</w:t>
      </w:r>
      <w:r>
        <w:t xml:space="preserve"> </w:t>
      </w:r>
    </w:p>
    <w:p>
      <w:pPr>
        <w:pStyle w:val="8"/>
        <w:spacing w:before="138" w:line="364" w:lineRule="auto"/>
        <w:ind w:left="838" w:right="1793" w:firstLine="420"/>
      </w:pPr>
      <w:r>
        <w:rPr>
          <w:rFonts w:hint="eastAsia"/>
          <w:spacing w:val="-8"/>
        </w:rPr>
        <w:t>承包人在保修期内，按照有关法律、法规、规章的管理规定和双方约定，承担本工程保</w:t>
      </w:r>
      <w:r>
        <w:rPr>
          <w:rFonts w:hint="eastAsia"/>
        </w:rPr>
        <w:t>修责任。</w:t>
      </w:r>
      <w:r>
        <w:t xml:space="preserve"> </w:t>
      </w:r>
    </w:p>
    <w:p>
      <w:pPr>
        <w:pStyle w:val="8"/>
        <w:spacing w:line="364" w:lineRule="auto"/>
        <w:ind w:left="838" w:right="1689" w:firstLine="420"/>
        <w:jc w:val="both"/>
      </w:pPr>
      <w:r>
        <w:rPr>
          <w:rFonts w:hint="eastAsia"/>
          <w:spacing w:val="-11"/>
        </w:rPr>
        <w:t>保修责任范围包括地基基础工程、主体结构工程，屋面防水工程、有防水要求的卫生间、</w:t>
      </w:r>
      <w:r>
        <w:rPr>
          <w:rFonts w:hint="eastAsia"/>
        </w:rPr>
        <w:t>房间和外墙面的防渗漏，供热与供冷系统，电气管线、给排水管道、设备安装和装修工程，</w:t>
      </w:r>
      <w:r>
        <w:t xml:space="preserve"> </w:t>
      </w:r>
      <w:r>
        <w:rPr>
          <w:rFonts w:hint="eastAsia"/>
        </w:rPr>
        <w:t>以及双方约定的其他项目。具体保修的内容，双方约定如下：</w:t>
      </w:r>
      <w:r>
        <w:t xml:space="preserve"> </w:t>
      </w:r>
    </w:p>
    <w:p>
      <w:pPr>
        <w:pStyle w:val="8"/>
        <w:spacing w:line="267" w:lineRule="exact"/>
        <w:ind w:left="838"/>
      </w:pP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t xml:space="preserve">        </w:t>
      </w:r>
      <w:r>
        <w:rPr>
          <w:spacing w:val="-2"/>
        </w:rPr>
        <w:t xml:space="preserve"> </w:t>
      </w:r>
      <w:r>
        <w:t xml:space="preserve">      </w:t>
      </w:r>
    </w:p>
    <w:p>
      <w:pPr>
        <w:pStyle w:val="8"/>
        <w:spacing w:before="140"/>
        <w:ind w:left="838"/>
      </w:pP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t xml:space="preserve">     </w:t>
      </w:r>
      <w:r>
        <w:rPr>
          <w:spacing w:val="-1"/>
        </w:rPr>
        <w:t xml:space="preserve"> </w:t>
      </w:r>
      <w:r>
        <w:t xml:space="preserve">           </w:t>
      </w:r>
    </w:p>
    <w:p>
      <w:pPr>
        <w:pStyle w:val="8"/>
        <w:spacing w:before="139"/>
        <w:ind w:left="838"/>
      </w:pP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p>
    <w:p>
      <w:pPr>
        <w:pStyle w:val="8"/>
        <w:spacing w:before="140"/>
        <w:ind w:left="838"/>
      </w:pP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rFonts w:hint="eastAsia"/>
          <w:spacing w:val="-88"/>
        </w:rPr>
        <w:t>。</w:t>
      </w:r>
      <w:r>
        <w:t xml:space="preserve"> </w:t>
      </w:r>
    </w:p>
    <w:p>
      <w:pPr>
        <w:pStyle w:val="8"/>
        <w:spacing w:before="139"/>
        <w:ind w:left="1258"/>
      </w:pPr>
      <w:r>
        <w:rPr>
          <w:rFonts w:hint="eastAsia"/>
        </w:rPr>
        <w:t>二、保修期</w:t>
      </w:r>
      <w:r>
        <w:t xml:space="preserve"> </w:t>
      </w:r>
    </w:p>
    <w:p>
      <w:pPr>
        <w:pStyle w:val="8"/>
        <w:spacing w:before="140" w:line="364" w:lineRule="auto"/>
        <w:ind w:left="1258" w:right="2440"/>
      </w:pPr>
      <w:r>
        <w:rPr>
          <w:rFonts w:hint="eastAsia"/>
        </w:rPr>
        <w:t>双方根据《建设工程质量管理条例》及有关规定，约定本工程的保修期如下：</w:t>
      </w:r>
      <w:r>
        <w:t xml:space="preserve"> </w:t>
      </w:r>
      <w:r>
        <w:rPr>
          <w:rFonts w:hint="eastAsia"/>
        </w:rPr>
        <w:t>地基基础工程和主体结构工程为设计文件规定的该工程合理使用年限；</w:t>
      </w:r>
      <w:r>
        <w:t xml:space="preserve"> </w:t>
      </w:r>
    </w:p>
    <w:p>
      <w:pPr>
        <w:pStyle w:val="8"/>
        <w:spacing w:line="364" w:lineRule="auto"/>
        <w:ind w:left="1258" w:right="2441"/>
      </w:pPr>
      <w:r>
        <w:rPr>
          <w:rFonts w:hint="eastAsia"/>
        </w:rPr>
        <w:t>屋面防水工程、有防水要求的卫生间、房间和外墙面的防渗漏为</w:t>
      </w:r>
      <w:r>
        <w:rPr>
          <w:spacing w:val="17"/>
          <w:u w:val="single"/>
        </w:rPr>
        <w:t xml:space="preserve">      </w:t>
      </w:r>
      <w:r>
        <w:rPr>
          <w:rFonts w:hint="eastAsia"/>
        </w:rPr>
        <w:t>年；</w:t>
      </w:r>
      <w:r>
        <w:t xml:space="preserve"> </w:t>
      </w:r>
      <w:r>
        <w:rPr>
          <w:rFonts w:hint="eastAsia"/>
        </w:rPr>
        <w:t>外窗工程为</w:t>
      </w:r>
      <w:r>
        <w:rPr>
          <w:spacing w:val="104"/>
          <w:u w:val="single"/>
        </w:rPr>
        <w:t xml:space="preserve"> </w:t>
      </w:r>
      <w:r>
        <w:rPr>
          <w:rFonts w:hint="eastAsia"/>
        </w:rPr>
        <w:t>年，外窗防渗漏为</w:t>
      </w:r>
      <w:r>
        <w:rPr>
          <w:spacing w:val="103"/>
          <w:u w:val="single"/>
        </w:rPr>
        <w:t xml:space="preserve"> </w:t>
      </w:r>
      <w:r>
        <w:rPr>
          <w:rFonts w:hint="eastAsia"/>
        </w:rPr>
        <w:t>年；</w:t>
      </w:r>
      <w:r>
        <w:t xml:space="preserve"> </w:t>
      </w:r>
    </w:p>
    <w:p>
      <w:pPr>
        <w:pStyle w:val="8"/>
        <w:spacing w:line="268" w:lineRule="exact"/>
        <w:ind w:left="1258"/>
      </w:pPr>
      <w:r>
        <w:rPr>
          <w:rFonts w:hint="eastAsia"/>
        </w:rPr>
        <w:t>装</w:t>
      </w:r>
      <w:r>
        <w:t xml:space="preserve"> </w:t>
      </w:r>
      <w:r>
        <w:rPr>
          <w:rFonts w:hint="eastAsia"/>
        </w:rPr>
        <w:t>修</w:t>
      </w:r>
      <w:r>
        <w:t xml:space="preserve"> </w:t>
      </w:r>
      <w:r>
        <w:rPr>
          <w:rFonts w:hint="eastAsia"/>
        </w:rPr>
        <w:t>工</w:t>
      </w:r>
      <w:r>
        <w:t xml:space="preserve"> </w:t>
      </w:r>
      <w:r>
        <w:rPr>
          <w:rFonts w:hint="eastAsia"/>
        </w:rPr>
        <w:t>程</w:t>
      </w:r>
      <w:r>
        <w:t xml:space="preserve"> </w:t>
      </w:r>
      <w:r>
        <w:rPr>
          <w:rFonts w:hint="eastAsia"/>
        </w:rPr>
        <w:t>为</w:t>
      </w:r>
      <w:r>
        <w:rPr>
          <w:spacing w:val="104"/>
          <w:u w:val="single"/>
        </w:rPr>
        <w:t xml:space="preserve"> </w:t>
      </w:r>
      <w:r>
        <w:rPr>
          <w:rFonts w:hint="eastAsia"/>
        </w:rPr>
        <w:t>年</w:t>
      </w:r>
      <w:r>
        <w:t xml:space="preserve"> </w:t>
      </w:r>
      <w:r>
        <w:rPr>
          <w:rFonts w:hint="eastAsia"/>
        </w:rPr>
        <w:t>；</w:t>
      </w:r>
      <w:r>
        <w:t xml:space="preserve"> </w:t>
      </w:r>
    </w:p>
    <w:p>
      <w:pPr>
        <w:pStyle w:val="8"/>
        <w:spacing w:before="139" w:line="364" w:lineRule="auto"/>
        <w:ind w:left="1258" w:right="4332"/>
      </w:pPr>
      <w:r>
        <w:rPr>
          <w:rFonts w:hint="eastAsia"/>
        </w:rPr>
        <w:t>电气管线、给排水管道、设备安装工程为</w:t>
      </w:r>
      <w:r>
        <w:rPr>
          <w:spacing w:val="12"/>
          <w:u w:val="single"/>
        </w:rPr>
        <w:t xml:space="preserve">        </w:t>
      </w:r>
      <w:r>
        <w:rPr>
          <w:rFonts w:hint="eastAsia"/>
        </w:rPr>
        <w:t>年；</w:t>
      </w:r>
      <w:r>
        <w:t xml:space="preserve"> </w:t>
      </w:r>
      <w:r>
        <w:rPr>
          <w:rFonts w:hint="eastAsia"/>
        </w:rPr>
        <w:t>供热与供冷系统为</w:t>
      </w:r>
      <w:r>
        <w:rPr>
          <w:spacing w:val="103"/>
          <w:u w:val="single"/>
        </w:rPr>
        <w:t xml:space="preserve"> </w:t>
      </w:r>
      <w:r>
        <w:rPr>
          <w:rFonts w:hint="eastAsia"/>
        </w:rPr>
        <w:t>个采暖期、供冷期；</w:t>
      </w:r>
      <w:r>
        <w:t xml:space="preserve"> </w:t>
      </w:r>
    </w:p>
    <w:p>
      <w:pPr>
        <w:pStyle w:val="8"/>
        <w:spacing w:line="364" w:lineRule="auto"/>
        <w:ind w:left="1258" w:right="3912"/>
      </w:pPr>
      <w:r>
        <w:rPr>
          <w:rFonts w:hint="eastAsia"/>
        </w:rPr>
        <w:t>住宅小区内的给排水设施、道路等配套工程为</w:t>
      </w:r>
      <w:r>
        <w:rPr>
          <w:spacing w:val="12"/>
          <w:u w:val="single"/>
        </w:rPr>
        <w:t xml:space="preserve">        </w:t>
      </w:r>
      <w:r>
        <w:rPr>
          <w:rFonts w:hint="eastAsia"/>
        </w:rPr>
        <w:t>年；</w:t>
      </w:r>
      <w:r>
        <w:t xml:space="preserve"> </w:t>
      </w:r>
      <w:r>
        <w:rPr>
          <w:rFonts w:hint="eastAsia"/>
        </w:rPr>
        <w:t>其他项目保修期限约定如下：</w:t>
      </w:r>
      <w:r>
        <w:t xml:space="preserve"> </w:t>
      </w:r>
    </w:p>
    <w:p>
      <w:pPr>
        <w:pStyle w:val="8"/>
        <w:spacing w:line="268" w:lineRule="exact"/>
        <w:ind w:left="838"/>
      </w:pPr>
      <w:r>
        <w:rPr>
          <w:u w:val="single"/>
        </w:rPr>
        <w:t xml:space="preserve">                     </w:t>
      </w:r>
      <w:r>
        <w:rPr>
          <w:spacing w:val="-2"/>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t xml:space="preserve">     </w:t>
      </w:r>
      <w:r>
        <w:rPr>
          <w:spacing w:val="-1"/>
        </w:rPr>
        <w:t xml:space="preserve"> </w:t>
      </w:r>
      <w:r>
        <w:t xml:space="preserve">  </w:t>
      </w:r>
      <w:r>
        <w:rPr>
          <w:spacing w:val="-2"/>
        </w:rPr>
        <w:t xml:space="preserve"> </w:t>
      </w:r>
      <w:r>
        <w:t xml:space="preserve">        </w:t>
      </w:r>
    </w:p>
    <w:p>
      <w:pPr>
        <w:pStyle w:val="8"/>
        <w:spacing w:before="138"/>
        <w:ind w:left="838"/>
      </w:pPr>
      <w:r>
        <w:rPr>
          <w:u w:val="single"/>
        </w:rPr>
        <w:t xml:space="preserve">                     </w:t>
      </w:r>
      <w:r>
        <w:rPr>
          <w:spacing w:val="-2"/>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spacing w:val="-1"/>
          <w:u w:val="single"/>
        </w:rPr>
        <w:t xml:space="preserve"> </w:t>
      </w:r>
      <w:r>
        <w:rPr>
          <w:u w:val="single"/>
        </w:rPr>
        <w:t xml:space="preserve">   </w:t>
      </w:r>
      <w:r>
        <w:t xml:space="preserve">        </w:t>
      </w:r>
      <w:r>
        <w:rPr>
          <w:spacing w:val="-2"/>
        </w:rPr>
        <w:t xml:space="preserve"> </w:t>
      </w:r>
      <w:r>
        <w:t xml:space="preserve">   </w:t>
      </w:r>
      <w:r>
        <w:rPr>
          <w:spacing w:val="-1"/>
        </w:rPr>
        <w:t xml:space="preserve"> </w:t>
      </w:r>
      <w:r>
        <w:t xml:space="preserve">    </w:t>
      </w:r>
    </w:p>
    <w:p>
      <w:pPr>
        <w:pStyle w:val="8"/>
        <w:spacing w:before="139"/>
        <w:ind w:left="838"/>
      </w:pP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2"/>
          <w:u w:val="single"/>
        </w:rPr>
        <w:t xml:space="preserve"> </w:t>
      </w:r>
      <w:r>
        <w:rPr>
          <w:u w:val="single"/>
        </w:rPr>
        <w:t xml:space="preserve">             </w:t>
      </w:r>
    </w:p>
    <w:p>
      <w:pPr>
        <w:pStyle w:val="8"/>
        <w:spacing w:before="140"/>
        <w:ind w:left="838"/>
      </w:pPr>
      <w:r>
        <w:rPr>
          <w:u w:val="single"/>
        </w:rPr>
        <w:t xml:space="preserve">                                                     </w:t>
      </w:r>
      <w:r>
        <w:rPr>
          <w:spacing w:val="1"/>
          <w:u w:val="single"/>
        </w:rPr>
        <w:t xml:space="preserve"> </w:t>
      </w:r>
      <w:r>
        <w:rPr>
          <w:u w:val="single"/>
        </w:rPr>
        <w:t xml:space="preserve">                      </w:t>
      </w:r>
      <w:r>
        <w:rPr>
          <w:spacing w:val="1"/>
          <w:u w:val="single"/>
        </w:rPr>
        <w:t xml:space="preserve">  </w:t>
      </w:r>
      <w:r>
        <w:rPr>
          <w:rFonts w:hint="eastAsia"/>
          <w:spacing w:val="-88"/>
        </w:rPr>
        <w:t>。</w:t>
      </w:r>
      <w:r>
        <w:t xml:space="preserve"> </w:t>
      </w:r>
    </w:p>
    <w:p>
      <w:pPr>
        <w:sectPr>
          <w:pgSz w:w="11910" w:h="16840"/>
          <w:pgMar w:top="1160" w:right="0" w:bottom="280" w:left="960" w:header="872" w:footer="0" w:gutter="0"/>
          <w:cols w:space="720" w:num="1"/>
        </w:sectPr>
      </w:pPr>
    </w:p>
    <w:p>
      <w:pPr>
        <w:pStyle w:val="8"/>
        <w:spacing w:before="4"/>
        <w:rPr>
          <w:sz w:val="16"/>
        </w:rPr>
      </w:pPr>
    </w:p>
    <w:p>
      <w:pPr>
        <w:pStyle w:val="8"/>
        <w:spacing w:before="70"/>
        <w:ind w:left="1258"/>
      </w:pPr>
      <w:r>
        <w:rPr>
          <w:rFonts w:hint="eastAsia"/>
        </w:rPr>
        <w:t>三、保修责任</w:t>
      </w:r>
      <w:r>
        <w:t xml:space="preserve"> </w:t>
      </w:r>
    </w:p>
    <w:p>
      <w:pPr>
        <w:pStyle w:val="8"/>
        <w:spacing w:before="139" w:line="364" w:lineRule="auto"/>
        <w:ind w:left="838" w:right="1794" w:firstLine="420"/>
      </w:pPr>
      <w:r>
        <w:t>1</w:t>
      </w:r>
      <w:r>
        <w:rPr>
          <w:rFonts w:hint="eastAsia"/>
          <w:spacing w:val="-2"/>
        </w:rPr>
        <w:t>、属于责任范围、内容的项目，承包人应当在接到保修通知之日起</w:t>
      </w:r>
      <w:r>
        <w:rPr>
          <w:spacing w:val="-2"/>
        </w:rPr>
        <w:t xml:space="preserve"> </w:t>
      </w:r>
      <w:r>
        <w:t>7</w:t>
      </w:r>
      <w:r>
        <w:rPr>
          <w:spacing w:val="-9"/>
        </w:rPr>
        <w:t xml:space="preserve"> </w:t>
      </w:r>
      <w:r>
        <w:rPr>
          <w:rFonts w:hint="eastAsia"/>
          <w:spacing w:val="-9"/>
        </w:rPr>
        <w:t>天内派人保修。</w:t>
      </w:r>
      <w:r>
        <w:rPr>
          <w:rFonts w:hint="eastAsia"/>
        </w:rPr>
        <w:t>承包人不在约定期限内派人保修的，发包人可以委托他人修理。</w:t>
      </w:r>
      <w:r>
        <w:t xml:space="preserve"> </w:t>
      </w:r>
    </w:p>
    <w:p>
      <w:pPr>
        <w:pStyle w:val="8"/>
        <w:spacing w:line="269" w:lineRule="exact"/>
        <w:ind w:left="1258"/>
      </w:pPr>
      <w:r>
        <w:t>2</w:t>
      </w:r>
      <w:r>
        <w:rPr>
          <w:rFonts w:hint="eastAsia"/>
        </w:rPr>
        <w:t>、发生紧急抢修事故的，承包人在接到事故通知后，应当立即到达事故现场抢修。</w:t>
      </w:r>
      <w:r>
        <w:t xml:space="preserve"> </w:t>
      </w:r>
    </w:p>
    <w:p>
      <w:pPr>
        <w:pStyle w:val="8"/>
        <w:spacing w:before="140" w:line="364" w:lineRule="auto"/>
        <w:ind w:left="838" w:right="1794" w:firstLine="420"/>
        <w:jc w:val="both"/>
      </w:pPr>
      <w:r>
        <w:t>3</w:t>
      </w:r>
      <w:r>
        <w:rPr>
          <w:rFonts w:hint="eastAsia"/>
          <w:spacing w:val="-1"/>
        </w:rPr>
        <w:t>、对于涉及结构安全的质量问题，应当按照《房屋建筑工程质量保修办法》的规定，</w:t>
      </w:r>
      <w:r>
        <w:rPr>
          <w:spacing w:val="-1"/>
        </w:rPr>
        <w:t xml:space="preserve"> </w:t>
      </w:r>
      <w:r>
        <w:rPr>
          <w:rFonts w:hint="eastAsia"/>
          <w:spacing w:val="-6"/>
        </w:rPr>
        <w:t>立即向当地建设行政主管部门报告，采取安全防范措施；由原设计人或者具有相应资质等级</w:t>
      </w:r>
      <w:r>
        <w:rPr>
          <w:rFonts w:hint="eastAsia"/>
        </w:rPr>
        <w:t>的设计人提出保修方案，承包人实施保修。</w:t>
      </w:r>
      <w:r>
        <w:t xml:space="preserve"> </w:t>
      </w:r>
    </w:p>
    <w:p>
      <w:pPr>
        <w:pStyle w:val="8"/>
        <w:spacing w:line="267" w:lineRule="exact"/>
        <w:ind w:left="1258"/>
      </w:pPr>
      <w:r>
        <w:t>4</w:t>
      </w:r>
      <w:r>
        <w:rPr>
          <w:rFonts w:hint="eastAsia"/>
        </w:rPr>
        <w:t>、质量保修完成后，由发包人组织验收。</w:t>
      </w:r>
      <w:r>
        <w:t xml:space="preserve"> </w:t>
      </w:r>
    </w:p>
    <w:p>
      <w:pPr>
        <w:pStyle w:val="8"/>
        <w:spacing w:before="139"/>
        <w:ind w:left="1258"/>
      </w:pPr>
      <w:r>
        <w:rPr>
          <w:rFonts w:hint="eastAsia"/>
        </w:rPr>
        <w:t>四、保修费用</w:t>
      </w:r>
      <w:r>
        <w:t xml:space="preserve"> </w:t>
      </w:r>
    </w:p>
    <w:p>
      <w:pPr>
        <w:pStyle w:val="8"/>
        <w:spacing w:before="140" w:line="364" w:lineRule="auto"/>
        <w:ind w:left="1258" w:right="5801"/>
      </w:pPr>
      <w:r>
        <w:rPr>
          <w:rFonts w:hint="eastAsia"/>
        </w:rPr>
        <w:t>保修费用由造成质量缺陷的责任方承担。五、其</w:t>
      </w:r>
      <w:r>
        <w:t xml:space="preserve"> </w:t>
      </w:r>
      <w:r>
        <w:rPr>
          <w:rFonts w:hint="eastAsia"/>
        </w:rPr>
        <w:t>他</w:t>
      </w:r>
      <w:r>
        <w:t xml:space="preserve"> </w:t>
      </w:r>
    </w:p>
    <w:p>
      <w:pPr>
        <w:pStyle w:val="8"/>
        <w:spacing w:line="268" w:lineRule="exact"/>
        <w:ind w:left="1258"/>
      </w:pPr>
      <w:r>
        <w:rPr>
          <w:rFonts w:hint="eastAsia"/>
        </w:rPr>
        <w:t>双方约定的其他工程保修责任事项：</w:t>
      </w:r>
      <w:r>
        <w:t xml:space="preserve"> </w:t>
      </w:r>
    </w:p>
    <w:p>
      <w:pPr>
        <w:pStyle w:val="8"/>
        <w:spacing w:before="139"/>
        <w:ind w:left="838"/>
      </w:pP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t xml:space="preserve">                 </w:t>
      </w:r>
    </w:p>
    <w:p>
      <w:pPr>
        <w:pStyle w:val="8"/>
        <w:spacing w:before="141"/>
        <w:ind w:left="838"/>
      </w:pPr>
      <w:r>
        <w:rPr>
          <w:u w:val="single"/>
        </w:rPr>
        <w:t xml:space="preserve">                     </w:t>
      </w:r>
      <w:r>
        <w:rPr>
          <w:spacing w:val="-2"/>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t xml:space="preserve">        </w:t>
      </w:r>
      <w:r>
        <w:rPr>
          <w:spacing w:val="-2"/>
        </w:rPr>
        <w:t xml:space="preserve"> </w:t>
      </w:r>
      <w:r>
        <w:t xml:space="preserve">        </w:t>
      </w:r>
    </w:p>
    <w:p>
      <w:pPr>
        <w:pStyle w:val="8"/>
        <w:spacing w:before="138"/>
        <w:ind w:left="838"/>
      </w:pPr>
      <w:r>
        <w:rPr>
          <w:u w:val="single"/>
        </w:rPr>
        <w:t xml:space="preserve">                     </w:t>
      </w:r>
      <w:r>
        <w:rPr>
          <w:spacing w:val="-2"/>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p>
    <w:p>
      <w:pPr>
        <w:pStyle w:val="8"/>
        <w:spacing w:before="139"/>
        <w:ind w:left="838"/>
      </w:pPr>
      <w:r>
        <w:rPr>
          <w:u w:val="single"/>
        </w:rPr>
        <w:t xml:space="preserve">                                                                           </w:t>
      </w:r>
      <w:r>
        <w:rPr>
          <w:spacing w:val="1"/>
          <w:u w:val="single"/>
        </w:rPr>
        <w:t xml:space="preserve">   </w:t>
      </w:r>
      <w:r>
        <w:rPr>
          <w:rFonts w:hint="eastAsia"/>
          <w:spacing w:val="-88"/>
        </w:rPr>
        <w:t>。</w:t>
      </w:r>
      <w:r>
        <w:t xml:space="preserve"> </w:t>
      </w:r>
    </w:p>
    <w:p>
      <w:pPr>
        <w:pStyle w:val="8"/>
        <w:spacing w:before="141" w:line="364" w:lineRule="auto"/>
        <w:ind w:left="838" w:right="1792" w:firstLine="420"/>
      </w:pPr>
      <w:r>
        <w:rPr>
          <w:rFonts w:hint="eastAsia"/>
          <w:spacing w:val="-9"/>
        </w:rPr>
        <w:t>本工程保修书，由施工合同发包人、承包人双方在竣工验收前共同签署，作为施工合同</w:t>
      </w:r>
      <w:r>
        <w:rPr>
          <w:rFonts w:hint="eastAsia"/>
        </w:rPr>
        <w:t>附件，其有效期限至保修期满。</w:t>
      </w:r>
      <w:r>
        <w:t xml:space="preserve"> </w:t>
      </w:r>
    </w:p>
    <w:p>
      <w:pPr>
        <w:pStyle w:val="8"/>
        <w:spacing w:line="269" w:lineRule="exact"/>
        <w:ind w:left="838"/>
      </w:pPr>
      <w:r>
        <w:t xml:space="preserve"> </w:t>
      </w:r>
    </w:p>
    <w:p>
      <w:pPr>
        <w:pStyle w:val="8"/>
        <w:spacing w:before="138" w:line="364" w:lineRule="auto"/>
        <w:ind w:left="838" w:right="1583"/>
        <w:rPr>
          <w:lang w:eastAsia="zh-CN"/>
        </w:rPr>
      </w:pPr>
      <w:r>
        <w:rPr>
          <w:rFonts w:hint="eastAsia"/>
        </w:rPr>
        <w:t>发</w:t>
      </w:r>
      <w:r>
        <w:t xml:space="preserve"> </w:t>
      </w:r>
      <w:r>
        <w:rPr>
          <w:rFonts w:hint="eastAsia"/>
        </w:rPr>
        <w:t>包</w:t>
      </w:r>
      <w:r>
        <w:t xml:space="preserve"> </w:t>
      </w:r>
      <w:r>
        <w:rPr>
          <w:rFonts w:hint="eastAsia"/>
        </w:rPr>
        <w:t>人</w:t>
      </w:r>
      <w:r>
        <w:t xml:space="preserve"> </w:t>
      </w:r>
      <w:r>
        <w:rPr>
          <w:rFonts w:hint="eastAsia"/>
        </w:rPr>
        <w:t>：</w:t>
      </w:r>
      <w:r>
        <w:rPr>
          <w:u w:val="single"/>
        </w:rPr>
        <w:t xml:space="preserve">                  </w:t>
      </w:r>
      <w:r>
        <w:rPr>
          <w:rFonts w:hint="eastAsia"/>
        </w:rPr>
        <w:t>（</w:t>
      </w:r>
      <w:r>
        <w:t xml:space="preserve"> </w:t>
      </w:r>
      <w:r>
        <w:rPr>
          <w:rFonts w:hint="eastAsia"/>
        </w:rPr>
        <w:t>公</w:t>
      </w:r>
      <w:r>
        <w:t xml:space="preserve"> </w:t>
      </w:r>
      <w:r>
        <w:rPr>
          <w:rFonts w:hint="eastAsia"/>
        </w:rPr>
        <w:t>章</w:t>
      </w:r>
      <w:r>
        <w:t xml:space="preserve"> </w:t>
      </w:r>
      <w:r>
        <w:rPr>
          <w:rFonts w:hint="eastAsia"/>
        </w:rPr>
        <w:t>）</w:t>
      </w:r>
      <w:r>
        <w:t xml:space="preserve">   </w:t>
      </w:r>
      <w:r>
        <w:rPr>
          <w:rFonts w:hint="eastAsia"/>
        </w:rPr>
        <w:t>承</w:t>
      </w:r>
      <w:r>
        <w:t xml:space="preserve"> </w:t>
      </w:r>
      <w:r>
        <w:rPr>
          <w:rFonts w:hint="eastAsia"/>
        </w:rPr>
        <w:t>包</w:t>
      </w:r>
      <w:r>
        <w:t xml:space="preserve"> </w:t>
      </w:r>
      <w:r>
        <w:rPr>
          <w:rFonts w:hint="eastAsia"/>
        </w:rPr>
        <w:t>人</w:t>
      </w:r>
      <w:r>
        <w:t xml:space="preserve"> </w:t>
      </w:r>
      <w:r>
        <w:rPr>
          <w:rFonts w:hint="eastAsia"/>
        </w:rPr>
        <w:t>：</w:t>
      </w:r>
      <w:r>
        <w:rPr>
          <w:u w:val="single"/>
        </w:rPr>
        <w:t xml:space="preserve">               </w:t>
      </w:r>
      <w:r>
        <w:rPr>
          <w:rFonts w:hint="eastAsia"/>
        </w:rPr>
        <w:t>（</w:t>
      </w:r>
      <w:r>
        <w:t xml:space="preserve"> </w:t>
      </w:r>
      <w:r>
        <w:rPr>
          <w:rFonts w:hint="eastAsia"/>
        </w:rPr>
        <w:t>公</w:t>
      </w:r>
      <w:r>
        <w:t xml:space="preserve"> </w:t>
      </w:r>
      <w:r>
        <w:rPr>
          <w:rFonts w:hint="eastAsia"/>
        </w:rPr>
        <w:t>章</w:t>
      </w:r>
      <w:r>
        <w:t xml:space="preserve"> </w:t>
      </w:r>
      <w:r>
        <w:rPr>
          <w:rFonts w:hint="eastAsia"/>
          <w:spacing w:val="-87"/>
        </w:rPr>
        <w:t>）</w:t>
      </w:r>
      <w:r>
        <w:rPr>
          <w:spacing w:val="-87"/>
        </w:rPr>
        <w:t xml:space="preserve"> </w:t>
      </w:r>
      <w:r>
        <w:rPr>
          <w:rFonts w:hint="eastAsia"/>
        </w:rPr>
        <w:t>法</w:t>
      </w:r>
      <w:r>
        <w:t xml:space="preserve"> </w:t>
      </w:r>
      <w:r>
        <w:rPr>
          <w:rFonts w:hint="eastAsia"/>
        </w:rPr>
        <w:t>定</w:t>
      </w:r>
      <w:r>
        <w:t xml:space="preserve"> </w:t>
      </w:r>
      <w:r>
        <w:rPr>
          <w:rFonts w:hint="eastAsia"/>
        </w:rPr>
        <w:t>地</w:t>
      </w:r>
      <w:r>
        <w:t xml:space="preserve"> </w:t>
      </w:r>
      <w:r>
        <w:rPr>
          <w:rFonts w:hint="eastAsia"/>
        </w:rPr>
        <w:t>址</w:t>
      </w:r>
      <w:r>
        <w:t xml:space="preserve"> </w:t>
      </w:r>
      <w:r>
        <w:rPr>
          <w:rFonts w:hint="eastAsia"/>
        </w:rPr>
        <w:t>：</w:t>
      </w:r>
      <w:r>
        <w:rPr>
          <w:u w:val="single"/>
        </w:rPr>
        <w:t xml:space="preserve">                             </w:t>
      </w:r>
      <w:r>
        <w:rPr>
          <w:rFonts w:hint="eastAsia"/>
        </w:rPr>
        <w:t>法</w:t>
      </w:r>
      <w:r>
        <w:t xml:space="preserve"> </w:t>
      </w:r>
      <w:r>
        <w:rPr>
          <w:rFonts w:hint="eastAsia"/>
        </w:rPr>
        <w:t>定</w:t>
      </w:r>
      <w:r>
        <w:t xml:space="preserve"> </w:t>
      </w:r>
      <w:r>
        <w:rPr>
          <w:rFonts w:hint="eastAsia"/>
        </w:rPr>
        <w:t>地</w:t>
      </w:r>
      <w:r>
        <w:t xml:space="preserve"> </w:t>
      </w:r>
      <w:r>
        <w:rPr>
          <w:rFonts w:hint="eastAsia"/>
        </w:rPr>
        <w:t>址</w:t>
      </w:r>
      <w:r>
        <w:t xml:space="preserve"> </w:t>
      </w:r>
      <w:r>
        <w:rPr>
          <w:rFonts w:hint="eastAsia"/>
        </w:rPr>
        <w:t>：</w:t>
      </w:r>
      <w:r>
        <w:rPr>
          <w:u w:val="single"/>
          <w:lang w:eastAsia="zh-CN"/>
        </w:rPr>
        <w:t xml:space="preserve">                       </w:t>
      </w:r>
    </w:p>
    <w:p>
      <w:pPr>
        <w:pStyle w:val="8"/>
        <w:spacing w:before="138" w:line="364" w:lineRule="auto"/>
        <w:ind w:left="838" w:right="1583"/>
      </w:pPr>
      <w:r>
        <w:t xml:space="preserve"> </w:t>
      </w:r>
      <w:r>
        <w:rPr>
          <w:rFonts w:hint="eastAsia"/>
        </w:rPr>
        <w:t>法</w:t>
      </w:r>
      <w:r>
        <w:t xml:space="preserve"> </w:t>
      </w:r>
      <w:r>
        <w:rPr>
          <w:rFonts w:hint="eastAsia"/>
        </w:rPr>
        <w:t>定</w:t>
      </w:r>
      <w:r>
        <w:t xml:space="preserve"> </w:t>
      </w:r>
      <w:r>
        <w:rPr>
          <w:rFonts w:hint="eastAsia"/>
        </w:rPr>
        <w:t>代</w:t>
      </w:r>
      <w:r>
        <w:t xml:space="preserve"> </w:t>
      </w:r>
      <w:r>
        <w:rPr>
          <w:rFonts w:hint="eastAsia"/>
        </w:rPr>
        <w:t>表</w:t>
      </w:r>
      <w:r>
        <w:t xml:space="preserve"> </w:t>
      </w:r>
      <w:r>
        <w:rPr>
          <w:rFonts w:hint="eastAsia"/>
        </w:rPr>
        <w:t>人</w:t>
      </w:r>
      <w:r>
        <w:t xml:space="preserve"> </w:t>
      </w:r>
      <w:r>
        <w:rPr>
          <w:rFonts w:hint="eastAsia"/>
        </w:rPr>
        <w:t>或</w:t>
      </w:r>
      <w:r>
        <w:t xml:space="preserve"> </w:t>
      </w:r>
      <w:r>
        <w:rPr>
          <w:rFonts w:hint="eastAsia"/>
        </w:rPr>
        <w:t>其</w:t>
      </w:r>
      <w:r>
        <w:t xml:space="preserve">                      </w:t>
      </w:r>
      <w:r>
        <w:rPr>
          <w:rFonts w:hint="eastAsia"/>
        </w:rPr>
        <w:t>法</w:t>
      </w:r>
      <w:r>
        <w:t xml:space="preserve"> </w:t>
      </w:r>
      <w:r>
        <w:rPr>
          <w:rFonts w:hint="eastAsia"/>
        </w:rPr>
        <w:t>定</w:t>
      </w:r>
      <w:r>
        <w:t xml:space="preserve"> </w:t>
      </w:r>
      <w:r>
        <w:rPr>
          <w:rFonts w:hint="eastAsia"/>
        </w:rPr>
        <w:t>代</w:t>
      </w:r>
      <w:r>
        <w:t xml:space="preserve"> </w:t>
      </w:r>
      <w:r>
        <w:rPr>
          <w:rFonts w:hint="eastAsia"/>
        </w:rPr>
        <w:t>表</w:t>
      </w:r>
      <w:r>
        <w:t xml:space="preserve"> </w:t>
      </w:r>
      <w:r>
        <w:rPr>
          <w:rFonts w:hint="eastAsia"/>
        </w:rPr>
        <w:t>人</w:t>
      </w:r>
      <w:r>
        <w:t xml:space="preserve"> </w:t>
      </w:r>
      <w:r>
        <w:rPr>
          <w:rFonts w:hint="eastAsia"/>
        </w:rPr>
        <w:t>或</w:t>
      </w:r>
      <w:r>
        <w:t xml:space="preserve"> </w:t>
      </w:r>
      <w:r>
        <w:rPr>
          <w:rFonts w:hint="eastAsia"/>
        </w:rPr>
        <w:t>其</w:t>
      </w:r>
      <w:r>
        <w:t xml:space="preserve"> </w:t>
      </w:r>
    </w:p>
    <w:p>
      <w:pPr>
        <w:pStyle w:val="8"/>
        <w:spacing w:line="267" w:lineRule="exact"/>
        <w:ind w:left="838"/>
      </w:pPr>
      <w:r>
        <w:rPr>
          <w:rFonts w:hint="eastAsia"/>
        </w:rPr>
        <w:t>委</w:t>
      </w:r>
      <w:r>
        <w:t xml:space="preserve"> </w:t>
      </w:r>
      <w:r>
        <w:rPr>
          <w:rFonts w:hint="eastAsia"/>
        </w:rPr>
        <w:t>托</w:t>
      </w:r>
      <w:r>
        <w:t xml:space="preserve"> </w:t>
      </w:r>
      <w:r>
        <w:rPr>
          <w:rFonts w:hint="eastAsia"/>
        </w:rPr>
        <w:t>代</w:t>
      </w:r>
      <w:r>
        <w:t xml:space="preserve"> </w:t>
      </w:r>
      <w:r>
        <w:rPr>
          <w:rFonts w:hint="eastAsia"/>
        </w:rPr>
        <w:t>理</w:t>
      </w:r>
      <w:r>
        <w:t xml:space="preserve"> </w:t>
      </w:r>
      <w:r>
        <w:rPr>
          <w:rFonts w:hint="eastAsia"/>
        </w:rPr>
        <w:t>人</w:t>
      </w:r>
      <w:r>
        <w:t xml:space="preserve"> </w:t>
      </w:r>
      <w:r>
        <w:rPr>
          <w:rFonts w:hint="eastAsia"/>
        </w:rPr>
        <w:t>：</w:t>
      </w:r>
      <w:r>
        <w:rPr>
          <w:u w:val="single"/>
        </w:rPr>
        <w:t xml:space="preserve">               </w:t>
      </w:r>
      <w:r>
        <w:rPr>
          <w:rFonts w:hint="eastAsia"/>
        </w:rPr>
        <w:t>（</w:t>
      </w:r>
      <w:r>
        <w:t xml:space="preserve"> </w:t>
      </w:r>
      <w:r>
        <w:rPr>
          <w:rFonts w:hint="eastAsia"/>
        </w:rPr>
        <w:t>签</w:t>
      </w:r>
      <w:r>
        <w:t xml:space="preserve"> </w:t>
      </w:r>
      <w:r>
        <w:rPr>
          <w:rFonts w:hint="eastAsia"/>
        </w:rPr>
        <w:t>字</w:t>
      </w:r>
      <w:r>
        <w:t xml:space="preserve"> </w:t>
      </w:r>
      <w:r>
        <w:rPr>
          <w:rFonts w:hint="eastAsia"/>
        </w:rPr>
        <w:t>）委</w:t>
      </w:r>
      <w:r>
        <w:t xml:space="preserve"> </w:t>
      </w:r>
      <w:r>
        <w:rPr>
          <w:rFonts w:hint="eastAsia"/>
        </w:rPr>
        <w:t>托</w:t>
      </w:r>
      <w:r>
        <w:t xml:space="preserve"> </w:t>
      </w:r>
      <w:r>
        <w:rPr>
          <w:rFonts w:hint="eastAsia"/>
        </w:rPr>
        <w:t>代</w:t>
      </w:r>
      <w:r>
        <w:t xml:space="preserve"> </w:t>
      </w:r>
      <w:r>
        <w:rPr>
          <w:rFonts w:hint="eastAsia"/>
        </w:rPr>
        <w:t>理</w:t>
      </w:r>
      <w:r>
        <w:t xml:space="preserve"> </w:t>
      </w:r>
      <w:r>
        <w:rPr>
          <w:rFonts w:hint="eastAsia"/>
        </w:rPr>
        <w:t>人</w:t>
      </w:r>
      <w:r>
        <w:t xml:space="preserve"> </w:t>
      </w:r>
      <w:r>
        <w:rPr>
          <w:rFonts w:hint="eastAsia"/>
        </w:rPr>
        <w:t>：</w:t>
      </w:r>
      <w:r>
        <w:rPr>
          <w:spacing w:val="100"/>
          <w:u w:val="single"/>
        </w:rPr>
        <w:t xml:space="preserve">        </w:t>
      </w:r>
      <w:r>
        <w:rPr>
          <w:rFonts w:hint="eastAsia"/>
        </w:rPr>
        <w:t>（</w:t>
      </w:r>
      <w:r>
        <w:t xml:space="preserve"> </w:t>
      </w:r>
      <w:r>
        <w:rPr>
          <w:rFonts w:hint="eastAsia"/>
        </w:rPr>
        <w:t>签</w:t>
      </w:r>
      <w:r>
        <w:t xml:space="preserve"> </w:t>
      </w:r>
      <w:r>
        <w:rPr>
          <w:rFonts w:hint="eastAsia"/>
        </w:rPr>
        <w:t>字</w:t>
      </w:r>
      <w:r>
        <w:t xml:space="preserve"> </w:t>
      </w:r>
      <w:r>
        <w:rPr>
          <w:rFonts w:hint="eastAsia"/>
          <w:spacing w:val="-87"/>
        </w:rPr>
        <w:t>）</w:t>
      </w:r>
      <w:r>
        <w:t xml:space="preserve"> </w:t>
      </w:r>
    </w:p>
    <w:p>
      <w:pPr>
        <w:pStyle w:val="8"/>
        <w:spacing w:before="141" w:line="364" w:lineRule="auto"/>
        <w:ind w:left="838" w:right="451"/>
      </w:pPr>
      <w:r>
        <w:rPr>
          <w:rFonts w:hint="eastAsia"/>
        </w:rPr>
        <w:t>电</w:t>
      </w:r>
      <w:r>
        <w:t xml:space="preserve"> </w:t>
      </w:r>
      <w:r>
        <w:rPr>
          <w:rFonts w:hint="eastAsia"/>
        </w:rPr>
        <w:t>话</w:t>
      </w:r>
      <w:r>
        <w:t xml:space="preserve"> </w:t>
      </w:r>
      <w:r>
        <w:rPr>
          <w:rFonts w:hint="eastAsia"/>
        </w:rPr>
        <w:t>：</w:t>
      </w:r>
      <w:r>
        <w:rPr>
          <w:u w:val="single"/>
        </w:rPr>
        <w:t xml:space="preserve">                                   </w:t>
      </w:r>
      <w:r>
        <w:rPr>
          <w:rFonts w:hint="eastAsia"/>
        </w:rPr>
        <w:t>电</w:t>
      </w:r>
      <w:r>
        <w:t xml:space="preserve"> </w:t>
      </w:r>
      <w:r>
        <w:rPr>
          <w:rFonts w:hint="eastAsia"/>
        </w:rPr>
        <w:t>话</w:t>
      </w:r>
      <w:r>
        <w:t xml:space="preserve"> </w:t>
      </w:r>
      <w:r>
        <w:rPr>
          <w:rFonts w:hint="eastAsia"/>
        </w:rPr>
        <w:t>：</w:t>
      </w:r>
      <w:r>
        <w:rPr>
          <w:u w:val="single"/>
        </w:rPr>
        <w:t xml:space="preserve">                              </w:t>
      </w:r>
    </w:p>
    <w:p>
      <w:pPr>
        <w:pStyle w:val="8"/>
        <w:spacing w:before="141" w:line="364" w:lineRule="auto"/>
        <w:ind w:left="838" w:right="451"/>
        <w:rPr>
          <w:lang w:eastAsia="zh-CN"/>
        </w:rPr>
      </w:pPr>
      <w:r>
        <w:rPr>
          <w:rFonts w:hint="eastAsia"/>
        </w:rPr>
        <w:t>传</w:t>
      </w:r>
      <w:r>
        <w:t xml:space="preserve"> </w:t>
      </w:r>
      <w:r>
        <w:rPr>
          <w:rFonts w:hint="eastAsia"/>
        </w:rPr>
        <w:t>真</w:t>
      </w:r>
      <w:r>
        <w:t xml:space="preserve"> </w:t>
      </w:r>
      <w:r>
        <w:rPr>
          <w:rFonts w:hint="eastAsia"/>
        </w:rPr>
        <w:t>：</w:t>
      </w:r>
      <w:r>
        <w:rPr>
          <w:u w:val="single"/>
        </w:rPr>
        <w:t xml:space="preserve">                                   </w:t>
      </w:r>
      <w:r>
        <w:rPr>
          <w:rFonts w:hint="eastAsia"/>
        </w:rPr>
        <w:t>传</w:t>
      </w:r>
      <w:r>
        <w:t xml:space="preserve"> </w:t>
      </w:r>
      <w:r>
        <w:rPr>
          <w:rFonts w:hint="eastAsia"/>
        </w:rPr>
        <w:t>真</w:t>
      </w:r>
      <w:r>
        <w:t xml:space="preserve"> </w:t>
      </w:r>
      <w:r>
        <w:rPr>
          <w:rFonts w:hint="eastAsia"/>
        </w:rPr>
        <w:t>：</w:t>
      </w:r>
      <w:r>
        <w:rPr>
          <w:u w:val="single"/>
          <w:lang w:eastAsia="zh-CN"/>
        </w:rPr>
        <w:t xml:space="preserve">                              </w:t>
      </w:r>
    </w:p>
    <w:p>
      <w:pPr>
        <w:pStyle w:val="8"/>
        <w:spacing w:before="141" w:line="364" w:lineRule="auto"/>
        <w:ind w:left="838" w:right="451"/>
      </w:pPr>
      <w:r>
        <w:rPr>
          <w:rFonts w:hint="eastAsia"/>
        </w:rPr>
        <w:t>电</w:t>
      </w:r>
      <w:r>
        <w:t xml:space="preserve"> </w:t>
      </w:r>
      <w:r>
        <w:rPr>
          <w:rFonts w:hint="eastAsia"/>
        </w:rPr>
        <w:t>子</w:t>
      </w:r>
      <w:r>
        <w:t xml:space="preserve"> </w:t>
      </w:r>
      <w:r>
        <w:rPr>
          <w:rFonts w:hint="eastAsia"/>
        </w:rPr>
        <w:t>邮</w:t>
      </w:r>
      <w:r>
        <w:t xml:space="preserve"> </w:t>
      </w:r>
      <w:r>
        <w:rPr>
          <w:rFonts w:hint="eastAsia"/>
        </w:rPr>
        <w:t>箱</w:t>
      </w:r>
      <w:r>
        <w:t xml:space="preserve"> </w:t>
      </w:r>
      <w:r>
        <w:rPr>
          <w:rFonts w:hint="eastAsia"/>
        </w:rPr>
        <w:t>：</w:t>
      </w:r>
      <w:r>
        <w:rPr>
          <w:spacing w:val="8"/>
          <w:u w:val="single"/>
        </w:rPr>
        <w:t xml:space="preserve">                           </w:t>
      </w:r>
      <w:r>
        <w:rPr>
          <w:rFonts w:hint="eastAsia"/>
          <w:spacing w:val="8"/>
        </w:rPr>
        <w:t>电</w:t>
      </w:r>
      <w:r>
        <w:rPr>
          <w:spacing w:val="8"/>
        </w:rPr>
        <w:t xml:space="preserve"> </w:t>
      </w:r>
      <w:r>
        <w:rPr>
          <w:rFonts w:hint="eastAsia"/>
          <w:spacing w:val="8"/>
        </w:rPr>
        <w:t>子</w:t>
      </w:r>
      <w:r>
        <w:rPr>
          <w:spacing w:val="8"/>
        </w:rPr>
        <w:t xml:space="preserve"> </w:t>
      </w:r>
      <w:r>
        <w:rPr>
          <w:rFonts w:hint="eastAsia"/>
          <w:spacing w:val="8"/>
        </w:rPr>
        <w:t>邮</w:t>
      </w:r>
      <w:r>
        <w:rPr>
          <w:spacing w:val="8"/>
        </w:rPr>
        <w:t xml:space="preserve"> </w:t>
      </w:r>
      <w:r>
        <w:rPr>
          <w:rFonts w:hint="eastAsia"/>
          <w:spacing w:val="8"/>
        </w:rPr>
        <w:t>箱</w:t>
      </w:r>
      <w:r>
        <w:rPr>
          <w:spacing w:val="8"/>
        </w:rPr>
        <w:t xml:space="preserve"> </w:t>
      </w:r>
      <w:r>
        <w:rPr>
          <w:rFonts w:hint="eastAsia"/>
          <w:spacing w:val="8"/>
        </w:rPr>
        <w:t>：</w:t>
      </w:r>
      <w:r>
        <w:rPr>
          <w:spacing w:val="8"/>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p>
    <w:p>
      <w:pPr>
        <w:pStyle w:val="8"/>
        <w:spacing w:line="364" w:lineRule="auto"/>
        <w:ind w:left="838" w:right="869"/>
      </w:pPr>
      <w:r>
        <w:rPr>
          <w:rFonts w:hint="eastAsia"/>
        </w:rPr>
        <w:t>开</w:t>
      </w:r>
      <w:r>
        <w:t xml:space="preserve"> </w:t>
      </w:r>
      <w:r>
        <w:rPr>
          <w:rFonts w:hint="eastAsia"/>
        </w:rPr>
        <w:t>户</w:t>
      </w:r>
      <w:r>
        <w:t xml:space="preserve"> </w:t>
      </w:r>
      <w:r>
        <w:rPr>
          <w:rFonts w:hint="eastAsia"/>
        </w:rPr>
        <w:t>银</w:t>
      </w:r>
      <w:r>
        <w:t xml:space="preserve"> </w:t>
      </w:r>
      <w:r>
        <w:rPr>
          <w:rFonts w:hint="eastAsia"/>
        </w:rPr>
        <w:t>行</w:t>
      </w:r>
      <w:r>
        <w:t xml:space="preserve"> </w:t>
      </w:r>
      <w:r>
        <w:rPr>
          <w:rFonts w:hint="eastAsia"/>
        </w:rPr>
        <w:t>：</w:t>
      </w:r>
      <w:r>
        <w:rPr>
          <w:u w:val="single"/>
        </w:rPr>
        <w:t xml:space="preserve">                             </w:t>
      </w:r>
      <w:r>
        <w:rPr>
          <w:rFonts w:hint="eastAsia"/>
        </w:rPr>
        <w:t>开</w:t>
      </w:r>
      <w:r>
        <w:t xml:space="preserve"> </w:t>
      </w:r>
      <w:r>
        <w:rPr>
          <w:rFonts w:hint="eastAsia"/>
        </w:rPr>
        <w:t>户</w:t>
      </w:r>
      <w:r>
        <w:t xml:space="preserve"> </w:t>
      </w:r>
      <w:r>
        <w:rPr>
          <w:rFonts w:hint="eastAsia"/>
        </w:rPr>
        <w:t>银</w:t>
      </w:r>
      <w:r>
        <w:t xml:space="preserve"> </w:t>
      </w:r>
      <w:r>
        <w:rPr>
          <w:rFonts w:hint="eastAsia"/>
        </w:rPr>
        <w:t>行</w:t>
      </w:r>
      <w:r>
        <w:t xml:space="preserve"> </w:t>
      </w:r>
      <w:r>
        <w:rPr>
          <w:rFonts w:hint="eastAsia"/>
        </w:rPr>
        <w:t>：</w:t>
      </w:r>
      <w:r>
        <w:rPr>
          <w:u w:val="single"/>
        </w:rPr>
        <w:t xml:space="preserve">                        </w:t>
      </w:r>
    </w:p>
    <w:p>
      <w:pPr>
        <w:pStyle w:val="8"/>
        <w:spacing w:line="364" w:lineRule="auto"/>
        <w:ind w:left="838" w:right="869"/>
      </w:pPr>
      <w:r>
        <w:rPr>
          <w:rFonts w:hint="eastAsia"/>
        </w:rPr>
        <w:t>帐</w:t>
      </w:r>
      <w:r>
        <w:t xml:space="preserve"> </w:t>
      </w:r>
      <w:r>
        <w:rPr>
          <w:rFonts w:hint="eastAsia"/>
        </w:rPr>
        <w:t>号</w:t>
      </w:r>
      <w:r>
        <w:t xml:space="preserve"> </w:t>
      </w:r>
      <w:r>
        <w:rPr>
          <w:rFonts w:hint="eastAsia"/>
        </w:rPr>
        <w:t>：</w:t>
      </w:r>
      <w:r>
        <w:rPr>
          <w:spacing w:val="16"/>
          <w:u w:val="single"/>
        </w:rPr>
        <w:t xml:space="preserve">                               </w:t>
      </w:r>
      <w:r>
        <w:rPr>
          <w:rFonts w:hint="eastAsia"/>
          <w:spacing w:val="16"/>
        </w:rPr>
        <w:t>帐</w:t>
      </w:r>
      <w:r>
        <w:rPr>
          <w:spacing w:val="16"/>
        </w:rPr>
        <w:t xml:space="preserve"> </w:t>
      </w:r>
      <w:r>
        <w:rPr>
          <w:rFonts w:hint="eastAsia"/>
          <w:spacing w:val="16"/>
        </w:rPr>
        <w:t>号</w:t>
      </w:r>
      <w:r>
        <w:rPr>
          <w:spacing w:val="16"/>
        </w:rPr>
        <w:t xml:space="preserve"> </w:t>
      </w:r>
      <w:r>
        <w:rPr>
          <w:rFonts w:hint="eastAsia"/>
          <w:spacing w:val="16"/>
        </w:rPr>
        <w:t>：</w:t>
      </w:r>
      <w:r>
        <w:rPr>
          <w:spacing w:val="16"/>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p>
    <w:p>
      <w:pPr>
        <w:pStyle w:val="8"/>
        <w:spacing w:line="268" w:lineRule="exact"/>
        <w:ind w:left="838"/>
      </w:pPr>
      <w:r>
        <w:rPr>
          <w:rFonts w:hint="eastAsia"/>
        </w:rPr>
        <w:t>邮</w:t>
      </w:r>
      <w:r>
        <w:t xml:space="preserve"> </w:t>
      </w:r>
      <w:r>
        <w:rPr>
          <w:rFonts w:hint="eastAsia"/>
        </w:rPr>
        <w:t>政</w:t>
      </w:r>
      <w:r>
        <w:t xml:space="preserve"> </w:t>
      </w:r>
      <w:r>
        <w:rPr>
          <w:rFonts w:hint="eastAsia"/>
        </w:rPr>
        <w:t>编</w:t>
      </w:r>
      <w:r>
        <w:t xml:space="preserve"> </w:t>
      </w:r>
      <w:r>
        <w:rPr>
          <w:rFonts w:hint="eastAsia"/>
        </w:rPr>
        <w:t>码</w:t>
      </w:r>
      <w:r>
        <w:t xml:space="preserve"> </w:t>
      </w:r>
      <w:r>
        <w:rPr>
          <w:rFonts w:hint="eastAsia"/>
        </w:rPr>
        <w:t>：</w:t>
      </w:r>
      <w:r>
        <w:rPr>
          <w:u w:val="single"/>
          <w:lang w:eastAsia="zh-CN"/>
        </w:rPr>
        <w:t xml:space="preserve">                             </w:t>
      </w:r>
      <w:r>
        <w:rPr>
          <w:u w:val="single"/>
        </w:rPr>
        <w:t xml:space="preserve"> </w:t>
      </w:r>
      <w:r>
        <w:rPr>
          <w:rFonts w:hint="eastAsia"/>
        </w:rPr>
        <w:t>邮</w:t>
      </w:r>
      <w:r>
        <w:t xml:space="preserve"> </w:t>
      </w:r>
      <w:r>
        <w:rPr>
          <w:rFonts w:hint="eastAsia"/>
        </w:rPr>
        <w:t>政</w:t>
      </w:r>
      <w:r>
        <w:t xml:space="preserve"> </w:t>
      </w:r>
      <w:r>
        <w:rPr>
          <w:rFonts w:hint="eastAsia"/>
        </w:rPr>
        <w:t>编</w:t>
      </w:r>
      <w:r>
        <w:t xml:space="preserve"> </w:t>
      </w:r>
      <w:r>
        <w:rPr>
          <w:rFonts w:hint="eastAsia"/>
        </w:rPr>
        <w:t>码</w:t>
      </w:r>
      <w:r>
        <w:t xml:space="preserve"> </w:t>
      </w:r>
      <w:r>
        <w:rPr>
          <w:rFonts w:hint="eastAsia"/>
        </w:rPr>
        <w:t>：</w:t>
      </w:r>
      <w:r>
        <w:rPr>
          <w:u w:val="single"/>
        </w:rPr>
        <w:t xml:space="preserve">                        </w:t>
      </w:r>
      <w:r>
        <w:t xml:space="preserve">      </w:t>
      </w:r>
    </w:p>
    <w:p>
      <w:pPr>
        <w:spacing w:line="268" w:lineRule="exact"/>
        <w:sectPr>
          <w:pgSz w:w="11910" w:h="16840"/>
          <w:pgMar w:top="1160" w:right="0" w:bottom="280" w:left="960" w:header="873" w:footer="0" w:gutter="0"/>
          <w:cols w:space="720" w:num="1"/>
        </w:sectPr>
      </w:pPr>
    </w:p>
    <w:p>
      <w:pPr>
        <w:pStyle w:val="8"/>
        <w:rPr>
          <w:sz w:val="20"/>
        </w:rPr>
      </w:pPr>
    </w:p>
    <w:p>
      <w:pPr>
        <w:pStyle w:val="8"/>
        <w:rPr>
          <w:sz w:val="15"/>
        </w:rPr>
      </w:pPr>
    </w:p>
    <w:p>
      <w:pPr>
        <w:pStyle w:val="7"/>
        <w:ind w:left="838"/>
      </w:pPr>
      <w:bookmarkStart w:id="105" w:name="_bookmark181"/>
      <w:bookmarkEnd w:id="105"/>
      <w:r>
        <w:rPr>
          <w:rFonts w:hint="eastAsia"/>
        </w:rPr>
        <w:t>附件</w:t>
      </w:r>
      <w:r>
        <w:rPr>
          <w:rFonts w:hint="eastAsia"/>
          <w:lang w:eastAsia="zh-CN"/>
        </w:rPr>
        <w:t>五</w:t>
      </w:r>
      <w:r>
        <w:rPr>
          <w:rFonts w:hint="eastAsia"/>
        </w:rPr>
        <w:t>：廉政责任书格式</w:t>
      </w:r>
      <w:r>
        <w:t xml:space="preserve"> </w:t>
      </w:r>
    </w:p>
    <w:p>
      <w:pPr>
        <w:pStyle w:val="8"/>
        <w:rPr>
          <w:sz w:val="14"/>
        </w:rPr>
      </w:pPr>
    </w:p>
    <w:p>
      <w:pPr>
        <w:spacing w:before="60"/>
        <w:ind w:right="817"/>
        <w:jc w:val="center"/>
        <w:rPr>
          <w:b/>
          <w:sz w:val="28"/>
        </w:rPr>
      </w:pPr>
      <w:r>
        <w:rPr>
          <w:rFonts w:hint="eastAsia"/>
          <w:b/>
          <w:sz w:val="28"/>
        </w:rPr>
        <w:t>建设工程廉政责任书</w:t>
      </w:r>
      <w:r>
        <w:rPr>
          <w:b/>
          <w:w w:val="99"/>
          <w:sz w:val="28"/>
        </w:rPr>
        <w:t xml:space="preserve"> </w:t>
      </w:r>
    </w:p>
    <w:p>
      <w:pPr>
        <w:pStyle w:val="8"/>
        <w:spacing w:before="184"/>
        <w:ind w:left="1258"/>
      </w:pPr>
      <w:r>
        <w:t xml:space="preserve"> </w:t>
      </w:r>
    </w:p>
    <w:p>
      <w:pPr>
        <w:pStyle w:val="8"/>
        <w:spacing w:before="139" w:line="364" w:lineRule="auto"/>
        <w:ind w:left="838" w:right="1815"/>
      </w:pPr>
      <w:r>
        <w:rPr>
          <w:rFonts w:hint="eastAsia"/>
        </w:rPr>
        <w:t>发包人：</w:t>
      </w:r>
      <w:r>
        <w:rPr>
          <w:u w:val="single"/>
        </w:rPr>
        <w:t xml:space="preserve">                                                                     </w:t>
      </w:r>
      <w:r>
        <w:t xml:space="preserve"> </w:t>
      </w:r>
      <w:r>
        <w:rPr>
          <w:rFonts w:hint="eastAsia"/>
        </w:rPr>
        <w:t>承包人：</w:t>
      </w:r>
      <w:r>
        <w:rPr>
          <w:u w:val="single"/>
        </w:rPr>
        <w:t xml:space="preserve">             </w:t>
      </w:r>
      <w:r>
        <w:rPr>
          <w:spacing w:val="-2"/>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r>
        <w:rPr>
          <w:spacing w:val="1"/>
          <w:u w:val="single"/>
        </w:rPr>
        <w:t xml:space="preserve"> </w:t>
      </w:r>
      <w:r>
        <w:rPr>
          <w:spacing w:val="-1"/>
          <w:u w:val="single"/>
        </w:rPr>
        <w:t xml:space="preserve"> </w:t>
      </w:r>
      <w:r>
        <w:rPr>
          <w:u w:val="single"/>
        </w:rPr>
        <w:t xml:space="preserve">             </w:t>
      </w:r>
      <w:r>
        <w:rPr>
          <w:spacing w:val="-2"/>
          <w:u w:val="single"/>
        </w:rPr>
        <w:t xml:space="preserve"> </w:t>
      </w:r>
      <w:r>
        <w:rPr>
          <w:spacing w:val="-1"/>
          <w:u w:val="single"/>
        </w:rPr>
        <w:t xml:space="preserve"> </w:t>
      </w:r>
      <w:r>
        <w:t xml:space="preserve"> </w:t>
      </w:r>
    </w:p>
    <w:p>
      <w:pPr>
        <w:pStyle w:val="8"/>
        <w:spacing w:line="268" w:lineRule="exact"/>
        <w:ind w:left="1258"/>
      </w:pPr>
      <w:r>
        <w:t xml:space="preserve"> </w:t>
      </w:r>
    </w:p>
    <w:p>
      <w:pPr>
        <w:pStyle w:val="8"/>
        <w:spacing w:before="141" w:line="364" w:lineRule="auto"/>
        <w:ind w:left="838" w:right="1792" w:firstLine="420"/>
        <w:jc w:val="both"/>
      </w:pPr>
      <w:r>
        <w:rPr>
          <w:rFonts w:hint="eastAsia"/>
          <w:spacing w:val="-7"/>
        </w:rPr>
        <w:t>为加强建设工程廉政建设，规范建设工程各项活动中发包人承包人双方的行为，防止谋</w:t>
      </w:r>
      <w:r>
        <w:rPr>
          <w:rFonts w:hint="eastAsia"/>
          <w:spacing w:val="-6"/>
        </w:rPr>
        <w:t>取不正当利益的违法违纪现象的发生，保护国家、集体和当事人的合法权益，根据国家有关</w:t>
      </w:r>
      <w:r>
        <w:rPr>
          <w:rFonts w:hint="eastAsia"/>
        </w:rPr>
        <w:t>工程建设的法律法规和廉政建设的有关规定，订立本廉政责任书。</w:t>
      </w:r>
      <w:r>
        <w:t xml:space="preserve"> </w:t>
      </w:r>
    </w:p>
    <w:p>
      <w:pPr>
        <w:pStyle w:val="8"/>
        <w:spacing w:line="267" w:lineRule="exact"/>
        <w:ind w:left="1258"/>
      </w:pPr>
      <w:r>
        <w:rPr>
          <w:rFonts w:hint="eastAsia"/>
        </w:rPr>
        <w:t>一、双方的责任</w:t>
      </w:r>
      <w:r>
        <w:t xml:space="preserve"> </w:t>
      </w:r>
    </w:p>
    <w:p>
      <w:pPr>
        <w:pStyle w:val="33"/>
        <w:numPr>
          <w:ilvl w:val="1"/>
          <w:numId w:val="48"/>
        </w:numPr>
        <w:tabs>
          <w:tab w:val="left" w:pos="1574"/>
        </w:tabs>
        <w:spacing w:before="138" w:line="364" w:lineRule="auto"/>
        <w:ind w:right="1793" w:firstLine="420"/>
        <w:rPr>
          <w:sz w:val="21"/>
        </w:rPr>
      </w:pPr>
      <w:r>
        <w:rPr>
          <w:rFonts w:hint="eastAsia"/>
          <w:spacing w:val="-6"/>
          <w:sz w:val="21"/>
        </w:rPr>
        <w:t>应严格遵守国家关于建设工程的有关法律、法规，相关政策，以及廉政建设的各项</w:t>
      </w:r>
      <w:r>
        <w:rPr>
          <w:rFonts w:hint="eastAsia"/>
          <w:sz w:val="21"/>
        </w:rPr>
        <w:t>规定。</w:t>
      </w:r>
      <w:r>
        <w:rPr>
          <w:sz w:val="21"/>
        </w:rPr>
        <w:t xml:space="preserve"> </w:t>
      </w:r>
    </w:p>
    <w:p>
      <w:pPr>
        <w:pStyle w:val="33"/>
        <w:numPr>
          <w:ilvl w:val="1"/>
          <w:numId w:val="48"/>
        </w:numPr>
        <w:tabs>
          <w:tab w:val="left" w:pos="1574"/>
        </w:tabs>
        <w:spacing w:line="268" w:lineRule="exact"/>
        <w:ind w:left="1574"/>
        <w:rPr>
          <w:sz w:val="21"/>
        </w:rPr>
      </w:pPr>
      <w:r>
        <w:rPr>
          <w:rFonts w:hint="eastAsia"/>
          <w:sz w:val="21"/>
        </w:rPr>
        <w:t>严格执行建设工程合同文件，自觉按合同办事。</w:t>
      </w:r>
      <w:r>
        <w:rPr>
          <w:sz w:val="21"/>
        </w:rPr>
        <w:t xml:space="preserve"> </w:t>
      </w:r>
    </w:p>
    <w:p>
      <w:pPr>
        <w:pStyle w:val="33"/>
        <w:numPr>
          <w:ilvl w:val="1"/>
          <w:numId w:val="48"/>
        </w:numPr>
        <w:tabs>
          <w:tab w:val="left" w:pos="1574"/>
        </w:tabs>
        <w:spacing w:before="141" w:line="364" w:lineRule="auto"/>
        <w:ind w:right="1793" w:firstLine="420"/>
        <w:jc w:val="both"/>
        <w:rPr>
          <w:sz w:val="21"/>
        </w:rPr>
      </w:pPr>
      <w:r>
        <w:rPr>
          <w:rFonts w:hint="eastAsia"/>
          <w:spacing w:val="-7"/>
          <w:sz w:val="21"/>
        </w:rPr>
        <w:t>各项活动必须坚持公开、公平、公正、诚信、透明的原则</w:t>
      </w:r>
      <w:r>
        <w:rPr>
          <w:rFonts w:hint="eastAsia"/>
          <w:sz w:val="21"/>
        </w:rPr>
        <w:t>（</w:t>
      </w:r>
      <w:r>
        <w:rPr>
          <w:rFonts w:hint="eastAsia"/>
          <w:spacing w:val="-2"/>
          <w:sz w:val="21"/>
        </w:rPr>
        <w:t>除法律法规另有规定者</w:t>
      </w:r>
      <w:r>
        <w:rPr>
          <w:rFonts w:hint="eastAsia"/>
          <w:sz w:val="21"/>
        </w:rPr>
        <w:t>外</w:t>
      </w:r>
      <w:r>
        <w:rPr>
          <w:rFonts w:hint="eastAsia"/>
          <w:spacing w:val="-105"/>
          <w:sz w:val="21"/>
        </w:rPr>
        <w:t>）</w:t>
      </w:r>
      <w:r>
        <w:rPr>
          <w:rFonts w:hint="eastAsia"/>
          <w:spacing w:val="-1"/>
          <w:sz w:val="21"/>
        </w:rPr>
        <w:t>，不得为获取不正当的利益，损害国家、集体和对方利益，不得违反建设工程管理的规</w:t>
      </w:r>
      <w:r>
        <w:rPr>
          <w:rFonts w:hint="eastAsia"/>
          <w:sz w:val="21"/>
        </w:rPr>
        <w:t>章制度。</w:t>
      </w:r>
      <w:r>
        <w:rPr>
          <w:sz w:val="21"/>
        </w:rPr>
        <w:t xml:space="preserve"> </w:t>
      </w:r>
    </w:p>
    <w:p>
      <w:pPr>
        <w:pStyle w:val="33"/>
        <w:numPr>
          <w:ilvl w:val="1"/>
          <w:numId w:val="48"/>
        </w:numPr>
        <w:tabs>
          <w:tab w:val="left" w:pos="1574"/>
        </w:tabs>
        <w:spacing w:line="364" w:lineRule="auto"/>
        <w:ind w:right="1687" w:firstLine="420"/>
        <w:rPr>
          <w:sz w:val="21"/>
        </w:rPr>
      </w:pPr>
      <w:r>
        <w:rPr>
          <w:rFonts w:hint="eastAsia"/>
          <w:spacing w:val="-12"/>
          <w:sz w:val="21"/>
        </w:rPr>
        <w:t>发现对方在业务活动中有违规、违纪、违法行为的，应及时提醒对方，情节严重的，</w:t>
      </w:r>
      <w:r>
        <w:rPr>
          <w:spacing w:val="-12"/>
          <w:sz w:val="21"/>
        </w:rPr>
        <w:t xml:space="preserve"> </w:t>
      </w:r>
      <w:r>
        <w:rPr>
          <w:rFonts w:hint="eastAsia"/>
          <w:sz w:val="21"/>
        </w:rPr>
        <w:t>应向其上级主管部门或纪检监察、司法等有关机关举报。</w:t>
      </w:r>
      <w:r>
        <w:rPr>
          <w:sz w:val="21"/>
        </w:rPr>
        <w:t xml:space="preserve"> </w:t>
      </w:r>
    </w:p>
    <w:p>
      <w:pPr>
        <w:pStyle w:val="8"/>
        <w:spacing w:line="268" w:lineRule="exact"/>
        <w:ind w:left="1258"/>
      </w:pPr>
      <w:r>
        <w:rPr>
          <w:rFonts w:hint="eastAsia"/>
        </w:rPr>
        <w:t>二、发包人责任</w:t>
      </w:r>
      <w:r>
        <w:t xml:space="preserve"> </w:t>
      </w:r>
    </w:p>
    <w:p>
      <w:pPr>
        <w:pStyle w:val="8"/>
        <w:spacing w:before="137" w:line="364" w:lineRule="auto"/>
        <w:ind w:left="838" w:right="1793" w:firstLine="420"/>
      </w:pPr>
      <w:r>
        <w:rPr>
          <w:rFonts w:hint="eastAsia"/>
          <w:spacing w:val="-5"/>
        </w:rPr>
        <w:t>发包人的领导和从事该建设工程项目的工作人员，在工程建设的事前、事中、事后应遵</w:t>
      </w:r>
      <w:r>
        <w:rPr>
          <w:rFonts w:hint="eastAsia"/>
        </w:rPr>
        <w:t>守以下规定：</w:t>
      </w:r>
      <w:r>
        <w:t xml:space="preserve"> </w:t>
      </w:r>
    </w:p>
    <w:p>
      <w:pPr>
        <w:pStyle w:val="33"/>
        <w:numPr>
          <w:ilvl w:val="1"/>
          <w:numId w:val="49"/>
        </w:numPr>
        <w:tabs>
          <w:tab w:val="left" w:pos="1627"/>
        </w:tabs>
        <w:spacing w:line="364" w:lineRule="auto"/>
        <w:ind w:right="1758" w:firstLine="420"/>
        <w:rPr>
          <w:sz w:val="21"/>
        </w:rPr>
      </w:pPr>
      <w:r>
        <w:rPr>
          <w:rFonts w:hint="eastAsia"/>
          <w:spacing w:val="-1"/>
          <w:sz w:val="21"/>
        </w:rPr>
        <w:t>不得向承包人和相关单位索要或接受回扣、礼金、有价证券、贵重物品和好处费、</w:t>
      </w:r>
      <w:r>
        <w:rPr>
          <w:rFonts w:hint="eastAsia"/>
          <w:sz w:val="21"/>
        </w:rPr>
        <w:t>感谢费等。</w:t>
      </w:r>
      <w:r>
        <w:rPr>
          <w:sz w:val="21"/>
        </w:rPr>
        <w:t xml:space="preserve"> </w:t>
      </w:r>
    </w:p>
    <w:p>
      <w:pPr>
        <w:pStyle w:val="33"/>
        <w:numPr>
          <w:ilvl w:val="1"/>
          <w:numId w:val="49"/>
        </w:numPr>
        <w:tabs>
          <w:tab w:val="left" w:pos="1574"/>
        </w:tabs>
        <w:spacing w:line="268" w:lineRule="exact"/>
        <w:ind w:left="1574" w:hanging="316"/>
        <w:rPr>
          <w:sz w:val="21"/>
        </w:rPr>
      </w:pPr>
      <w:r>
        <w:rPr>
          <w:rFonts w:hint="eastAsia"/>
          <w:sz w:val="21"/>
        </w:rPr>
        <w:t>不得在承包人和相关单位报销任何应由发包人或个人支付的费用。</w:t>
      </w:r>
      <w:r>
        <w:rPr>
          <w:sz w:val="21"/>
        </w:rPr>
        <w:t xml:space="preserve"> </w:t>
      </w:r>
    </w:p>
    <w:p>
      <w:pPr>
        <w:pStyle w:val="33"/>
        <w:numPr>
          <w:ilvl w:val="1"/>
          <w:numId w:val="49"/>
        </w:numPr>
        <w:tabs>
          <w:tab w:val="left" w:pos="1574"/>
        </w:tabs>
        <w:spacing w:before="138" w:line="364" w:lineRule="auto"/>
        <w:ind w:right="1792" w:firstLine="420"/>
        <w:rPr>
          <w:sz w:val="21"/>
        </w:rPr>
      </w:pPr>
      <w:r>
        <w:rPr>
          <w:rFonts w:hint="eastAsia"/>
          <w:spacing w:val="-8"/>
          <w:sz w:val="21"/>
        </w:rPr>
        <w:t>不得要求、暗示或接受承包人和相关单位为个人装修住房、婚丧嫁娶、配偶子女的</w:t>
      </w:r>
      <w:r>
        <w:rPr>
          <w:rFonts w:hint="eastAsia"/>
          <w:sz w:val="21"/>
        </w:rPr>
        <w:t>工作安排以及出国（境</w:t>
      </w:r>
      <w:r>
        <w:rPr>
          <w:rFonts w:hint="eastAsia"/>
          <w:spacing w:val="-106"/>
          <w:sz w:val="21"/>
        </w:rPr>
        <w:t>）</w:t>
      </w:r>
      <w:r>
        <w:rPr>
          <w:rFonts w:hint="eastAsia"/>
          <w:sz w:val="21"/>
        </w:rPr>
        <w:t>、旅游等提供方便。</w:t>
      </w:r>
      <w:r>
        <w:rPr>
          <w:sz w:val="21"/>
        </w:rPr>
        <w:t xml:space="preserve"> </w:t>
      </w:r>
    </w:p>
    <w:p>
      <w:pPr>
        <w:pStyle w:val="33"/>
        <w:numPr>
          <w:ilvl w:val="1"/>
          <w:numId w:val="49"/>
        </w:numPr>
        <w:tabs>
          <w:tab w:val="left" w:pos="1574"/>
        </w:tabs>
        <w:spacing w:line="268" w:lineRule="exact"/>
        <w:ind w:left="1574" w:hanging="316"/>
        <w:rPr>
          <w:sz w:val="21"/>
        </w:rPr>
      </w:pPr>
      <w:r>
        <w:rPr>
          <w:rFonts w:hint="eastAsia"/>
          <w:spacing w:val="-10"/>
          <w:sz w:val="21"/>
        </w:rPr>
        <w:t>不得参加有可能影响公正执行公务的承包人和相关单位的宴请、健身、娱乐等活动。</w:t>
      </w:r>
      <w:r>
        <w:rPr>
          <w:sz w:val="21"/>
        </w:rPr>
        <w:t xml:space="preserve"> </w:t>
      </w:r>
    </w:p>
    <w:p>
      <w:pPr>
        <w:pStyle w:val="33"/>
        <w:numPr>
          <w:ilvl w:val="1"/>
          <w:numId w:val="49"/>
        </w:numPr>
        <w:tabs>
          <w:tab w:val="left" w:pos="1574"/>
        </w:tabs>
        <w:spacing w:before="141" w:line="364" w:lineRule="auto"/>
        <w:ind w:right="1794" w:firstLine="420"/>
        <w:rPr>
          <w:sz w:val="21"/>
        </w:rPr>
      </w:pPr>
      <w:r>
        <w:rPr>
          <w:rFonts w:hint="eastAsia"/>
          <w:spacing w:val="-6"/>
          <w:sz w:val="21"/>
        </w:rPr>
        <w:t>不得向承包人和相关单位介绍或为配偶、子女、亲属参与同发包人工程建设管理合</w:t>
      </w:r>
      <w:r>
        <w:rPr>
          <w:rFonts w:hint="eastAsia"/>
          <w:sz w:val="21"/>
        </w:rPr>
        <w:t>同有关的业务活动；不得以任何理由要求承包人和相关单位使用某种产品、材料和设备。</w:t>
      </w:r>
      <w:r>
        <w:rPr>
          <w:sz w:val="21"/>
        </w:rPr>
        <w:t xml:space="preserve"> </w:t>
      </w:r>
    </w:p>
    <w:p>
      <w:pPr>
        <w:pStyle w:val="8"/>
        <w:spacing w:line="268" w:lineRule="exact"/>
        <w:ind w:left="1258"/>
      </w:pPr>
      <w:r>
        <w:rPr>
          <w:rFonts w:hint="eastAsia"/>
        </w:rPr>
        <w:t>三、承包人责任</w:t>
      </w:r>
      <w:r>
        <w:t xml:space="preserve"> </w:t>
      </w:r>
    </w:p>
    <w:p>
      <w:pPr>
        <w:pStyle w:val="8"/>
        <w:spacing w:before="139" w:line="364" w:lineRule="auto"/>
        <w:ind w:left="838" w:right="1794" w:firstLine="420"/>
      </w:pPr>
      <w:r>
        <w:rPr>
          <w:rFonts w:hint="eastAsia"/>
          <w:spacing w:val="-6"/>
        </w:rPr>
        <w:t>应与发包人保持正常的业务交往，按照有关法律法规和程序开展业务工作，严格执行工</w:t>
      </w:r>
      <w:r>
        <w:rPr>
          <w:rFonts w:hint="eastAsia"/>
        </w:rPr>
        <w:t>程建设的有关方针、政策，执行工程建设强制性标准，并遵守以下规定：</w:t>
      </w:r>
      <w:r>
        <w:t xml:space="preserve"> </w:t>
      </w:r>
    </w:p>
    <w:p>
      <w:pPr>
        <w:pStyle w:val="33"/>
        <w:numPr>
          <w:ilvl w:val="1"/>
          <w:numId w:val="50"/>
        </w:numPr>
        <w:tabs>
          <w:tab w:val="left" w:pos="1574"/>
        </w:tabs>
        <w:spacing w:line="268" w:lineRule="exact"/>
        <w:rPr>
          <w:sz w:val="21"/>
        </w:rPr>
      </w:pPr>
      <w:r>
        <w:rPr>
          <w:rFonts w:hint="eastAsia"/>
          <w:spacing w:val="-4"/>
          <w:sz w:val="21"/>
        </w:rPr>
        <w:t>不得以任何理由向发包人及其工作人员索要、接受或赠送礼金、有价证券、贵重物</w:t>
      </w:r>
    </w:p>
    <w:p>
      <w:pPr>
        <w:spacing w:line="268" w:lineRule="exact"/>
        <w:rPr>
          <w:sz w:val="21"/>
        </w:rPr>
        <w:sectPr>
          <w:headerReference r:id="rId9" w:type="default"/>
          <w:headerReference r:id="rId10" w:type="even"/>
          <w:pgSz w:w="11910" w:h="16840"/>
          <w:pgMar w:top="1160" w:right="0" w:bottom="280" w:left="960" w:header="872" w:footer="0" w:gutter="0"/>
          <w:pgNumType w:start="111"/>
          <w:cols w:space="720" w:num="1"/>
        </w:sectPr>
      </w:pPr>
    </w:p>
    <w:p>
      <w:pPr>
        <w:pStyle w:val="8"/>
        <w:spacing w:before="4"/>
        <w:rPr>
          <w:sz w:val="16"/>
        </w:rPr>
      </w:pPr>
    </w:p>
    <w:p>
      <w:pPr>
        <w:pStyle w:val="8"/>
        <w:spacing w:before="70"/>
        <w:ind w:left="838"/>
      </w:pPr>
      <w:r>
        <w:rPr>
          <w:rFonts w:hint="eastAsia"/>
        </w:rPr>
        <w:t>品及回扣、好处费、感谢费等。</w:t>
      </w:r>
      <w:r>
        <w:t xml:space="preserve"> </w:t>
      </w:r>
    </w:p>
    <w:p>
      <w:pPr>
        <w:pStyle w:val="33"/>
        <w:numPr>
          <w:ilvl w:val="1"/>
          <w:numId w:val="50"/>
        </w:numPr>
        <w:tabs>
          <w:tab w:val="left" w:pos="1627"/>
        </w:tabs>
        <w:spacing w:before="139"/>
        <w:ind w:left="1626" w:hanging="369"/>
        <w:rPr>
          <w:sz w:val="21"/>
        </w:rPr>
      </w:pPr>
      <w:r>
        <w:rPr>
          <w:rFonts w:hint="eastAsia"/>
          <w:sz w:val="21"/>
        </w:rPr>
        <w:t>不得以任何理由为发包人和相关单位报销应由对方或个人支付的费用。</w:t>
      </w:r>
      <w:r>
        <w:rPr>
          <w:sz w:val="21"/>
        </w:rPr>
        <w:t xml:space="preserve"> </w:t>
      </w:r>
    </w:p>
    <w:p>
      <w:pPr>
        <w:pStyle w:val="33"/>
        <w:numPr>
          <w:ilvl w:val="1"/>
          <w:numId w:val="50"/>
        </w:numPr>
        <w:tabs>
          <w:tab w:val="left" w:pos="1627"/>
        </w:tabs>
        <w:spacing w:before="140" w:line="364" w:lineRule="auto"/>
        <w:ind w:left="838" w:right="1794" w:firstLine="420"/>
        <w:rPr>
          <w:sz w:val="21"/>
        </w:rPr>
      </w:pPr>
      <w:r>
        <w:rPr>
          <w:rFonts w:hint="eastAsia"/>
          <w:spacing w:val="-4"/>
          <w:sz w:val="21"/>
        </w:rPr>
        <w:t>不得接受或暗示为发包人、相关单位或个人装修住房、婚丧嫁娶、配偶子女的工作</w:t>
      </w:r>
      <w:r>
        <w:rPr>
          <w:rFonts w:hint="eastAsia"/>
          <w:sz w:val="21"/>
        </w:rPr>
        <w:t>安排以及出国（境</w:t>
      </w:r>
      <w:r>
        <w:rPr>
          <w:rFonts w:hint="eastAsia"/>
          <w:spacing w:val="-105"/>
          <w:sz w:val="21"/>
        </w:rPr>
        <w:t>）</w:t>
      </w:r>
      <w:r>
        <w:rPr>
          <w:rFonts w:hint="eastAsia"/>
          <w:sz w:val="21"/>
        </w:rPr>
        <w:t>、旅游等提供方便。</w:t>
      </w:r>
      <w:r>
        <w:rPr>
          <w:sz w:val="21"/>
        </w:rPr>
        <w:t xml:space="preserve"> </w:t>
      </w:r>
    </w:p>
    <w:p>
      <w:pPr>
        <w:pStyle w:val="33"/>
        <w:numPr>
          <w:ilvl w:val="1"/>
          <w:numId w:val="50"/>
        </w:numPr>
        <w:tabs>
          <w:tab w:val="left" w:pos="1627"/>
        </w:tabs>
        <w:spacing w:line="364" w:lineRule="auto"/>
        <w:ind w:left="838" w:right="1758" w:firstLine="420"/>
        <w:rPr>
          <w:sz w:val="21"/>
        </w:rPr>
      </w:pPr>
      <w:r>
        <w:rPr>
          <w:rFonts w:hint="eastAsia"/>
          <w:spacing w:val="-1"/>
          <w:sz w:val="21"/>
        </w:rPr>
        <w:t>不得以任何理由为发包人、相关单位或个人组织有可能影响公正执行公务的宴请、</w:t>
      </w:r>
      <w:r>
        <w:rPr>
          <w:rFonts w:hint="eastAsia"/>
          <w:sz w:val="21"/>
        </w:rPr>
        <w:t>健身、娱乐等活动。</w:t>
      </w:r>
      <w:r>
        <w:rPr>
          <w:sz w:val="21"/>
        </w:rPr>
        <w:t xml:space="preserve"> </w:t>
      </w:r>
    </w:p>
    <w:p>
      <w:pPr>
        <w:pStyle w:val="8"/>
        <w:spacing w:line="268" w:lineRule="exact"/>
        <w:ind w:left="1258"/>
      </w:pPr>
      <w:r>
        <w:rPr>
          <w:rFonts w:hint="eastAsia"/>
        </w:rPr>
        <w:t>四、违约责任</w:t>
      </w:r>
      <w:r>
        <w:t xml:space="preserve"> </w:t>
      </w:r>
    </w:p>
    <w:p>
      <w:pPr>
        <w:pStyle w:val="33"/>
        <w:numPr>
          <w:ilvl w:val="1"/>
          <w:numId w:val="51"/>
        </w:numPr>
        <w:tabs>
          <w:tab w:val="left" w:pos="1627"/>
        </w:tabs>
        <w:spacing w:before="139" w:line="364" w:lineRule="auto"/>
        <w:ind w:right="1792" w:firstLine="420"/>
        <w:jc w:val="both"/>
        <w:rPr>
          <w:sz w:val="21"/>
        </w:rPr>
      </w:pPr>
      <w:r>
        <w:rPr>
          <w:rFonts w:hint="eastAsia"/>
          <w:spacing w:val="-4"/>
          <w:sz w:val="21"/>
        </w:rPr>
        <w:t>发包人工作人员有违反本责任书第一、二条责任行为的，依据有关法律、法规给予</w:t>
      </w:r>
      <w:r>
        <w:rPr>
          <w:rFonts w:hint="eastAsia"/>
          <w:spacing w:val="-10"/>
          <w:sz w:val="21"/>
        </w:rPr>
        <w:t>处理；涉嫌犯罪的，移交司法机关追究刑事责任；给承包人单位造成经济损失的，应予以赔</w:t>
      </w:r>
      <w:r>
        <w:rPr>
          <w:rFonts w:hint="eastAsia"/>
          <w:sz w:val="21"/>
        </w:rPr>
        <w:t>偿。</w:t>
      </w:r>
      <w:r>
        <w:rPr>
          <w:sz w:val="21"/>
        </w:rPr>
        <w:t xml:space="preserve"> </w:t>
      </w:r>
    </w:p>
    <w:p>
      <w:pPr>
        <w:pStyle w:val="33"/>
        <w:numPr>
          <w:ilvl w:val="1"/>
          <w:numId w:val="51"/>
        </w:numPr>
        <w:tabs>
          <w:tab w:val="left" w:pos="1574"/>
        </w:tabs>
        <w:spacing w:line="364" w:lineRule="auto"/>
        <w:ind w:right="1705" w:firstLine="420"/>
        <w:rPr>
          <w:sz w:val="21"/>
        </w:rPr>
      </w:pPr>
      <w:r>
        <w:rPr>
          <w:rFonts w:hint="eastAsia"/>
          <w:spacing w:val="-1"/>
          <w:sz w:val="21"/>
        </w:rPr>
        <w:t>承包人工作人员有违反本责任书第一、三条责任行为的，依据有关法律法规处理；</w:t>
      </w:r>
      <w:r>
        <w:rPr>
          <w:spacing w:val="-1"/>
          <w:sz w:val="21"/>
        </w:rPr>
        <w:t xml:space="preserve"> </w:t>
      </w:r>
      <w:r>
        <w:rPr>
          <w:rFonts w:hint="eastAsia"/>
          <w:sz w:val="21"/>
        </w:rPr>
        <w:t>涉嫌犯罪的，移交司法机关追究刑事责任；给发包人单位造成经济损失的，应予以赔偿。</w:t>
      </w:r>
      <w:r>
        <w:rPr>
          <w:sz w:val="21"/>
        </w:rPr>
        <w:t xml:space="preserve"> </w:t>
      </w:r>
    </w:p>
    <w:p>
      <w:pPr>
        <w:pStyle w:val="33"/>
        <w:numPr>
          <w:ilvl w:val="1"/>
          <w:numId w:val="51"/>
        </w:numPr>
        <w:tabs>
          <w:tab w:val="left" w:pos="1574"/>
        </w:tabs>
        <w:spacing w:line="364" w:lineRule="auto"/>
        <w:ind w:right="1794" w:firstLine="420"/>
        <w:rPr>
          <w:sz w:val="21"/>
        </w:rPr>
      </w:pPr>
      <w:r>
        <w:rPr>
          <w:rFonts w:hint="eastAsia"/>
          <w:spacing w:val="-6"/>
          <w:sz w:val="21"/>
        </w:rPr>
        <w:t>本责任书作为建设工程合同的组成部分，与建设工程合同具有同等法律效力。经双</w:t>
      </w:r>
      <w:r>
        <w:rPr>
          <w:rFonts w:hint="eastAsia"/>
          <w:sz w:val="21"/>
        </w:rPr>
        <w:t>方签署后立即生效。</w:t>
      </w:r>
      <w:r>
        <w:rPr>
          <w:sz w:val="21"/>
        </w:rPr>
        <w:t xml:space="preserve"> </w:t>
      </w:r>
    </w:p>
    <w:p>
      <w:pPr>
        <w:pStyle w:val="8"/>
        <w:spacing w:line="268" w:lineRule="exact"/>
        <w:ind w:left="1258"/>
      </w:pPr>
      <w:r>
        <w:rPr>
          <w:rFonts w:hint="eastAsia"/>
        </w:rPr>
        <w:t>五、责任书有效期</w:t>
      </w:r>
      <w:r>
        <w:t xml:space="preserve"> </w:t>
      </w:r>
    </w:p>
    <w:p>
      <w:pPr>
        <w:pStyle w:val="8"/>
        <w:spacing w:before="136" w:line="364" w:lineRule="auto"/>
        <w:ind w:left="1258" w:right="3070"/>
      </w:pPr>
      <w:r>
        <w:rPr>
          <w:rFonts w:hint="eastAsia"/>
        </w:rPr>
        <w:t>本责任书的有效期为双方签署之日起至该工程项目竣工验收合格时止。六、责任书份数</w:t>
      </w:r>
      <w:r>
        <w:t xml:space="preserve"> </w:t>
      </w:r>
    </w:p>
    <w:p>
      <w:pPr>
        <w:pStyle w:val="8"/>
        <w:spacing w:line="269" w:lineRule="exact"/>
        <w:ind w:left="1258"/>
      </w:pPr>
      <w:r>
        <w:rPr>
          <w:rFonts w:hint="eastAsia"/>
        </w:rPr>
        <w:t>本责任书一式二份，发包人承包人各执一份，具有同等效力。</w:t>
      </w:r>
      <w:r>
        <w:t xml:space="preserve"> </w:t>
      </w:r>
    </w:p>
    <w:p>
      <w:pPr>
        <w:pStyle w:val="8"/>
        <w:spacing w:before="141"/>
        <w:ind w:left="838"/>
      </w:pPr>
      <w:r>
        <w:t xml:space="preserve"> </w:t>
      </w:r>
    </w:p>
    <w:p>
      <w:pPr>
        <w:pStyle w:val="8"/>
        <w:spacing w:before="139" w:line="364" w:lineRule="auto"/>
        <w:ind w:left="838" w:right="1583"/>
      </w:pPr>
      <w:r>
        <w:rPr>
          <w:rFonts w:hint="eastAsia"/>
        </w:rPr>
        <w:t>发</w:t>
      </w:r>
      <w:r>
        <w:t xml:space="preserve"> </w:t>
      </w:r>
      <w:r>
        <w:rPr>
          <w:rFonts w:hint="eastAsia"/>
        </w:rPr>
        <w:t>包</w:t>
      </w:r>
      <w:r>
        <w:t xml:space="preserve"> </w:t>
      </w:r>
      <w:r>
        <w:rPr>
          <w:rFonts w:hint="eastAsia"/>
        </w:rPr>
        <w:t>人</w:t>
      </w:r>
      <w:r>
        <w:t xml:space="preserve"> </w:t>
      </w:r>
      <w:r>
        <w:rPr>
          <w:rFonts w:hint="eastAsia"/>
        </w:rPr>
        <w:t>：</w:t>
      </w:r>
      <w:r>
        <w:rPr>
          <w:u w:val="single"/>
        </w:rPr>
        <w:t xml:space="preserve">                  </w:t>
      </w:r>
      <w:r>
        <w:rPr>
          <w:rFonts w:hint="eastAsia"/>
        </w:rPr>
        <w:t>（</w:t>
      </w:r>
      <w:r>
        <w:t xml:space="preserve"> </w:t>
      </w:r>
      <w:r>
        <w:rPr>
          <w:rFonts w:hint="eastAsia"/>
        </w:rPr>
        <w:t>公</w:t>
      </w:r>
      <w:r>
        <w:t xml:space="preserve"> </w:t>
      </w:r>
      <w:r>
        <w:rPr>
          <w:rFonts w:hint="eastAsia"/>
        </w:rPr>
        <w:t>章</w:t>
      </w:r>
      <w:r>
        <w:t xml:space="preserve"> </w:t>
      </w:r>
      <w:r>
        <w:rPr>
          <w:rFonts w:hint="eastAsia"/>
        </w:rPr>
        <w:t>）</w:t>
      </w:r>
      <w:r>
        <w:t xml:space="preserve">   </w:t>
      </w:r>
      <w:r>
        <w:rPr>
          <w:rFonts w:hint="eastAsia"/>
        </w:rPr>
        <w:t>承</w:t>
      </w:r>
      <w:r>
        <w:t xml:space="preserve"> </w:t>
      </w:r>
      <w:r>
        <w:rPr>
          <w:rFonts w:hint="eastAsia"/>
        </w:rPr>
        <w:t>包</w:t>
      </w:r>
      <w:r>
        <w:t xml:space="preserve"> </w:t>
      </w:r>
      <w:r>
        <w:rPr>
          <w:rFonts w:hint="eastAsia"/>
        </w:rPr>
        <w:t>人</w:t>
      </w:r>
      <w:r>
        <w:t xml:space="preserve"> </w:t>
      </w:r>
      <w:r>
        <w:rPr>
          <w:rFonts w:hint="eastAsia"/>
        </w:rPr>
        <w:t>：</w:t>
      </w:r>
      <w:r>
        <w:rPr>
          <w:u w:val="single"/>
        </w:rPr>
        <w:t xml:space="preserve">               </w:t>
      </w:r>
      <w:r>
        <w:rPr>
          <w:rFonts w:hint="eastAsia"/>
        </w:rPr>
        <w:t>（</w:t>
      </w:r>
      <w:r>
        <w:t xml:space="preserve"> </w:t>
      </w:r>
      <w:r>
        <w:rPr>
          <w:rFonts w:hint="eastAsia"/>
        </w:rPr>
        <w:t>公</w:t>
      </w:r>
      <w:r>
        <w:t xml:space="preserve"> </w:t>
      </w:r>
      <w:r>
        <w:rPr>
          <w:rFonts w:hint="eastAsia"/>
        </w:rPr>
        <w:t>章</w:t>
      </w:r>
      <w:r>
        <w:t xml:space="preserve"> </w:t>
      </w:r>
      <w:r>
        <w:rPr>
          <w:rFonts w:hint="eastAsia"/>
          <w:spacing w:val="-87"/>
        </w:rPr>
        <w:t>）</w:t>
      </w:r>
      <w:r>
        <w:rPr>
          <w:spacing w:val="-87"/>
        </w:rPr>
        <w:t xml:space="preserve"> </w:t>
      </w:r>
      <w:r>
        <w:rPr>
          <w:rFonts w:hint="eastAsia"/>
        </w:rPr>
        <w:t>法</w:t>
      </w:r>
      <w:r>
        <w:t xml:space="preserve"> </w:t>
      </w:r>
      <w:r>
        <w:rPr>
          <w:rFonts w:hint="eastAsia"/>
        </w:rPr>
        <w:t>定</w:t>
      </w:r>
      <w:r>
        <w:t xml:space="preserve"> </w:t>
      </w:r>
      <w:r>
        <w:rPr>
          <w:rFonts w:hint="eastAsia"/>
        </w:rPr>
        <w:t>地</w:t>
      </w:r>
      <w:r>
        <w:t xml:space="preserve"> </w:t>
      </w:r>
      <w:r>
        <w:rPr>
          <w:rFonts w:hint="eastAsia"/>
        </w:rPr>
        <w:t>址</w:t>
      </w:r>
      <w:r>
        <w:t xml:space="preserve"> </w:t>
      </w:r>
      <w:r>
        <w:rPr>
          <w:rFonts w:hint="eastAsia"/>
        </w:rPr>
        <w:t>：</w:t>
      </w:r>
      <w:r>
        <w:rPr>
          <w:u w:val="single"/>
        </w:rPr>
        <w:t xml:space="preserve">                             </w:t>
      </w:r>
      <w:r>
        <w:rPr>
          <w:rFonts w:hint="eastAsia"/>
        </w:rPr>
        <w:t>法</w:t>
      </w:r>
      <w:r>
        <w:t xml:space="preserve"> </w:t>
      </w:r>
      <w:r>
        <w:rPr>
          <w:rFonts w:hint="eastAsia"/>
        </w:rPr>
        <w:t>定</w:t>
      </w:r>
      <w:r>
        <w:t xml:space="preserve"> </w:t>
      </w:r>
      <w:r>
        <w:rPr>
          <w:rFonts w:hint="eastAsia"/>
        </w:rPr>
        <w:t>地</w:t>
      </w:r>
      <w:r>
        <w:t xml:space="preserve"> </w:t>
      </w:r>
      <w:r>
        <w:rPr>
          <w:rFonts w:hint="eastAsia"/>
        </w:rPr>
        <w:t>址</w:t>
      </w:r>
      <w:r>
        <w:t xml:space="preserve"> </w:t>
      </w:r>
      <w:r>
        <w:rPr>
          <w:rFonts w:hint="eastAsia"/>
        </w:rPr>
        <w:t>：</w:t>
      </w:r>
      <w:r>
        <w:rPr>
          <w:u w:val="single"/>
        </w:rPr>
        <w:t xml:space="preserve">                       </w:t>
      </w:r>
      <w:r>
        <w:t xml:space="preserve"> </w:t>
      </w:r>
    </w:p>
    <w:p>
      <w:pPr>
        <w:pStyle w:val="8"/>
        <w:spacing w:before="139" w:line="364" w:lineRule="auto"/>
        <w:ind w:left="838" w:right="1583"/>
      </w:pPr>
      <w:r>
        <w:rPr>
          <w:rFonts w:hint="eastAsia"/>
        </w:rPr>
        <w:t>法</w:t>
      </w:r>
      <w:r>
        <w:t xml:space="preserve"> </w:t>
      </w:r>
      <w:r>
        <w:rPr>
          <w:rFonts w:hint="eastAsia"/>
        </w:rPr>
        <w:t>定</w:t>
      </w:r>
      <w:r>
        <w:t xml:space="preserve"> </w:t>
      </w:r>
      <w:r>
        <w:rPr>
          <w:rFonts w:hint="eastAsia"/>
        </w:rPr>
        <w:t>代</w:t>
      </w:r>
      <w:r>
        <w:t xml:space="preserve"> </w:t>
      </w:r>
      <w:r>
        <w:rPr>
          <w:rFonts w:hint="eastAsia"/>
        </w:rPr>
        <w:t>表</w:t>
      </w:r>
      <w:r>
        <w:t xml:space="preserve"> </w:t>
      </w:r>
      <w:r>
        <w:rPr>
          <w:rFonts w:hint="eastAsia"/>
        </w:rPr>
        <w:t>人</w:t>
      </w:r>
      <w:r>
        <w:t xml:space="preserve"> </w:t>
      </w:r>
      <w:r>
        <w:rPr>
          <w:rFonts w:hint="eastAsia"/>
        </w:rPr>
        <w:t>或</w:t>
      </w:r>
      <w:r>
        <w:t xml:space="preserve"> </w:t>
      </w:r>
      <w:r>
        <w:rPr>
          <w:rFonts w:hint="eastAsia"/>
        </w:rPr>
        <w:t>其</w:t>
      </w:r>
      <w:r>
        <w:t xml:space="preserve">                       </w:t>
      </w:r>
      <w:r>
        <w:rPr>
          <w:rFonts w:hint="eastAsia"/>
        </w:rPr>
        <w:t>法</w:t>
      </w:r>
      <w:r>
        <w:t xml:space="preserve"> </w:t>
      </w:r>
      <w:r>
        <w:rPr>
          <w:rFonts w:hint="eastAsia"/>
        </w:rPr>
        <w:t>定</w:t>
      </w:r>
      <w:r>
        <w:t xml:space="preserve"> </w:t>
      </w:r>
      <w:r>
        <w:rPr>
          <w:rFonts w:hint="eastAsia"/>
        </w:rPr>
        <w:t>代</w:t>
      </w:r>
      <w:r>
        <w:t xml:space="preserve"> </w:t>
      </w:r>
      <w:r>
        <w:rPr>
          <w:rFonts w:hint="eastAsia"/>
        </w:rPr>
        <w:t>表</w:t>
      </w:r>
      <w:r>
        <w:t xml:space="preserve"> </w:t>
      </w:r>
      <w:r>
        <w:rPr>
          <w:rFonts w:hint="eastAsia"/>
        </w:rPr>
        <w:t>人</w:t>
      </w:r>
      <w:r>
        <w:t xml:space="preserve"> </w:t>
      </w:r>
      <w:r>
        <w:rPr>
          <w:rFonts w:hint="eastAsia"/>
        </w:rPr>
        <w:t>或</w:t>
      </w:r>
      <w:r>
        <w:t xml:space="preserve"> </w:t>
      </w:r>
      <w:r>
        <w:rPr>
          <w:rFonts w:hint="eastAsia"/>
        </w:rPr>
        <w:t>其</w:t>
      </w:r>
      <w:r>
        <w:t xml:space="preserve"> </w:t>
      </w:r>
    </w:p>
    <w:p>
      <w:pPr>
        <w:pStyle w:val="8"/>
        <w:spacing w:line="267" w:lineRule="exact"/>
        <w:ind w:left="838"/>
      </w:pPr>
      <w:r>
        <w:rPr>
          <w:rFonts w:hint="eastAsia"/>
        </w:rPr>
        <w:t>委</w:t>
      </w:r>
      <w:r>
        <w:t xml:space="preserve"> </w:t>
      </w:r>
      <w:r>
        <w:rPr>
          <w:rFonts w:hint="eastAsia"/>
        </w:rPr>
        <w:t>托</w:t>
      </w:r>
      <w:r>
        <w:t xml:space="preserve"> </w:t>
      </w:r>
      <w:r>
        <w:rPr>
          <w:rFonts w:hint="eastAsia"/>
        </w:rPr>
        <w:t>代</w:t>
      </w:r>
      <w:r>
        <w:t xml:space="preserve"> </w:t>
      </w:r>
      <w:r>
        <w:rPr>
          <w:rFonts w:hint="eastAsia"/>
        </w:rPr>
        <w:t>理</w:t>
      </w:r>
      <w:r>
        <w:t xml:space="preserve"> </w:t>
      </w:r>
      <w:r>
        <w:rPr>
          <w:rFonts w:hint="eastAsia"/>
        </w:rPr>
        <w:t>人</w:t>
      </w:r>
      <w:r>
        <w:t xml:space="preserve"> </w:t>
      </w:r>
      <w:r>
        <w:rPr>
          <w:rFonts w:hint="eastAsia"/>
        </w:rPr>
        <w:t>：</w:t>
      </w:r>
      <w:r>
        <w:rPr>
          <w:u w:val="single"/>
        </w:rPr>
        <w:t xml:space="preserve">             </w:t>
      </w:r>
      <w:r>
        <w:rPr>
          <w:rFonts w:hint="eastAsia"/>
        </w:rPr>
        <w:t>（</w:t>
      </w:r>
      <w:r>
        <w:t xml:space="preserve"> </w:t>
      </w:r>
      <w:r>
        <w:rPr>
          <w:rFonts w:hint="eastAsia"/>
        </w:rPr>
        <w:t>签</w:t>
      </w:r>
      <w:r>
        <w:t xml:space="preserve"> </w:t>
      </w:r>
      <w:r>
        <w:rPr>
          <w:rFonts w:hint="eastAsia"/>
        </w:rPr>
        <w:t>字</w:t>
      </w:r>
      <w:r>
        <w:t xml:space="preserve"> </w:t>
      </w:r>
      <w:r>
        <w:rPr>
          <w:rFonts w:hint="eastAsia"/>
        </w:rPr>
        <w:t>）</w:t>
      </w:r>
      <w:r>
        <w:t xml:space="preserve">  </w:t>
      </w:r>
      <w:r>
        <w:rPr>
          <w:rFonts w:hint="eastAsia"/>
        </w:rPr>
        <w:t>委</w:t>
      </w:r>
      <w:r>
        <w:t xml:space="preserve"> </w:t>
      </w:r>
      <w:r>
        <w:rPr>
          <w:rFonts w:hint="eastAsia"/>
        </w:rPr>
        <w:t>托</w:t>
      </w:r>
      <w:r>
        <w:t xml:space="preserve"> </w:t>
      </w:r>
      <w:r>
        <w:rPr>
          <w:rFonts w:hint="eastAsia"/>
        </w:rPr>
        <w:t>代</w:t>
      </w:r>
      <w:r>
        <w:t xml:space="preserve"> </w:t>
      </w:r>
      <w:r>
        <w:rPr>
          <w:rFonts w:hint="eastAsia"/>
        </w:rPr>
        <w:t>理</w:t>
      </w:r>
      <w:r>
        <w:t xml:space="preserve"> </w:t>
      </w:r>
      <w:r>
        <w:rPr>
          <w:rFonts w:hint="eastAsia"/>
        </w:rPr>
        <w:t>人</w:t>
      </w:r>
      <w:r>
        <w:t xml:space="preserve"> </w:t>
      </w:r>
      <w:r>
        <w:rPr>
          <w:rFonts w:hint="eastAsia"/>
        </w:rPr>
        <w:t>：</w:t>
      </w:r>
      <w:r>
        <w:rPr>
          <w:spacing w:val="98"/>
          <w:u w:val="single"/>
        </w:rPr>
        <w:t xml:space="preserve">         </w:t>
      </w:r>
      <w:r>
        <w:rPr>
          <w:rFonts w:hint="eastAsia"/>
        </w:rPr>
        <w:t>（</w:t>
      </w:r>
      <w:r>
        <w:t xml:space="preserve"> </w:t>
      </w:r>
      <w:r>
        <w:rPr>
          <w:rFonts w:hint="eastAsia"/>
        </w:rPr>
        <w:t>签</w:t>
      </w:r>
      <w:r>
        <w:t xml:space="preserve"> </w:t>
      </w:r>
      <w:r>
        <w:rPr>
          <w:rFonts w:hint="eastAsia"/>
        </w:rPr>
        <w:t>字</w:t>
      </w:r>
      <w:r>
        <w:t xml:space="preserve"> </w:t>
      </w:r>
      <w:r>
        <w:rPr>
          <w:rFonts w:hint="eastAsia"/>
          <w:spacing w:val="-87"/>
        </w:rPr>
        <w:t>）</w:t>
      </w:r>
      <w:r>
        <w:t xml:space="preserve"> </w:t>
      </w:r>
    </w:p>
    <w:p>
      <w:pPr>
        <w:pStyle w:val="8"/>
        <w:spacing w:before="140" w:line="364" w:lineRule="auto"/>
        <w:ind w:left="838" w:right="451"/>
      </w:pPr>
      <w:r>
        <w:rPr>
          <w:rFonts w:hint="eastAsia"/>
        </w:rPr>
        <w:t>电</w:t>
      </w:r>
      <w:r>
        <w:t xml:space="preserve"> </w:t>
      </w:r>
      <w:r>
        <w:rPr>
          <w:rFonts w:hint="eastAsia"/>
        </w:rPr>
        <w:t>话</w:t>
      </w:r>
      <w:r>
        <w:t xml:space="preserve"> </w:t>
      </w:r>
      <w:r>
        <w:rPr>
          <w:rFonts w:hint="eastAsia"/>
        </w:rPr>
        <w:t>：</w:t>
      </w:r>
      <w:r>
        <w:rPr>
          <w:u w:val="single"/>
        </w:rPr>
        <w:t xml:space="preserve">                                   </w:t>
      </w:r>
      <w:r>
        <w:rPr>
          <w:rFonts w:hint="eastAsia"/>
        </w:rPr>
        <w:t>电</w:t>
      </w:r>
      <w:r>
        <w:t xml:space="preserve"> </w:t>
      </w:r>
      <w:r>
        <w:rPr>
          <w:rFonts w:hint="eastAsia"/>
        </w:rPr>
        <w:t>话</w:t>
      </w:r>
      <w:r>
        <w:t xml:space="preserve"> </w:t>
      </w:r>
      <w:r>
        <w:rPr>
          <w:rFonts w:hint="eastAsia"/>
        </w:rPr>
        <w:t>：</w:t>
      </w:r>
      <w:r>
        <w:rPr>
          <w:u w:val="single"/>
          <w:lang w:eastAsia="zh-CN"/>
        </w:rPr>
        <w:t xml:space="preserve">                             </w:t>
      </w:r>
      <w:r>
        <w:t xml:space="preserve"> </w:t>
      </w:r>
    </w:p>
    <w:p>
      <w:pPr>
        <w:pStyle w:val="8"/>
        <w:spacing w:before="140" w:line="364" w:lineRule="auto"/>
        <w:ind w:left="838" w:right="451"/>
      </w:pPr>
      <w:r>
        <w:rPr>
          <w:rFonts w:hint="eastAsia"/>
        </w:rPr>
        <w:t>传</w:t>
      </w:r>
      <w:r>
        <w:t xml:space="preserve"> </w:t>
      </w:r>
      <w:r>
        <w:rPr>
          <w:rFonts w:hint="eastAsia"/>
        </w:rPr>
        <w:t>真</w:t>
      </w:r>
      <w:r>
        <w:t xml:space="preserve"> </w:t>
      </w:r>
      <w:r>
        <w:rPr>
          <w:rFonts w:hint="eastAsia"/>
        </w:rPr>
        <w:t>：</w:t>
      </w:r>
      <w:r>
        <w:rPr>
          <w:u w:val="single"/>
        </w:rPr>
        <w:t xml:space="preserve">                                   </w:t>
      </w:r>
      <w:r>
        <w:rPr>
          <w:rFonts w:hint="eastAsia"/>
        </w:rPr>
        <w:t>传</w:t>
      </w:r>
      <w:r>
        <w:t xml:space="preserve"> </w:t>
      </w:r>
      <w:r>
        <w:rPr>
          <w:rFonts w:hint="eastAsia"/>
        </w:rPr>
        <w:t>真</w:t>
      </w:r>
      <w:r>
        <w:t xml:space="preserve"> </w:t>
      </w:r>
      <w:r>
        <w:rPr>
          <w:rFonts w:hint="eastAsia"/>
        </w:rPr>
        <w:t>：</w:t>
      </w:r>
      <w:r>
        <w:rPr>
          <w:u w:val="single"/>
          <w:lang w:eastAsia="zh-CN"/>
        </w:rPr>
        <w:t xml:space="preserve">                             </w:t>
      </w:r>
      <w:r>
        <w:t xml:space="preserve"> </w:t>
      </w:r>
    </w:p>
    <w:p>
      <w:pPr>
        <w:pStyle w:val="8"/>
        <w:spacing w:before="140" w:line="364" w:lineRule="auto"/>
        <w:ind w:left="838" w:right="451"/>
      </w:pPr>
      <w:r>
        <w:rPr>
          <w:rFonts w:hint="eastAsia"/>
        </w:rPr>
        <w:t>电</w:t>
      </w:r>
      <w:r>
        <w:t xml:space="preserve"> </w:t>
      </w:r>
      <w:r>
        <w:rPr>
          <w:rFonts w:hint="eastAsia"/>
        </w:rPr>
        <w:t>子</w:t>
      </w:r>
      <w:r>
        <w:t xml:space="preserve"> </w:t>
      </w:r>
      <w:r>
        <w:rPr>
          <w:rFonts w:hint="eastAsia"/>
        </w:rPr>
        <w:t>邮</w:t>
      </w:r>
      <w:r>
        <w:t xml:space="preserve"> </w:t>
      </w:r>
      <w:r>
        <w:rPr>
          <w:rFonts w:hint="eastAsia"/>
        </w:rPr>
        <w:t>箱</w:t>
      </w:r>
      <w:r>
        <w:t xml:space="preserve"> </w:t>
      </w:r>
      <w:r>
        <w:rPr>
          <w:rFonts w:hint="eastAsia"/>
        </w:rPr>
        <w:t>：</w:t>
      </w:r>
      <w:r>
        <w:rPr>
          <w:spacing w:val="7"/>
          <w:u w:val="single"/>
        </w:rPr>
        <w:t xml:space="preserve">                           </w:t>
      </w:r>
      <w:r>
        <w:rPr>
          <w:rFonts w:hint="eastAsia"/>
          <w:spacing w:val="7"/>
        </w:rPr>
        <w:t>电</w:t>
      </w:r>
      <w:r>
        <w:rPr>
          <w:spacing w:val="7"/>
        </w:rPr>
        <w:t xml:space="preserve"> </w:t>
      </w:r>
      <w:r>
        <w:rPr>
          <w:rFonts w:hint="eastAsia"/>
          <w:spacing w:val="7"/>
        </w:rPr>
        <w:t>子</w:t>
      </w:r>
      <w:r>
        <w:rPr>
          <w:spacing w:val="7"/>
        </w:rPr>
        <w:t xml:space="preserve"> </w:t>
      </w:r>
      <w:r>
        <w:rPr>
          <w:rFonts w:hint="eastAsia"/>
          <w:spacing w:val="7"/>
        </w:rPr>
        <w:t>邮</w:t>
      </w:r>
      <w:r>
        <w:rPr>
          <w:spacing w:val="7"/>
        </w:rPr>
        <w:t xml:space="preserve"> </w:t>
      </w:r>
      <w:r>
        <w:rPr>
          <w:rFonts w:hint="eastAsia"/>
          <w:spacing w:val="7"/>
        </w:rPr>
        <w:t>箱</w:t>
      </w:r>
      <w:r>
        <w:rPr>
          <w:spacing w:val="7"/>
        </w:rPr>
        <w:t xml:space="preserve"> </w:t>
      </w:r>
      <w:r>
        <w:rPr>
          <w:rFonts w:hint="eastAsia"/>
          <w:spacing w:val="7"/>
        </w:rPr>
        <w:t>：</w:t>
      </w:r>
      <w:r>
        <w:rPr>
          <w:spacing w:val="7"/>
          <w:u w:val="single"/>
        </w:rPr>
        <w:t xml:space="preserve">      </w:t>
      </w:r>
      <w:r>
        <w:rPr>
          <w:spacing w:val="-1"/>
          <w:u w:val="single"/>
        </w:rPr>
        <w:t xml:space="preserve"> </w:t>
      </w:r>
      <w:r>
        <w:rPr>
          <w:u w:val="single"/>
        </w:rPr>
        <w:t xml:space="preserve">         </w:t>
      </w:r>
      <w:r>
        <w:rPr>
          <w:spacing w:val="-1"/>
          <w:u w:val="single"/>
        </w:rPr>
        <w:t xml:space="preserve">  </w:t>
      </w:r>
      <w:r>
        <w:rPr>
          <w:u w:val="single"/>
        </w:rPr>
        <w:t xml:space="preserve">       </w:t>
      </w:r>
    </w:p>
    <w:p>
      <w:pPr>
        <w:pStyle w:val="8"/>
        <w:spacing w:line="364" w:lineRule="auto"/>
        <w:ind w:left="838" w:right="869"/>
      </w:pPr>
      <w:r>
        <w:rPr>
          <w:rFonts w:hint="eastAsia"/>
        </w:rPr>
        <w:t>开</w:t>
      </w:r>
      <w:r>
        <w:t xml:space="preserve"> </w:t>
      </w:r>
      <w:r>
        <w:rPr>
          <w:rFonts w:hint="eastAsia"/>
        </w:rPr>
        <w:t>户</w:t>
      </w:r>
      <w:r>
        <w:t xml:space="preserve"> </w:t>
      </w:r>
      <w:r>
        <w:rPr>
          <w:rFonts w:hint="eastAsia"/>
        </w:rPr>
        <w:t>银</w:t>
      </w:r>
      <w:r>
        <w:t xml:space="preserve"> </w:t>
      </w:r>
      <w:r>
        <w:rPr>
          <w:rFonts w:hint="eastAsia"/>
        </w:rPr>
        <w:t>行</w:t>
      </w:r>
      <w:r>
        <w:t xml:space="preserve"> </w:t>
      </w:r>
      <w:r>
        <w:rPr>
          <w:rFonts w:hint="eastAsia"/>
        </w:rPr>
        <w:t>：</w:t>
      </w:r>
      <w:r>
        <w:rPr>
          <w:u w:val="single"/>
        </w:rPr>
        <w:t xml:space="preserve">                            </w:t>
      </w:r>
      <w:r>
        <w:t xml:space="preserve"> </w:t>
      </w:r>
      <w:r>
        <w:rPr>
          <w:rFonts w:hint="eastAsia"/>
        </w:rPr>
        <w:t>开</w:t>
      </w:r>
      <w:r>
        <w:t xml:space="preserve"> </w:t>
      </w:r>
      <w:r>
        <w:rPr>
          <w:rFonts w:hint="eastAsia"/>
        </w:rPr>
        <w:t>户</w:t>
      </w:r>
      <w:r>
        <w:t xml:space="preserve"> </w:t>
      </w:r>
      <w:r>
        <w:rPr>
          <w:rFonts w:hint="eastAsia"/>
        </w:rPr>
        <w:t>银</w:t>
      </w:r>
      <w:r>
        <w:t xml:space="preserve"> </w:t>
      </w:r>
      <w:r>
        <w:rPr>
          <w:rFonts w:hint="eastAsia"/>
        </w:rPr>
        <w:t>行</w:t>
      </w:r>
      <w:r>
        <w:t xml:space="preserve"> </w:t>
      </w:r>
      <w:r>
        <w:rPr>
          <w:rFonts w:hint="eastAsia"/>
        </w:rPr>
        <w:t>：</w:t>
      </w:r>
      <w:r>
        <w:rPr>
          <w:u w:val="single"/>
          <w:lang w:eastAsia="zh-CN"/>
        </w:rPr>
        <w:t xml:space="preserve">                          </w:t>
      </w:r>
      <w:r>
        <w:t xml:space="preserve"> </w:t>
      </w:r>
    </w:p>
    <w:p>
      <w:pPr>
        <w:pStyle w:val="8"/>
        <w:spacing w:line="364" w:lineRule="auto"/>
        <w:ind w:left="838" w:right="869"/>
      </w:pPr>
      <w:r>
        <w:rPr>
          <w:rFonts w:hint="eastAsia"/>
        </w:rPr>
        <w:t>帐</w:t>
      </w:r>
      <w:r>
        <w:t xml:space="preserve"> </w:t>
      </w:r>
      <w:r>
        <w:rPr>
          <w:rFonts w:hint="eastAsia"/>
        </w:rPr>
        <w:t>号</w:t>
      </w:r>
      <w:r>
        <w:t xml:space="preserve"> </w:t>
      </w:r>
      <w:r>
        <w:rPr>
          <w:rFonts w:hint="eastAsia"/>
        </w:rPr>
        <w:t>：</w:t>
      </w:r>
      <w:r>
        <w:rPr>
          <w:spacing w:val="16"/>
          <w:u w:val="single"/>
        </w:rPr>
        <w:t xml:space="preserve">                               </w:t>
      </w:r>
      <w:r>
        <w:rPr>
          <w:rFonts w:hint="eastAsia"/>
          <w:spacing w:val="16"/>
        </w:rPr>
        <w:t>帐</w:t>
      </w:r>
      <w:r>
        <w:rPr>
          <w:spacing w:val="16"/>
        </w:rPr>
        <w:t xml:space="preserve"> </w:t>
      </w:r>
      <w:r>
        <w:rPr>
          <w:rFonts w:hint="eastAsia"/>
          <w:spacing w:val="16"/>
        </w:rPr>
        <w:t>号</w:t>
      </w:r>
      <w:r>
        <w:rPr>
          <w:spacing w:val="16"/>
        </w:rPr>
        <w:t xml:space="preserve"> </w:t>
      </w:r>
      <w:r>
        <w:rPr>
          <w:rFonts w:hint="eastAsia"/>
          <w:spacing w:val="16"/>
        </w:rPr>
        <w:t>：</w:t>
      </w:r>
      <w:r>
        <w:rPr>
          <w:spacing w:val="16"/>
          <w:u w:val="single"/>
        </w:rPr>
        <w:t xml:space="preserve">           </w:t>
      </w:r>
      <w:r>
        <w:rPr>
          <w:spacing w:val="-2"/>
          <w:u w:val="single"/>
        </w:rPr>
        <w:t xml:space="preserve"> </w:t>
      </w:r>
      <w:r>
        <w:rPr>
          <w:u w:val="single"/>
        </w:rPr>
        <w:t xml:space="preserve">                  </w:t>
      </w:r>
      <w:r>
        <w:rPr>
          <w:spacing w:val="-1"/>
          <w:u w:val="single"/>
        </w:rPr>
        <w:t xml:space="preserve"> </w:t>
      </w:r>
      <w:r>
        <w:rPr>
          <w:u w:val="single"/>
        </w:rPr>
        <w:t xml:space="preserve"> </w:t>
      </w:r>
    </w:p>
    <w:p>
      <w:pPr>
        <w:pStyle w:val="8"/>
        <w:spacing w:line="268" w:lineRule="exact"/>
        <w:ind w:left="838"/>
      </w:pPr>
      <w:r>
        <w:rPr>
          <w:rFonts w:hint="eastAsia"/>
        </w:rPr>
        <w:t>邮</w:t>
      </w:r>
      <w:r>
        <w:t xml:space="preserve"> </w:t>
      </w:r>
      <w:r>
        <w:rPr>
          <w:rFonts w:hint="eastAsia"/>
        </w:rPr>
        <w:t>政</w:t>
      </w:r>
      <w:r>
        <w:t xml:space="preserve"> </w:t>
      </w:r>
      <w:r>
        <w:rPr>
          <w:rFonts w:hint="eastAsia"/>
        </w:rPr>
        <w:t>编</w:t>
      </w:r>
      <w:r>
        <w:t xml:space="preserve"> </w:t>
      </w:r>
      <w:r>
        <w:rPr>
          <w:rFonts w:hint="eastAsia"/>
        </w:rPr>
        <w:t>码</w:t>
      </w:r>
      <w:r>
        <w:t xml:space="preserve"> </w:t>
      </w:r>
      <w:r>
        <w:rPr>
          <w:rFonts w:hint="eastAsia"/>
        </w:rPr>
        <w:t>：</w:t>
      </w:r>
      <w:r>
        <w:rPr>
          <w:u w:val="single"/>
        </w:rPr>
        <w:t xml:space="preserve">                            </w:t>
      </w:r>
      <w:r>
        <w:t xml:space="preserve"> </w:t>
      </w:r>
      <w:r>
        <w:rPr>
          <w:rFonts w:hint="eastAsia"/>
        </w:rPr>
        <w:t>邮</w:t>
      </w:r>
      <w:r>
        <w:t xml:space="preserve"> </w:t>
      </w:r>
      <w:r>
        <w:rPr>
          <w:rFonts w:hint="eastAsia"/>
        </w:rPr>
        <w:t>政</w:t>
      </w:r>
      <w:r>
        <w:t xml:space="preserve"> </w:t>
      </w:r>
      <w:r>
        <w:rPr>
          <w:rFonts w:hint="eastAsia"/>
        </w:rPr>
        <w:t>编</w:t>
      </w:r>
      <w:r>
        <w:t xml:space="preserve"> </w:t>
      </w:r>
      <w:r>
        <w:rPr>
          <w:rFonts w:hint="eastAsia"/>
        </w:rPr>
        <w:t>码</w:t>
      </w:r>
      <w:r>
        <w:t xml:space="preserve"> </w:t>
      </w:r>
      <w:r>
        <w:rPr>
          <w:rFonts w:hint="eastAsia"/>
        </w:rPr>
        <w:t>：</w:t>
      </w:r>
      <w:r>
        <w:rPr>
          <w:u w:val="single"/>
        </w:rPr>
        <w:t xml:space="preserve">                                </w:t>
      </w:r>
    </w:p>
    <w:p>
      <w:pPr>
        <w:pStyle w:val="8"/>
        <w:spacing w:before="137"/>
        <w:ind w:right="850" w:firstLine="800" w:firstLineChars="400"/>
      </w:pPr>
      <w:r>
        <w:rPr>
          <w:rFonts w:hint="eastAsia"/>
          <w:spacing w:val="-5"/>
        </w:rPr>
        <w:t>监</w:t>
      </w:r>
      <w:r>
        <w:rPr>
          <w:spacing w:val="-5"/>
        </w:rPr>
        <w:t xml:space="preserve"> </w:t>
      </w:r>
      <w:r>
        <w:rPr>
          <w:rFonts w:hint="eastAsia"/>
          <w:spacing w:val="-5"/>
        </w:rPr>
        <w:t>督</w:t>
      </w:r>
      <w:r>
        <w:rPr>
          <w:spacing w:val="-5"/>
        </w:rPr>
        <w:t xml:space="preserve"> </w:t>
      </w:r>
      <w:r>
        <w:rPr>
          <w:rFonts w:hint="eastAsia"/>
          <w:spacing w:val="-5"/>
        </w:rPr>
        <w:t>单</w:t>
      </w:r>
      <w:r>
        <w:rPr>
          <w:spacing w:val="-5"/>
        </w:rPr>
        <w:t xml:space="preserve"> </w:t>
      </w:r>
      <w:r>
        <w:rPr>
          <w:rFonts w:hint="eastAsia"/>
          <w:spacing w:val="-5"/>
        </w:rPr>
        <w:t>位</w:t>
      </w:r>
      <w:r>
        <w:rPr>
          <w:spacing w:val="-5"/>
        </w:rPr>
        <w:t xml:space="preserve"> </w:t>
      </w:r>
      <w:r>
        <w:rPr>
          <w:rFonts w:hint="eastAsia"/>
          <w:spacing w:val="-5"/>
        </w:rPr>
        <w:t>：</w:t>
      </w:r>
      <w:r>
        <w:rPr>
          <w:spacing w:val="-5"/>
          <w:u w:val="single"/>
        </w:rPr>
        <w:t xml:space="preserve">                   </w:t>
      </w:r>
      <w:r>
        <w:rPr>
          <w:rFonts w:hint="eastAsia"/>
        </w:rPr>
        <w:t>（</w:t>
      </w:r>
      <w:r>
        <w:t xml:space="preserve"> </w:t>
      </w:r>
      <w:r>
        <w:rPr>
          <w:rFonts w:hint="eastAsia"/>
        </w:rPr>
        <w:t>盖</w:t>
      </w:r>
      <w:r>
        <w:t xml:space="preserve"> </w:t>
      </w:r>
      <w:r>
        <w:rPr>
          <w:rFonts w:hint="eastAsia"/>
        </w:rPr>
        <w:t>章</w:t>
      </w:r>
      <w:r>
        <w:t xml:space="preserve"> </w:t>
      </w:r>
      <w:r>
        <w:rPr>
          <w:rFonts w:hint="eastAsia"/>
          <w:spacing w:val="-38"/>
        </w:rPr>
        <w:t>）</w:t>
      </w:r>
      <w:r>
        <w:rPr>
          <w:spacing w:val="-10"/>
        </w:rPr>
        <w:t xml:space="preserve"> </w:t>
      </w:r>
      <w:r>
        <w:rPr>
          <w:rFonts w:hint="eastAsia"/>
          <w:spacing w:val="-10"/>
        </w:rPr>
        <w:t>监</w:t>
      </w:r>
      <w:r>
        <w:rPr>
          <w:spacing w:val="-10"/>
        </w:rPr>
        <w:t xml:space="preserve"> </w:t>
      </w:r>
      <w:r>
        <w:rPr>
          <w:rFonts w:hint="eastAsia"/>
          <w:spacing w:val="-10"/>
        </w:rPr>
        <w:t>督</w:t>
      </w:r>
      <w:r>
        <w:rPr>
          <w:spacing w:val="-10"/>
        </w:rPr>
        <w:t xml:space="preserve"> </w:t>
      </w:r>
      <w:r>
        <w:rPr>
          <w:rFonts w:hint="eastAsia"/>
          <w:spacing w:val="-10"/>
        </w:rPr>
        <w:t>单</w:t>
      </w:r>
      <w:r>
        <w:rPr>
          <w:spacing w:val="-10"/>
        </w:rPr>
        <w:t xml:space="preserve"> </w:t>
      </w:r>
      <w:r>
        <w:rPr>
          <w:rFonts w:hint="eastAsia"/>
          <w:spacing w:val="-10"/>
        </w:rPr>
        <w:t>位</w:t>
      </w:r>
      <w:r>
        <w:rPr>
          <w:spacing w:val="-10"/>
        </w:rPr>
        <w:t xml:space="preserve"> </w:t>
      </w:r>
      <w:r>
        <w:rPr>
          <w:rFonts w:hint="eastAsia"/>
          <w:spacing w:val="-10"/>
        </w:rPr>
        <w:t>：</w:t>
      </w:r>
      <w:r>
        <w:rPr>
          <w:spacing w:val="-10"/>
          <w:u w:val="single"/>
        </w:rPr>
        <w:t xml:space="preserve">                     </w:t>
      </w:r>
      <w:r>
        <w:rPr>
          <w:rFonts w:hint="eastAsia"/>
        </w:rPr>
        <w:t>（</w:t>
      </w:r>
      <w:r>
        <w:t xml:space="preserve"> </w:t>
      </w:r>
      <w:r>
        <w:rPr>
          <w:rFonts w:hint="eastAsia"/>
        </w:rPr>
        <w:t>盖</w:t>
      </w:r>
      <w:r>
        <w:t xml:space="preserve"> </w:t>
      </w:r>
      <w:r>
        <w:rPr>
          <w:rFonts w:hint="eastAsia"/>
        </w:rPr>
        <w:t>章</w:t>
      </w:r>
      <w:r>
        <w:t xml:space="preserve"> </w:t>
      </w:r>
      <w:r>
        <w:rPr>
          <w:rFonts w:hint="eastAsia"/>
          <w:spacing w:val="-105"/>
        </w:rPr>
        <w:t>）</w:t>
      </w:r>
      <w:r>
        <w:t xml:space="preserve"> </w:t>
      </w:r>
    </w:p>
    <w:p/>
    <w:p>
      <w:r>
        <w:br w:type="page"/>
      </w:r>
    </w:p>
    <w:p>
      <w:pPr>
        <w:adjustRightInd w:val="0"/>
        <w:snapToGrid w:val="0"/>
        <w:spacing w:line="360" w:lineRule="auto"/>
        <w:jc w:val="center"/>
      </w:pPr>
      <w:r>
        <w:rPr>
          <w:b/>
          <w:bCs/>
          <w:kern w:val="44"/>
          <w:sz w:val="28"/>
          <w:szCs w:val="20"/>
        </w:rPr>
        <w:t xml:space="preserve">  </w:t>
      </w:r>
      <w:r>
        <w:rPr>
          <w:rFonts w:hint="eastAsia"/>
          <w:b/>
          <w:bCs/>
          <w:kern w:val="44"/>
          <w:sz w:val="28"/>
          <w:szCs w:val="20"/>
        </w:rPr>
        <w:t>谈判响应文件格式</w:t>
      </w:r>
    </w:p>
    <w:p>
      <w:pPr>
        <w:pStyle w:val="47"/>
        <w:numPr>
          <w:ilvl w:val="0"/>
          <w:numId w:val="0"/>
        </w:numPr>
        <w:spacing w:line="360" w:lineRule="auto"/>
        <w:rPr>
          <w:color w:val="auto"/>
          <w:sz w:val="28"/>
        </w:rPr>
      </w:pPr>
      <w:r>
        <w:rPr>
          <w:rFonts w:hint="eastAsia"/>
          <w:color w:val="auto"/>
          <w:sz w:val="28"/>
        </w:rPr>
        <w:t>一、谈判承包人提交文件须知</w:t>
      </w:r>
    </w:p>
    <w:p>
      <w:pPr>
        <w:pStyle w:val="48"/>
        <w:numPr>
          <w:ilvl w:val="0"/>
          <w:numId w:val="0"/>
        </w:numPr>
        <w:tabs>
          <w:tab w:val="left" w:pos="0"/>
        </w:tabs>
        <w:spacing w:line="360" w:lineRule="auto"/>
      </w:pPr>
      <w:r>
        <w:t xml:space="preserve">    </w:t>
      </w:r>
      <w:r>
        <w:rPr>
          <w:rFonts w:hint="eastAsia"/>
        </w:rPr>
        <w:t>谈判承包人应提交下述规定的全部格式文件以及其他有关资料，混乱的编排以致谈判响应文件被误读或采购人查找不到有效文件，后果由谈判承包人承担。所附表格中要求回答的全部问题和信息都必须正面回答。谈判承包人提交的材料将被保密保存，但不退还。全部文件应按谈判承包人须知中规定的语言和份数提交。</w:t>
      </w:r>
    </w:p>
    <w:p>
      <w:pPr>
        <w:pStyle w:val="48"/>
        <w:numPr>
          <w:ilvl w:val="0"/>
          <w:numId w:val="0"/>
        </w:numPr>
        <w:tabs>
          <w:tab w:val="left" w:pos="420"/>
        </w:tabs>
        <w:spacing w:line="360" w:lineRule="auto"/>
        <w:ind w:left="420" w:hanging="420"/>
      </w:pPr>
      <w:r>
        <w:t xml:space="preserve">    </w:t>
      </w:r>
      <w:r>
        <w:rPr>
          <w:rFonts w:hint="eastAsia"/>
        </w:rPr>
        <w:t>以下是部分报价格式要求，请参照制定谈判响应文件，未规定格式的请自行设计。</w:t>
      </w:r>
    </w:p>
    <w:p>
      <w:pPr>
        <w:rPr>
          <w:lang w:eastAsia="zh-CN"/>
        </w:rPr>
      </w:pPr>
      <w:r>
        <w:br w:type="page"/>
      </w:r>
    </w:p>
    <w:p>
      <w:pPr>
        <w:widowControl/>
        <w:rPr>
          <w:b/>
        </w:rPr>
      </w:pPr>
      <w:r>
        <w:rPr>
          <w:rFonts w:hint="eastAsia"/>
          <w:b/>
        </w:rPr>
        <w:t>格式</w:t>
      </w:r>
    </w:p>
    <w:p>
      <w:pPr>
        <w:spacing w:line="500" w:lineRule="exact"/>
        <w:ind w:firstLine="720" w:firstLineChars="200"/>
        <w:jc w:val="right"/>
        <w:rPr>
          <w:sz w:val="27"/>
          <w:szCs w:val="27"/>
        </w:rPr>
      </w:pPr>
      <w:r>
        <w:rPr>
          <w:rFonts w:hint="eastAsia"/>
          <w:bCs/>
          <w:sz w:val="36"/>
          <w:szCs w:val="36"/>
        </w:rPr>
        <w:t>正（副）本</w:t>
      </w:r>
    </w:p>
    <w:p>
      <w:pPr>
        <w:spacing w:line="500" w:lineRule="exact"/>
        <w:ind w:firstLine="540" w:firstLineChars="200"/>
        <w:rPr>
          <w:sz w:val="27"/>
          <w:szCs w:val="27"/>
        </w:rPr>
      </w:pPr>
    </w:p>
    <w:p>
      <w:pPr>
        <w:spacing w:line="500" w:lineRule="exact"/>
        <w:ind w:firstLine="540" w:firstLineChars="200"/>
        <w:rPr>
          <w:sz w:val="27"/>
          <w:szCs w:val="27"/>
        </w:rPr>
      </w:pPr>
    </w:p>
    <w:p>
      <w:pPr>
        <w:spacing w:line="720" w:lineRule="auto"/>
        <w:jc w:val="center"/>
        <w:rPr>
          <w:sz w:val="72"/>
          <w:szCs w:val="72"/>
        </w:rPr>
      </w:pPr>
      <w:r>
        <w:rPr>
          <w:rFonts w:hint="eastAsia"/>
          <w:sz w:val="72"/>
          <w:szCs w:val="72"/>
        </w:rPr>
        <w:t>谈</w:t>
      </w:r>
      <w:r>
        <w:rPr>
          <w:sz w:val="72"/>
          <w:szCs w:val="72"/>
        </w:rPr>
        <w:t xml:space="preserve"> </w:t>
      </w:r>
      <w:r>
        <w:rPr>
          <w:rFonts w:hint="eastAsia"/>
          <w:sz w:val="72"/>
          <w:szCs w:val="72"/>
        </w:rPr>
        <w:t>判</w:t>
      </w:r>
      <w:r>
        <w:rPr>
          <w:sz w:val="72"/>
          <w:szCs w:val="72"/>
        </w:rPr>
        <w:t xml:space="preserve"> </w:t>
      </w:r>
      <w:r>
        <w:rPr>
          <w:rFonts w:hint="eastAsia"/>
          <w:sz w:val="72"/>
          <w:szCs w:val="72"/>
        </w:rPr>
        <w:t>响</w:t>
      </w:r>
      <w:r>
        <w:rPr>
          <w:sz w:val="72"/>
          <w:szCs w:val="72"/>
        </w:rPr>
        <w:t xml:space="preserve"> </w:t>
      </w:r>
      <w:r>
        <w:rPr>
          <w:rFonts w:hint="eastAsia"/>
          <w:sz w:val="72"/>
          <w:szCs w:val="72"/>
        </w:rPr>
        <w:t>应</w:t>
      </w:r>
      <w:r>
        <w:rPr>
          <w:sz w:val="72"/>
          <w:szCs w:val="72"/>
        </w:rPr>
        <w:t xml:space="preserve"> </w:t>
      </w:r>
      <w:r>
        <w:rPr>
          <w:rFonts w:hint="eastAsia"/>
          <w:sz w:val="72"/>
          <w:szCs w:val="72"/>
        </w:rPr>
        <w:t>文</w:t>
      </w:r>
      <w:r>
        <w:rPr>
          <w:sz w:val="72"/>
          <w:szCs w:val="72"/>
        </w:rPr>
        <w:t xml:space="preserve"> </w:t>
      </w:r>
      <w:r>
        <w:rPr>
          <w:rFonts w:hint="eastAsia"/>
          <w:sz w:val="72"/>
          <w:szCs w:val="72"/>
        </w:rPr>
        <w:t>件</w:t>
      </w:r>
    </w:p>
    <w:p>
      <w:pPr>
        <w:spacing w:line="500" w:lineRule="exact"/>
        <w:ind w:firstLine="540" w:firstLineChars="200"/>
        <w:rPr>
          <w:sz w:val="27"/>
          <w:szCs w:val="27"/>
        </w:rPr>
      </w:pPr>
    </w:p>
    <w:p>
      <w:pPr>
        <w:spacing w:line="500" w:lineRule="exact"/>
        <w:ind w:firstLine="540" w:firstLineChars="200"/>
        <w:rPr>
          <w:sz w:val="27"/>
          <w:szCs w:val="27"/>
        </w:rPr>
      </w:pPr>
    </w:p>
    <w:p>
      <w:pPr>
        <w:spacing w:line="500" w:lineRule="exact"/>
        <w:ind w:firstLine="540" w:firstLineChars="200"/>
        <w:rPr>
          <w:sz w:val="27"/>
          <w:szCs w:val="27"/>
        </w:rPr>
      </w:pPr>
    </w:p>
    <w:p>
      <w:pPr>
        <w:spacing w:line="500" w:lineRule="exact"/>
        <w:ind w:firstLine="540" w:firstLineChars="200"/>
        <w:rPr>
          <w:sz w:val="27"/>
          <w:szCs w:val="27"/>
        </w:rPr>
      </w:pPr>
    </w:p>
    <w:p>
      <w:pPr>
        <w:spacing w:line="500" w:lineRule="exact"/>
        <w:ind w:firstLine="540" w:firstLineChars="200"/>
        <w:rPr>
          <w:b/>
          <w:sz w:val="32"/>
          <w:szCs w:val="32"/>
        </w:rPr>
      </w:pPr>
      <w:r>
        <w:rPr>
          <w:rFonts w:hint="eastAsia"/>
          <w:sz w:val="27"/>
          <w:szCs w:val="27"/>
        </w:rPr>
        <w:t>项目名称：</w:t>
      </w:r>
      <w:r>
        <w:rPr>
          <w:rFonts w:hint="eastAsia"/>
          <w:sz w:val="32"/>
          <w:szCs w:val="32"/>
          <w:lang w:eastAsia="zh-CN"/>
        </w:rPr>
        <w:t>马厩房食草料库改造</w:t>
      </w:r>
    </w:p>
    <w:p>
      <w:pPr>
        <w:spacing w:line="500" w:lineRule="exact"/>
        <w:ind w:firstLine="540" w:firstLineChars="200"/>
        <w:rPr>
          <w:sz w:val="27"/>
          <w:szCs w:val="27"/>
          <w:u w:val="single"/>
        </w:rPr>
      </w:pPr>
    </w:p>
    <w:p>
      <w:pPr>
        <w:spacing w:line="500" w:lineRule="exact"/>
        <w:ind w:firstLine="540" w:firstLineChars="200"/>
        <w:rPr>
          <w:sz w:val="27"/>
          <w:szCs w:val="27"/>
          <w:u w:val="single"/>
        </w:rPr>
      </w:pPr>
    </w:p>
    <w:p>
      <w:pPr>
        <w:spacing w:line="500" w:lineRule="exact"/>
        <w:ind w:firstLine="540" w:firstLineChars="200"/>
        <w:rPr>
          <w:sz w:val="27"/>
          <w:szCs w:val="27"/>
          <w:u w:val="single"/>
        </w:rPr>
      </w:pPr>
      <w:r>
        <w:rPr>
          <w:rFonts w:hint="eastAsia"/>
          <w:sz w:val="27"/>
          <w:szCs w:val="27"/>
        </w:rPr>
        <w:t>采购编号：</w:t>
      </w:r>
      <w:r>
        <w:rPr>
          <w:sz w:val="27"/>
          <w:szCs w:val="27"/>
        </w:rPr>
        <w:t xml:space="preserve"> </w:t>
      </w:r>
    </w:p>
    <w:p>
      <w:pPr>
        <w:spacing w:line="500" w:lineRule="exact"/>
        <w:ind w:firstLine="540" w:firstLineChars="200"/>
        <w:rPr>
          <w:sz w:val="27"/>
          <w:szCs w:val="27"/>
          <w:u w:val="single"/>
        </w:rPr>
      </w:pPr>
    </w:p>
    <w:p>
      <w:pPr>
        <w:spacing w:line="500" w:lineRule="exact"/>
        <w:ind w:firstLine="540" w:firstLineChars="200"/>
        <w:rPr>
          <w:sz w:val="27"/>
          <w:szCs w:val="27"/>
          <w:u w:val="single"/>
        </w:rPr>
      </w:pPr>
    </w:p>
    <w:p>
      <w:pPr>
        <w:spacing w:line="500" w:lineRule="exact"/>
        <w:rPr>
          <w:sz w:val="27"/>
          <w:szCs w:val="27"/>
          <w:u w:val="single"/>
        </w:rPr>
      </w:pPr>
    </w:p>
    <w:p>
      <w:pPr>
        <w:spacing w:line="500" w:lineRule="exact"/>
        <w:ind w:firstLine="540" w:firstLineChars="200"/>
        <w:rPr>
          <w:sz w:val="27"/>
          <w:szCs w:val="27"/>
        </w:rPr>
      </w:pPr>
      <w:r>
        <w:rPr>
          <w:rFonts w:hint="eastAsia"/>
          <w:sz w:val="27"/>
          <w:szCs w:val="27"/>
        </w:rPr>
        <w:t>谈判供应商名称（公章或自然人印鉴章）</w:t>
      </w:r>
    </w:p>
    <w:p>
      <w:pPr>
        <w:spacing w:line="500" w:lineRule="exact"/>
        <w:ind w:firstLine="540" w:firstLineChars="200"/>
        <w:rPr>
          <w:sz w:val="27"/>
          <w:szCs w:val="27"/>
        </w:rPr>
      </w:pPr>
    </w:p>
    <w:p>
      <w:pPr>
        <w:spacing w:line="500" w:lineRule="exact"/>
        <w:ind w:firstLine="540" w:firstLineChars="200"/>
        <w:rPr>
          <w:sz w:val="27"/>
          <w:szCs w:val="27"/>
        </w:rPr>
      </w:pPr>
    </w:p>
    <w:p>
      <w:pPr>
        <w:spacing w:line="500" w:lineRule="exact"/>
        <w:ind w:firstLine="540" w:firstLineChars="200"/>
        <w:jc w:val="center"/>
        <w:rPr>
          <w:sz w:val="27"/>
          <w:szCs w:val="27"/>
        </w:rPr>
      </w:pPr>
      <w:r>
        <w:rPr>
          <w:rFonts w:hint="eastAsia"/>
          <w:sz w:val="27"/>
          <w:szCs w:val="27"/>
        </w:rPr>
        <w:t>年</w:t>
      </w:r>
      <w:r>
        <w:rPr>
          <w:sz w:val="27"/>
          <w:szCs w:val="27"/>
        </w:rPr>
        <w:t xml:space="preserve">   </w:t>
      </w:r>
      <w:r>
        <w:rPr>
          <w:rFonts w:hint="eastAsia"/>
          <w:sz w:val="27"/>
          <w:szCs w:val="27"/>
        </w:rPr>
        <w:t>月</w:t>
      </w:r>
      <w:r>
        <w:rPr>
          <w:sz w:val="27"/>
          <w:szCs w:val="27"/>
        </w:rPr>
        <w:t xml:space="preserve">   </w:t>
      </w:r>
      <w:r>
        <w:rPr>
          <w:rFonts w:hint="eastAsia"/>
          <w:sz w:val="27"/>
          <w:szCs w:val="27"/>
        </w:rPr>
        <w:t>日</w:t>
      </w:r>
    </w:p>
    <w:p>
      <w:pPr>
        <w:widowControl/>
        <w:rPr>
          <w:b/>
        </w:rPr>
      </w:pPr>
    </w:p>
    <w:p>
      <w:pPr>
        <w:widowControl/>
        <w:rPr>
          <w:b/>
        </w:rPr>
      </w:pPr>
    </w:p>
    <w:p>
      <w:pPr>
        <w:rPr>
          <w:lang w:eastAsia="zh-CN"/>
        </w:rPr>
      </w:pPr>
      <w:r>
        <w:rPr>
          <w:b/>
        </w:rPr>
        <w:br w:type="page"/>
      </w:r>
    </w:p>
    <w:p>
      <w:pPr>
        <w:pStyle w:val="48"/>
        <w:numPr>
          <w:ilvl w:val="0"/>
          <w:numId w:val="0"/>
        </w:numPr>
        <w:tabs>
          <w:tab w:val="left" w:pos="420"/>
        </w:tabs>
        <w:spacing w:line="360" w:lineRule="auto"/>
        <w:ind w:left="420" w:hanging="420"/>
      </w:pPr>
    </w:p>
    <w:p>
      <w:pPr>
        <w:pStyle w:val="47"/>
        <w:numPr>
          <w:ilvl w:val="0"/>
          <w:numId w:val="0"/>
        </w:numPr>
        <w:spacing w:line="360" w:lineRule="auto"/>
        <w:rPr>
          <w:color w:val="auto"/>
          <w:sz w:val="28"/>
        </w:rPr>
      </w:pPr>
      <w:r>
        <w:rPr>
          <w:rFonts w:hint="eastAsia"/>
          <w:color w:val="auto"/>
          <w:sz w:val="28"/>
        </w:rPr>
        <w:t>二、商务部分</w:t>
      </w:r>
    </w:p>
    <w:p>
      <w:pPr>
        <w:pStyle w:val="47"/>
        <w:numPr>
          <w:ilvl w:val="0"/>
          <w:numId w:val="0"/>
        </w:numPr>
        <w:spacing w:line="360" w:lineRule="auto"/>
        <w:rPr>
          <w:color w:val="auto"/>
        </w:rPr>
      </w:pPr>
      <w:r>
        <w:rPr>
          <w:color w:val="auto"/>
        </w:rPr>
        <w:t>*</w:t>
      </w:r>
      <w:r>
        <w:rPr>
          <w:rFonts w:hint="eastAsia"/>
          <w:color w:val="auto"/>
        </w:rPr>
        <w:t>报价函</w:t>
      </w:r>
    </w:p>
    <w:p>
      <w:pPr>
        <w:pStyle w:val="48"/>
        <w:numPr>
          <w:ilvl w:val="0"/>
          <w:numId w:val="0"/>
        </w:numPr>
        <w:tabs>
          <w:tab w:val="left" w:pos="420"/>
        </w:tabs>
        <w:spacing w:line="360" w:lineRule="auto"/>
        <w:ind w:left="420" w:hanging="420"/>
        <w:rPr>
          <w:u w:val="single"/>
        </w:rPr>
      </w:pPr>
      <w:r>
        <w:rPr>
          <w:rFonts w:hint="eastAsia"/>
          <w:u w:val="single"/>
          <w:lang w:eastAsia="zh-CN"/>
        </w:rPr>
        <w:t>国家体育总局自行车击剑运动管理中心</w:t>
      </w:r>
      <w:r>
        <w:rPr>
          <w:rFonts w:hint="eastAsia"/>
          <w:u w:val="single"/>
        </w:rPr>
        <w:t>：</w:t>
      </w:r>
    </w:p>
    <w:p>
      <w:pPr>
        <w:spacing w:line="360" w:lineRule="auto"/>
        <w:ind w:firstLine="420"/>
      </w:pPr>
      <w:r>
        <w:rPr>
          <w:u w:val="single"/>
        </w:rPr>
        <w:t xml:space="preserve">       </w:t>
      </w:r>
      <w:r>
        <w:t>(</w:t>
      </w:r>
      <w:r>
        <w:rPr>
          <w:rFonts w:hint="eastAsia"/>
        </w:rPr>
        <w:t>谈判承包人全称</w:t>
      </w:r>
      <w:r>
        <w:t>)</w:t>
      </w:r>
      <w:r>
        <w:rPr>
          <w:rFonts w:hint="eastAsia"/>
        </w:rPr>
        <w:t>授权</w:t>
      </w:r>
      <w:r>
        <w:rPr>
          <w:u w:val="single"/>
        </w:rPr>
        <w:t xml:space="preserve">       </w:t>
      </w:r>
      <w:r>
        <w:t>(</w:t>
      </w:r>
      <w:r>
        <w:rPr>
          <w:rFonts w:hint="eastAsia"/>
        </w:rPr>
        <w:t>谈判承包人代表姓名</w:t>
      </w:r>
      <w:r>
        <w:t>)</w:t>
      </w:r>
      <w:r>
        <w:rPr>
          <w:u w:val="single"/>
        </w:rPr>
        <w:t xml:space="preserve">        </w:t>
      </w:r>
      <w:r>
        <w:t>(</w:t>
      </w:r>
      <w:r>
        <w:rPr>
          <w:rFonts w:hint="eastAsia"/>
        </w:rPr>
        <w:t>职务、职称</w:t>
      </w:r>
      <w:r>
        <w:t>)</w:t>
      </w:r>
      <w:r>
        <w:rPr>
          <w:rFonts w:hint="eastAsia"/>
        </w:rPr>
        <w:t>为我方代表，参加贵方组织的</w:t>
      </w:r>
      <w:r>
        <w:rPr>
          <w:u w:val="single"/>
        </w:rPr>
        <w:t xml:space="preserve">        </w:t>
      </w:r>
      <w:r>
        <w:t>(</w:t>
      </w:r>
      <w:r>
        <w:rPr>
          <w:rFonts w:hint="eastAsia"/>
        </w:rPr>
        <w:t>项目名称、项目编号、包号</w:t>
      </w:r>
      <w:r>
        <w:t>)</w:t>
      </w:r>
      <w:r>
        <w:rPr>
          <w:rFonts w:hint="eastAsia"/>
        </w:rPr>
        <w:t>谈判的有关活动，并对此项目进行报价。为此：</w:t>
      </w:r>
    </w:p>
    <w:p>
      <w:pPr>
        <w:spacing w:line="360" w:lineRule="auto"/>
        <w:rPr>
          <w:rFonts w:ascii="Arial" w:hAnsi="Arial" w:cs="Arial"/>
          <w:color w:val="000000"/>
          <w:szCs w:val="21"/>
        </w:rPr>
      </w:pPr>
      <w:r>
        <w:t>1</w:t>
      </w:r>
      <w:r>
        <w:rPr>
          <w:rFonts w:hint="eastAsia"/>
        </w:rPr>
        <w:t>、</w:t>
      </w:r>
      <w:r>
        <w:rPr>
          <w:rFonts w:hint="eastAsia" w:ascii="Arial" w:hAnsi="Arial" w:cs="Arial"/>
          <w:color w:val="000000"/>
          <w:szCs w:val="21"/>
        </w:rPr>
        <w:t>我方兹以：</w:t>
      </w:r>
    </w:p>
    <w:p>
      <w:pPr>
        <w:tabs>
          <w:tab w:val="left" w:leader="underscore" w:pos="3600"/>
          <w:tab w:val="left" w:leader="underscore" w:pos="5400"/>
        </w:tabs>
        <w:spacing w:line="360" w:lineRule="auto"/>
        <w:ind w:firstLine="1100" w:firstLineChars="500"/>
        <w:rPr>
          <w:rFonts w:ascii="Arial" w:hAnsi="Arial" w:cs="Arial"/>
          <w:color w:val="000000"/>
          <w:szCs w:val="21"/>
        </w:rPr>
      </w:pPr>
      <w:r>
        <w:rPr>
          <w:rFonts w:hint="eastAsia" w:ascii="Arial" w:hAnsi="Arial" w:cs="Arial"/>
          <w:color w:val="000000"/>
          <w:szCs w:val="21"/>
        </w:rPr>
        <w:t>人民币（大写）：</w:t>
      </w:r>
      <w:r>
        <w:rPr>
          <w:rFonts w:ascii="Arial" w:hAnsi="Arial" w:cs="Arial"/>
          <w:color w:val="000000"/>
          <w:szCs w:val="21"/>
          <w:u w:val="single"/>
        </w:rPr>
        <w:t xml:space="preserve">                                       </w:t>
      </w:r>
      <w:r>
        <w:rPr>
          <w:rFonts w:hint="eastAsia" w:ascii="Arial" w:hAnsi="Arial" w:cs="Arial"/>
          <w:color w:val="000000"/>
          <w:szCs w:val="21"/>
        </w:rPr>
        <w:t>元</w:t>
      </w:r>
    </w:p>
    <w:p>
      <w:pPr>
        <w:tabs>
          <w:tab w:val="left" w:leader="underscore" w:pos="3600"/>
          <w:tab w:val="left" w:leader="underscore" w:pos="5400"/>
        </w:tabs>
        <w:spacing w:line="360" w:lineRule="auto"/>
        <w:ind w:firstLine="1100" w:firstLineChars="500"/>
        <w:rPr>
          <w:rFonts w:ascii="Arial" w:hAnsi="Arial" w:cs="Arial"/>
          <w:color w:val="000000"/>
          <w:szCs w:val="21"/>
        </w:rPr>
      </w:pPr>
      <w:r>
        <w:rPr>
          <w:rFonts w:ascii="Arial" w:hAnsi="Arial"/>
          <w:color w:val="000000"/>
          <w:szCs w:val="21"/>
        </w:rPr>
        <w:t>RMB</w:t>
      </w:r>
      <w:r>
        <w:rPr>
          <w:rFonts w:hint="eastAsia" w:ascii="Arial" w:hAnsi="Arial"/>
          <w:color w:val="000000"/>
          <w:szCs w:val="21"/>
        </w:rPr>
        <w:t>￥</w:t>
      </w:r>
      <w:r>
        <w:rPr>
          <w:rFonts w:hint="eastAsia" w:ascii="Arial" w:hAnsi="Arial" w:cs="Arial"/>
          <w:color w:val="000000"/>
          <w:szCs w:val="21"/>
        </w:rPr>
        <w:t>：</w:t>
      </w:r>
      <w:r>
        <w:rPr>
          <w:rFonts w:ascii="Arial" w:hAnsi="Arial" w:cs="Arial"/>
          <w:color w:val="000000"/>
          <w:szCs w:val="21"/>
          <w:u w:val="single"/>
        </w:rPr>
        <w:t xml:space="preserve">                                              </w:t>
      </w:r>
      <w:r>
        <w:rPr>
          <w:rFonts w:hint="eastAsia" w:ascii="Arial" w:hAnsi="Arial" w:cs="Arial"/>
          <w:color w:val="000000"/>
          <w:szCs w:val="21"/>
        </w:rPr>
        <w:t>元</w:t>
      </w:r>
    </w:p>
    <w:p>
      <w:pPr>
        <w:pStyle w:val="48"/>
        <w:numPr>
          <w:ilvl w:val="0"/>
          <w:numId w:val="0"/>
        </w:numPr>
        <w:tabs>
          <w:tab w:val="left" w:pos="0"/>
        </w:tabs>
        <w:spacing w:line="360" w:lineRule="auto"/>
      </w:pPr>
      <w:r>
        <w:rPr>
          <w:rFonts w:hint="eastAsia" w:ascii="Arial" w:hAnsi="Arial" w:cs="Arial"/>
          <w:color w:val="000000"/>
        </w:rPr>
        <w:t>的价格和按合同约定有权得到的其它金额，并严格按照合同约定，施工、竣工和交付本工程并维修其中的任何缺陷。我方保证按照合同约定的开工日期开始本工程的施工，</w:t>
      </w:r>
      <w:r>
        <w:rPr>
          <w:rFonts w:ascii="Arial" w:hAnsi="Arial"/>
          <w:color w:val="000000"/>
          <w:u w:val="single"/>
        </w:rPr>
        <w:t xml:space="preserve">        </w:t>
      </w:r>
      <w:r>
        <w:rPr>
          <w:rFonts w:hint="eastAsia" w:ascii="Arial" w:hAnsi="Arial"/>
          <w:color w:val="000000"/>
        </w:rPr>
        <w:t>天（日历日）内竣工，并</w:t>
      </w:r>
      <w:r>
        <w:rPr>
          <w:rFonts w:hint="eastAsia" w:ascii="Arial" w:hAnsi="Arial" w:cs="Arial"/>
          <w:color w:val="000000"/>
        </w:rPr>
        <w:t>确保工程质量达到</w:t>
      </w:r>
      <w:r>
        <w:rPr>
          <w:rFonts w:ascii="Arial" w:hAnsi="Arial" w:cs="Arial"/>
          <w:color w:val="000000"/>
          <w:u w:val="single"/>
        </w:rPr>
        <w:t xml:space="preserve">          </w:t>
      </w:r>
      <w:r>
        <w:rPr>
          <w:rFonts w:hint="eastAsia" w:ascii="Arial" w:hAnsi="Arial" w:cs="Arial"/>
          <w:color w:val="000000"/>
        </w:rPr>
        <w:t>标准。</w:t>
      </w:r>
    </w:p>
    <w:p>
      <w:pPr>
        <w:pStyle w:val="48"/>
        <w:numPr>
          <w:ilvl w:val="0"/>
          <w:numId w:val="0"/>
        </w:numPr>
        <w:tabs>
          <w:tab w:val="left" w:pos="420"/>
        </w:tabs>
        <w:spacing w:line="360" w:lineRule="auto"/>
        <w:ind w:left="420" w:hanging="420"/>
      </w:pPr>
      <w:r>
        <w:t>2</w:t>
      </w:r>
      <w:r>
        <w:rPr>
          <w:rFonts w:hint="eastAsia"/>
        </w:rPr>
        <w:t>、我方同意在本项目竞争性谈判文件中规定的报价日起</w:t>
      </w:r>
      <w:r>
        <w:rPr>
          <w:u w:val="single"/>
        </w:rPr>
        <w:t>90</w:t>
      </w:r>
      <w:r>
        <w:rPr>
          <w:rFonts w:hint="eastAsia"/>
          <w:u w:val="single"/>
        </w:rPr>
        <w:t>日内</w:t>
      </w:r>
      <w:r>
        <w:rPr>
          <w:rFonts w:hint="eastAsia"/>
        </w:rPr>
        <w:t>遵守本文中的承诺且在此期限期满之前均具有约束力。</w:t>
      </w:r>
    </w:p>
    <w:p>
      <w:pPr>
        <w:pStyle w:val="48"/>
        <w:numPr>
          <w:ilvl w:val="0"/>
          <w:numId w:val="0"/>
        </w:numPr>
        <w:tabs>
          <w:tab w:val="left" w:pos="420"/>
        </w:tabs>
        <w:spacing w:line="360" w:lineRule="auto"/>
        <w:ind w:left="420" w:hanging="420"/>
      </w:pPr>
      <w:r>
        <w:t>3</w:t>
      </w:r>
      <w:r>
        <w:rPr>
          <w:rFonts w:hint="eastAsia"/>
        </w:rPr>
        <w:t>、我方承诺已经具备《中华人民共和国政府采购法》中规定的参加政府采购活动的承包人应当具备的条件：</w:t>
      </w:r>
    </w:p>
    <w:p>
      <w:pPr>
        <w:tabs>
          <w:tab w:val="left" w:pos="1140"/>
        </w:tabs>
        <w:spacing w:line="360" w:lineRule="auto"/>
        <w:ind w:left="1140" w:hanging="720"/>
      </w:pPr>
      <w:r>
        <w:rPr>
          <w:rFonts w:hint="eastAsia"/>
        </w:rPr>
        <w:t>（</w:t>
      </w:r>
      <w:r>
        <w:t>1</w:t>
      </w:r>
      <w:r>
        <w:rPr>
          <w:rFonts w:hint="eastAsia"/>
        </w:rPr>
        <w:t>）具有独立承担民事责任的能力；</w:t>
      </w:r>
    </w:p>
    <w:p>
      <w:pPr>
        <w:tabs>
          <w:tab w:val="left" w:pos="1140"/>
        </w:tabs>
        <w:spacing w:line="360" w:lineRule="auto"/>
        <w:ind w:left="1140" w:hanging="720"/>
      </w:pPr>
      <w:r>
        <w:rPr>
          <w:rFonts w:hint="eastAsia"/>
        </w:rPr>
        <w:t>（</w:t>
      </w:r>
      <w:r>
        <w:t>2</w:t>
      </w:r>
      <w:r>
        <w:rPr>
          <w:rFonts w:hint="eastAsia"/>
        </w:rPr>
        <w:t>）具有良好的商业信誉和健全的财务会计制度；</w:t>
      </w:r>
    </w:p>
    <w:p>
      <w:pPr>
        <w:tabs>
          <w:tab w:val="left" w:pos="1140"/>
        </w:tabs>
        <w:spacing w:line="360" w:lineRule="auto"/>
        <w:ind w:left="1140" w:hanging="720"/>
      </w:pPr>
      <w:r>
        <w:rPr>
          <w:rFonts w:hint="eastAsia"/>
        </w:rPr>
        <w:t>（</w:t>
      </w:r>
      <w:r>
        <w:t>3</w:t>
      </w:r>
      <w:r>
        <w:rPr>
          <w:rFonts w:hint="eastAsia"/>
        </w:rPr>
        <w:t>）具有履行合同所必需的设备和专业技术能力；</w:t>
      </w:r>
    </w:p>
    <w:p>
      <w:pPr>
        <w:tabs>
          <w:tab w:val="left" w:pos="1140"/>
        </w:tabs>
        <w:spacing w:line="360" w:lineRule="auto"/>
        <w:ind w:left="1140" w:hanging="720"/>
      </w:pPr>
      <w:r>
        <w:rPr>
          <w:rFonts w:hint="eastAsia"/>
        </w:rPr>
        <w:t>（</w:t>
      </w:r>
      <w:r>
        <w:t>4</w:t>
      </w:r>
      <w:r>
        <w:rPr>
          <w:rFonts w:hint="eastAsia"/>
        </w:rPr>
        <w:t>）有依法缴纳税收和社会保障资金的良好记录；</w:t>
      </w:r>
    </w:p>
    <w:p>
      <w:pPr>
        <w:tabs>
          <w:tab w:val="left" w:pos="1140"/>
        </w:tabs>
        <w:spacing w:line="360" w:lineRule="auto"/>
        <w:ind w:left="1140" w:hanging="720"/>
      </w:pPr>
      <w:r>
        <w:rPr>
          <w:rFonts w:hint="eastAsia"/>
        </w:rPr>
        <w:t>（</w:t>
      </w:r>
      <w:r>
        <w:t>5</w:t>
      </w:r>
      <w:r>
        <w:rPr>
          <w:rFonts w:hint="eastAsia"/>
        </w:rPr>
        <w:t>）参加此项采购活动前三年内，在经营活动中没有重大违法记录。</w:t>
      </w:r>
    </w:p>
    <w:p>
      <w:pPr>
        <w:pStyle w:val="48"/>
        <w:numPr>
          <w:ilvl w:val="0"/>
          <w:numId w:val="0"/>
        </w:numPr>
        <w:tabs>
          <w:tab w:val="left" w:pos="420"/>
        </w:tabs>
        <w:spacing w:line="360" w:lineRule="auto"/>
        <w:ind w:left="420" w:hanging="420"/>
      </w:pPr>
      <w:r>
        <w:t>4</w:t>
      </w:r>
      <w:r>
        <w:rPr>
          <w:rFonts w:hint="eastAsia"/>
        </w:rPr>
        <w:t>、提供报价须知规定的全部谈判响应文件。</w:t>
      </w:r>
    </w:p>
    <w:p>
      <w:pPr>
        <w:pStyle w:val="48"/>
        <w:numPr>
          <w:ilvl w:val="0"/>
          <w:numId w:val="0"/>
        </w:numPr>
        <w:tabs>
          <w:tab w:val="left" w:pos="420"/>
        </w:tabs>
        <w:spacing w:line="360" w:lineRule="auto"/>
        <w:ind w:left="420" w:hanging="420"/>
      </w:pPr>
      <w:r>
        <w:t>5</w:t>
      </w:r>
      <w:r>
        <w:rPr>
          <w:rFonts w:hint="eastAsia"/>
        </w:rPr>
        <w:t>、保证忠实地执行双方所签订的合同，并承担合同规定的责任和义务。</w:t>
      </w:r>
    </w:p>
    <w:p>
      <w:pPr>
        <w:pStyle w:val="48"/>
        <w:numPr>
          <w:ilvl w:val="0"/>
          <w:numId w:val="0"/>
        </w:numPr>
        <w:tabs>
          <w:tab w:val="left" w:pos="420"/>
        </w:tabs>
        <w:spacing w:line="360" w:lineRule="auto"/>
        <w:ind w:left="420" w:hanging="420"/>
      </w:pPr>
      <w:r>
        <w:t>6</w:t>
      </w:r>
      <w:r>
        <w:rPr>
          <w:rFonts w:hint="eastAsia"/>
        </w:rPr>
        <w:t>、保证遵守竞争性谈判文件的规定。</w:t>
      </w:r>
    </w:p>
    <w:p>
      <w:pPr>
        <w:pStyle w:val="48"/>
        <w:numPr>
          <w:ilvl w:val="0"/>
          <w:numId w:val="0"/>
        </w:numPr>
        <w:tabs>
          <w:tab w:val="left" w:pos="420"/>
        </w:tabs>
        <w:spacing w:line="360" w:lineRule="auto"/>
        <w:ind w:left="420" w:hanging="420"/>
      </w:pPr>
      <w:r>
        <w:t>7</w:t>
      </w:r>
      <w:r>
        <w:rPr>
          <w:rFonts w:hint="eastAsia"/>
        </w:rPr>
        <w:t>、如果在规定的报价有效期内撤回报价，我方将被列入不良记录名单。</w:t>
      </w:r>
    </w:p>
    <w:p>
      <w:pPr>
        <w:pStyle w:val="48"/>
        <w:numPr>
          <w:ilvl w:val="0"/>
          <w:numId w:val="0"/>
        </w:numPr>
        <w:tabs>
          <w:tab w:val="left" w:pos="420"/>
        </w:tabs>
        <w:spacing w:line="360" w:lineRule="auto"/>
        <w:ind w:left="420" w:hanging="420"/>
      </w:pPr>
      <w:r>
        <w:t>8</w:t>
      </w:r>
      <w:r>
        <w:rPr>
          <w:rFonts w:hint="eastAsia"/>
        </w:rPr>
        <w:t>、我方完全理解贵方不一定接受最低价的报价或收到的任何报价。</w:t>
      </w:r>
    </w:p>
    <w:p>
      <w:pPr>
        <w:pStyle w:val="48"/>
        <w:numPr>
          <w:ilvl w:val="0"/>
          <w:numId w:val="0"/>
        </w:numPr>
        <w:tabs>
          <w:tab w:val="left" w:pos="420"/>
        </w:tabs>
        <w:spacing w:line="360" w:lineRule="auto"/>
        <w:ind w:left="420" w:hanging="420"/>
      </w:pPr>
      <w:r>
        <w:t>9</w:t>
      </w:r>
      <w:r>
        <w:rPr>
          <w:rFonts w:hint="eastAsia"/>
        </w:rPr>
        <w:t>、我方愿意向贵方提供任何与本项报价有关的数据、情况和技术资料。如果贵方需要，我方愿意提供我方做出的一切承诺的证明材料。</w:t>
      </w:r>
    </w:p>
    <w:p>
      <w:pPr>
        <w:pStyle w:val="48"/>
        <w:numPr>
          <w:ilvl w:val="0"/>
          <w:numId w:val="0"/>
        </w:numPr>
        <w:tabs>
          <w:tab w:val="left" w:pos="420"/>
        </w:tabs>
        <w:spacing w:line="360" w:lineRule="auto"/>
        <w:ind w:left="420" w:hanging="420"/>
      </w:pPr>
      <w:r>
        <w:t>10</w:t>
      </w:r>
      <w:r>
        <w:rPr>
          <w:rFonts w:hint="eastAsia"/>
        </w:rPr>
        <w:t>、我方已详细审核全部谈判响应文件，包括谈判响应文件修改书（如果有的话）、参考资料及有关附件，确认无误。</w:t>
      </w:r>
    </w:p>
    <w:p>
      <w:pPr>
        <w:pStyle w:val="48"/>
        <w:numPr>
          <w:ilvl w:val="0"/>
          <w:numId w:val="0"/>
        </w:numPr>
        <w:tabs>
          <w:tab w:val="left" w:pos="420"/>
        </w:tabs>
        <w:spacing w:line="360" w:lineRule="auto"/>
        <w:ind w:left="420" w:hanging="420"/>
      </w:pPr>
      <w:r>
        <w:t>11</w:t>
      </w:r>
      <w:r>
        <w:rPr>
          <w:rFonts w:hint="eastAsia"/>
        </w:rPr>
        <w:t>、我方承诺：如果需追加采购本项目竞争性谈判文件所列服务的，在不改变合同其他实质性条款的前提下，按相同或更优惠的折扣提供服务。</w:t>
      </w:r>
    </w:p>
    <w:p>
      <w:pPr>
        <w:pStyle w:val="48"/>
        <w:numPr>
          <w:ilvl w:val="0"/>
          <w:numId w:val="0"/>
        </w:numPr>
        <w:tabs>
          <w:tab w:val="left" w:pos="420"/>
        </w:tabs>
        <w:spacing w:line="360" w:lineRule="auto"/>
        <w:ind w:left="420" w:hanging="420"/>
      </w:pPr>
      <w:r>
        <w:t>12</w:t>
      </w:r>
      <w:r>
        <w:rPr>
          <w:rFonts w:hint="eastAsia"/>
        </w:rPr>
        <w:t>、我方承诺接受竞争性谈判文件中《成交合同》的全部条款且无任何异议。</w:t>
      </w:r>
    </w:p>
    <w:p>
      <w:pPr>
        <w:pStyle w:val="48"/>
        <w:numPr>
          <w:ilvl w:val="0"/>
          <w:numId w:val="0"/>
        </w:numPr>
        <w:tabs>
          <w:tab w:val="left" w:pos="420"/>
        </w:tabs>
        <w:spacing w:line="360" w:lineRule="auto"/>
        <w:ind w:left="420" w:hanging="420"/>
      </w:pPr>
      <w:r>
        <w:t>13</w:t>
      </w:r>
      <w:r>
        <w:rPr>
          <w:rFonts w:hint="eastAsia"/>
        </w:rPr>
        <w:t>、我方将严格遵守《中华人民共和国政府采购法》的有关规定，如果有下列情形之一的，将被处以采购金额</w:t>
      </w:r>
      <w:r>
        <w:t>5</w:t>
      </w:r>
      <w:r>
        <w:rPr>
          <w:rFonts w:hint="eastAsia"/>
        </w:rPr>
        <w:t>‰以上</w:t>
      </w:r>
      <w:r>
        <w:t>10</w:t>
      </w:r>
      <w:r>
        <w:rPr>
          <w:rFonts w:hint="eastAsia"/>
        </w:rPr>
        <w:t>‰以下的罚款，列入不良行为记录名单，在一至三年内禁止参加政府采购活动；有违法所得的，并处没收违法所得；情节严重的，由工商行政管理机关吊销营业执照；构成犯罪的，依法追究刑事责任：</w:t>
      </w:r>
    </w:p>
    <w:p>
      <w:pPr>
        <w:tabs>
          <w:tab w:val="left" w:pos="1140"/>
        </w:tabs>
        <w:spacing w:line="360" w:lineRule="auto"/>
        <w:ind w:left="1140" w:hanging="720"/>
      </w:pPr>
      <w:r>
        <w:rPr>
          <w:rFonts w:hint="eastAsia"/>
        </w:rPr>
        <w:t>（</w:t>
      </w:r>
      <w:r>
        <w:t>1</w:t>
      </w:r>
      <w:r>
        <w:rPr>
          <w:rFonts w:hint="eastAsia"/>
        </w:rPr>
        <w:t>）提供虚假材料谋取成交的；</w:t>
      </w:r>
    </w:p>
    <w:p>
      <w:pPr>
        <w:tabs>
          <w:tab w:val="left" w:pos="1140"/>
        </w:tabs>
        <w:spacing w:line="360" w:lineRule="auto"/>
        <w:ind w:left="1140" w:hanging="720"/>
      </w:pPr>
      <w:r>
        <w:rPr>
          <w:rFonts w:hint="eastAsia"/>
        </w:rPr>
        <w:t>（</w:t>
      </w:r>
      <w:r>
        <w:t>2</w:t>
      </w:r>
      <w:r>
        <w:rPr>
          <w:rFonts w:hint="eastAsia"/>
        </w:rPr>
        <w:t>）采取不正当手段诋毁、排挤其他承包人的；</w:t>
      </w:r>
    </w:p>
    <w:p>
      <w:pPr>
        <w:tabs>
          <w:tab w:val="left" w:pos="1140"/>
        </w:tabs>
        <w:spacing w:line="360" w:lineRule="auto"/>
        <w:ind w:left="1140" w:hanging="720"/>
      </w:pPr>
      <w:r>
        <w:rPr>
          <w:rFonts w:hint="eastAsia"/>
        </w:rPr>
        <w:t>（</w:t>
      </w:r>
      <w:r>
        <w:t>3</w:t>
      </w:r>
      <w:r>
        <w:rPr>
          <w:rFonts w:hint="eastAsia"/>
        </w:rPr>
        <w:t>）与采购人、其它承包人工作人员恶意串通的；</w:t>
      </w:r>
    </w:p>
    <w:p>
      <w:pPr>
        <w:tabs>
          <w:tab w:val="left" w:pos="1140"/>
        </w:tabs>
        <w:spacing w:line="360" w:lineRule="auto"/>
        <w:ind w:left="1140" w:hanging="720"/>
      </w:pPr>
      <w:r>
        <w:rPr>
          <w:rFonts w:hint="eastAsia"/>
        </w:rPr>
        <w:t>（</w:t>
      </w:r>
      <w:r>
        <w:t>4</w:t>
      </w:r>
      <w:r>
        <w:rPr>
          <w:rFonts w:hint="eastAsia"/>
        </w:rPr>
        <w:t>）向采购人工作人员行贿或者提供其他不正当利益的；</w:t>
      </w:r>
    </w:p>
    <w:p>
      <w:pPr>
        <w:tabs>
          <w:tab w:val="left" w:pos="1140"/>
        </w:tabs>
        <w:spacing w:line="360" w:lineRule="auto"/>
        <w:ind w:left="1140" w:hanging="720"/>
      </w:pPr>
      <w:r>
        <w:rPr>
          <w:rFonts w:hint="eastAsia"/>
        </w:rPr>
        <w:t>（</w:t>
      </w:r>
      <w:r>
        <w:t>5</w:t>
      </w:r>
      <w:r>
        <w:rPr>
          <w:rFonts w:hint="eastAsia"/>
        </w:rPr>
        <w:t>）拒绝有关部门监督检查或提供虚假情况的。</w:t>
      </w:r>
    </w:p>
    <w:p>
      <w:pPr>
        <w:spacing w:line="360" w:lineRule="auto"/>
        <w:ind w:firstLine="420"/>
      </w:pPr>
      <w:r>
        <w:rPr>
          <w:rFonts w:hint="eastAsia"/>
        </w:rPr>
        <w:t>与本报价有关的一切往来通讯请寄：</w:t>
      </w:r>
    </w:p>
    <w:p>
      <w:pPr>
        <w:tabs>
          <w:tab w:val="left" w:pos="480"/>
        </w:tabs>
        <w:spacing w:line="360" w:lineRule="auto"/>
        <w:ind w:firstLine="420"/>
      </w:pPr>
      <w:r>
        <w:rPr>
          <w:rFonts w:hint="eastAsia"/>
        </w:rPr>
        <w:t>地址：</w:t>
      </w:r>
      <w:r>
        <w:rPr>
          <w:u w:val="single"/>
        </w:rPr>
        <w:t xml:space="preserve">                         </w:t>
      </w:r>
    </w:p>
    <w:p>
      <w:pPr>
        <w:tabs>
          <w:tab w:val="left" w:pos="480"/>
        </w:tabs>
        <w:spacing w:line="360" w:lineRule="auto"/>
        <w:ind w:firstLine="420"/>
      </w:pPr>
      <w:r>
        <w:rPr>
          <w:rFonts w:hint="eastAsia"/>
        </w:rPr>
        <w:t>邮编：</w:t>
      </w:r>
      <w:r>
        <w:rPr>
          <w:u w:val="single"/>
        </w:rPr>
        <w:t xml:space="preserve">                         </w:t>
      </w:r>
    </w:p>
    <w:p>
      <w:pPr>
        <w:tabs>
          <w:tab w:val="left" w:pos="480"/>
        </w:tabs>
        <w:spacing w:line="360" w:lineRule="auto"/>
        <w:ind w:firstLine="420"/>
      </w:pPr>
      <w:r>
        <w:rPr>
          <w:rFonts w:hint="eastAsia"/>
        </w:rPr>
        <w:t>电话：</w:t>
      </w:r>
      <w:r>
        <w:rPr>
          <w:u w:val="single"/>
        </w:rPr>
        <w:t xml:space="preserve">                         </w:t>
      </w:r>
      <w:r>
        <w:t>_</w:t>
      </w:r>
    </w:p>
    <w:p>
      <w:pPr>
        <w:tabs>
          <w:tab w:val="left" w:pos="480"/>
        </w:tabs>
        <w:spacing w:line="360" w:lineRule="auto"/>
        <w:ind w:firstLine="420"/>
      </w:pPr>
      <w:r>
        <w:rPr>
          <w:rFonts w:hint="eastAsia"/>
        </w:rPr>
        <w:t>传真：</w:t>
      </w:r>
      <w:r>
        <w:rPr>
          <w:u w:val="single"/>
        </w:rPr>
        <w:t xml:space="preserve">                         </w:t>
      </w:r>
    </w:p>
    <w:p>
      <w:pPr>
        <w:tabs>
          <w:tab w:val="left" w:pos="480"/>
        </w:tabs>
        <w:spacing w:line="360" w:lineRule="auto"/>
        <w:ind w:firstLine="420"/>
        <w:rPr>
          <w:u w:val="single"/>
        </w:rPr>
      </w:pPr>
      <w:r>
        <w:rPr>
          <w:rFonts w:hint="eastAsia"/>
        </w:rPr>
        <w:t>谈判承包人代表姓名：</w:t>
      </w:r>
      <w:r>
        <w:rPr>
          <w:u w:val="single"/>
        </w:rPr>
        <w:t xml:space="preserve">               </w:t>
      </w:r>
    </w:p>
    <w:p>
      <w:pPr>
        <w:tabs>
          <w:tab w:val="left" w:pos="480"/>
        </w:tabs>
        <w:spacing w:line="360" w:lineRule="auto"/>
        <w:ind w:firstLine="420"/>
      </w:pPr>
      <w:r>
        <w:rPr>
          <w:rFonts w:hint="eastAsia"/>
        </w:rPr>
        <w:t>谈判承包人代表联系电话：</w:t>
      </w:r>
      <w:r>
        <w:rPr>
          <w:u w:val="single"/>
        </w:rPr>
        <w:t xml:space="preserve">           </w:t>
      </w:r>
    </w:p>
    <w:p>
      <w:pPr>
        <w:tabs>
          <w:tab w:val="left" w:pos="480"/>
        </w:tabs>
        <w:spacing w:line="360" w:lineRule="auto"/>
        <w:ind w:firstLine="420"/>
      </w:pPr>
      <w:r>
        <w:rPr>
          <w:rFonts w:hint="eastAsia"/>
        </w:rPr>
        <w:t>谈判承包人代表</w:t>
      </w:r>
      <w:r>
        <w:t>E-Mail</w:t>
      </w:r>
      <w:r>
        <w:rPr>
          <w:rFonts w:hint="eastAsia"/>
        </w:rPr>
        <w:t>：</w:t>
      </w:r>
      <w:r>
        <w:rPr>
          <w:u w:val="single"/>
        </w:rPr>
        <w:t xml:space="preserve">             </w:t>
      </w:r>
    </w:p>
    <w:p>
      <w:pPr>
        <w:spacing w:before="100" w:after="100" w:line="360" w:lineRule="auto"/>
        <w:ind w:firstLine="420"/>
      </w:pPr>
      <w:r>
        <w:rPr>
          <w:rFonts w:hint="eastAsia"/>
        </w:rPr>
        <w:t>谈判承包人：</w:t>
      </w:r>
      <w:r>
        <w:tab/>
      </w:r>
      <w:r>
        <w:tab/>
      </w:r>
      <w:r>
        <w:rPr>
          <w:u w:val="single"/>
        </w:rPr>
        <w:t xml:space="preserve">                  </w:t>
      </w:r>
      <w:r>
        <w:rPr>
          <w:rFonts w:hint="eastAsia"/>
          <w:u w:val="single"/>
        </w:rPr>
        <w:t>（公章）</w:t>
      </w:r>
    </w:p>
    <w:p>
      <w:pPr>
        <w:spacing w:before="100" w:after="100" w:line="360" w:lineRule="auto"/>
        <w:ind w:firstLine="420"/>
      </w:pPr>
      <w:r>
        <w:rPr>
          <w:rFonts w:hint="eastAsia"/>
        </w:rPr>
        <w:t>谈判承包人代表签字：</w:t>
      </w:r>
      <w:r>
        <w:rPr>
          <w:u w:val="single"/>
        </w:rPr>
        <w:t xml:space="preserve">                          </w:t>
      </w:r>
    </w:p>
    <w:p>
      <w:pPr>
        <w:spacing w:before="100" w:after="100" w:line="360" w:lineRule="auto"/>
        <w:ind w:firstLine="420"/>
      </w:pPr>
      <w:r>
        <w:rPr>
          <w:rFonts w:hint="eastAsia"/>
        </w:rPr>
        <w:t>日期：</w:t>
      </w:r>
      <w:r>
        <w:tab/>
      </w:r>
      <w:r>
        <w:tab/>
      </w:r>
      <w:r>
        <w:tab/>
      </w:r>
      <w:r>
        <w:rPr>
          <w:u w:val="single"/>
        </w:rPr>
        <w:t xml:space="preserve">    </w:t>
      </w:r>
      <w:r>
        <w:rPr>
          <w:rFonts w:hint="eastAsia"/>
          <w:u w:val="single"/>
        </w:rPr>
        <w:t>年</w:t>
      </w:r>
      <w:r>
        <w:rPr>
          <w:u w:val="single"/>
        </w:rPr>
        <w:t xml:space="preserve">    </w:t>
      </w:r>
      <w:r>
        <w:rPr>
          <w:rFonts w:hint="eastAsia"/>
          <w:u w:val="single"/>
        </w:rPr>
        <w:t>月</w:t>
      </w:r>
      <w:r>
        <w:rPr>
          <w:u w:val="single"/>
        </w:rPr>
        <w:t xml:space="preserve">    </w:t>
      </w:r>
      <w:r>
        <w:rPr>
          <w:rFonts w:hint="eastAsia"/>
          <w:u w:val="single"/>
        </w:rPr>
        <w:t>日</w:t>
      </w:r>
    </w:p>
    <w:p>
      <w:pPr>
        <w:pStyle w:val="16"/>
        <w:spacing w:line="360" w:lineRule="auto"/>
        <w:ind w:firstLine="210"/>
        <w:rPr>
          <w:rFonts w:eastAsia="宋体"/>
        </w:rPr>
      </w:pPr>
      <w:r>
        <w:rPr>
          <w:rFonts w:hint="eastAsia" w:eastAsia="宋体"/>
        </w:rPr>
        <w:t>注：除可填报项目外，对本报价函的任何修改将被视为非实质性响应报价，从而导致该报价被拒绝。</w:t>
      </w:r>
    </w:p>
    <w:p>
      <w:bookmarkStart w:id="106" w:name="_Toc20816120"/>
      <w:bookmarkStart w:id="107" w:name="_Toc20642290"/>
      <w:bookmarkStart w:id="108" w:name="_Toc20988289"/>
      <w:bookmarkStart w:id="109" w:name="_Toc21000519"/>
      <w:bookmarkStart w:id="110" w:name="_Toc21001363"/>
      <w:bookmarkStart w:id="111" w:name="_Toc36287943"/>
      <w:r>
        <w:br w:type="page"/>
      </w:r>
    </w:p>
    <w:p>
      <w:pPr>
        <w:pStyle w:val="50"/>
        <w:numPr>
          <w:ilvl w:val="0"/>
          <w:numId w:val="0"/>
        </w:numPr>
        <w:spacing w:line="360" w:lineRule="auto"/>
      </w:pPr>
      <w:r>
        <w:t>*</w:t>
      </w:r>
      <w:r>
        <w:rPr>
          <w:rFonts w:hint="eastAsia"/>
        </w:rPr>
        <w:t>法定代表人授权委托书</w:t>
      </w:r>
      <w:bookmarkEnd w:id="106"/>
      <w:bookmarkEnd w:id="107"/>
      <w:bookmarkEnd w:id="108"/>
      <w:bookmarkEnd w:id="109"/>
      <w:bookmarkEnd w:id="110"/>
      <w:bookmarkEnd w:id="111"/>
    </w:p>
    <w:p>
      <w:pPr>
        <w:spacing w:line="360" w:lineRule="auto"/>
        <w:ind w:firstLine="420"/>
        <w:rPr>
          <w:u w:val="single"/>
        </w:rPr>
      </w:pPr>
      <w:r>
        <w:rPr>
          <w:rFonts w:hint="eastAsia"/>
          <w:u w:val="single"/>
          <w:lang w:eastAsia="zh-CN"/>
        </w:rPr>
        <w:t>国家体育总局自行车击剑运动管理中心</w:t>
      </w:r>
      <w:r>
        <w:rPr>
          <w:rFonts w:hint="eastAsia"/>
          <w:u w:val="single"/>
        </w:rPr>
        <w:t>：</w:t>
      </w:r>
    </w:p>
    <w:p>
      <w:pPr>
        <w:spacing w:line="360" w:lineRule="auto"/>
        <w:ind w:firstLine="420"/>
      </w:pPr>
      <w:r>
        <w:rPr>
          <w:rFonts w:hint="eastAsia"/>
        </w:rPr>
        <w:t>本授权书声明：注册于</w:t>
      </w:r>
      <w:r>
        <w:rPr>
          <w:u w:val="single"/>
        </w:rPr>
        <w:t xml:space="preserve">            </w:t>
      </w:r>
      <w:r>
        <w:rPr>
          <w:rFonts w:hint="eastAsia"/>
        </w:rPr>
        <w:t>（谈判承包人住址）的</w:t>
      </w:r>
      <w:r>
        <w:rPr>
          <w:u w:val="single"/>
        </w:rPr>
        <w:t xml:space="preserve">            </w:t>
      </w:r>
      <w:r>
        <w:rPr>
          <w:rFonts w:hint="eastAsia"/>
        </w:rPr>
        <w:t>（谈判承包人名称）法定代表人</w:t>
      </w:r>
      <w:r>
        <w:rPr>
          <w:u w:val="single"/>
        </w:rPr>
        <w:t xml:space="preserve">            </w:t>
      </w:r>
      <w:r>
        <w:rPr>
          <w:rFonts w:hint="eastAsia"/>
        </w:rPr>
        <w:t>（法定代表人姓名、职务）代表本公司授权在下面签字</w:t>
      </w:r>
    </w:p>
    <w:p>
      <w:pPr>
        <w:spacing w:line="360" w:lineRule="auto"/>
      </w:pPr>
      <w:r>
        <w:rPr>
          <w:rFonts w:hint="eastAsia"/>
        </w:rPr>
        <w:t>的</w:t>
      </w:r>
      <w:r>
        <w:rPr>
          <w:u w:val="single"/>
        </w:rPr>
        <w:t xml:space="preserve">          </w:t>
      </w:r>
      <w:r>
        <w:rPr>
          <w:rFonts w:hint="eastAsia"/>
        </w:rPr>
        <w:t>（谈判承包人代表姓名、职务）为本公司的合法代理人，就贵方组织</w:t>
      </w:r>
    </w:p>
    <w:p>
      <w:pPr>
        <w:spacing w:line="360" w:lineRule="auto"/>
      </w:pPr>
      <w:r>
        <w:rPr>
          <w:rFonts w:hint="eastAsia"/>
        </w:rPr>
        <w:t>的</w:t>
      </w:r>
      <w:r>
        <w:rPr>
          <w:b/>
          <w:u w:val="single"/>
        </w:rPr>
        <w:t xml:space="preserve">                    </w:t>
      </w:r>
      <w:r>
        <w:rPr>
          <w:b/>
        </w:rPr>
        <w:t xml:space="preserve"> </w:t>
      </w:r>
      <w:r>
        <w:rPr>
          <w:rFonts w:hint="eastAsia"/>
        </w:rPr>
        <w:t>项目，项目编号：</w:t>
      </w:r>
      <w:r>
        <w:rPr>
          <w:b/>
          <w:u w:val="single"/>
        </w:rPr>
        <w:t xml:space="preserve">          </w:t>
      </w:r>
      <w:r>
        <w:rPr>
          <w:rFonts w:hint="eastAsia"/>
        </w:rPr>
        <w:t>，以本公司名义处理一切与之有关的事务。</w:t>
      </w:r>
    </w:p>
    <w:p>
      <w:pPr>
        <w:spacing w:line="360" w:lineRule="auto"/>
        <w:ind w:firstLine="420"/>
      </w:pPr>
      <w:r>
        <w:rPr>
          <w:rFonts w:hint="eastAsia"/>
        </w:rPr>
        <w:t>本授权书于</w:t>
      </w:r>
      <w:r>
        <w:t xml:space="preserve">    </w:t>
      </w:r>
      <w:r>
        <w:rPr>
          <w:rFonts w:hint="eastAsia"/>
        </w:rPr>
        <w:t>年</w:t>
      </w:r>
      <w:r>
        <w:t xml:space="preserve">  </w:t>
      </w:r>
      <w:r>
        <w:rPr>
          <w:rFonts w:hint="eastAsia"/>
        </w:rPr>
        <w:t>月</w:t>
      </w:r>
      <w:r>
        <w:t xml:space="preserve">  </w:t>
      </w:r>
      <w:r>
        <w:rPr>
          <w:rFonts w:hint="eastAsia"/>
        </w:rPr>
        <w:t>日签字生效，特此声明。</w:t>
      </w:r>
    </w:p>
    <w:p>
      <w:pPr>
        <w:spacing w:line="360" w:lineRule="auto"/>
        <w:ind w:firstLine="420"/>
      </w:pPr>
    </w:p>
    <w:p>
      <w:pPr>
        <w:spacing w:line="360" w:lineRule="auto"/>
        <w:ind w:firstLine="420"/>
      </w:pPr>
      <w:r>
        <w:rPr>
          <w:rFonts w:hint="eastAsia"/>
        </w:rPr>
        <w:t>法定代表人印刷体姓名、签字或盖章：</w:t>
      </w:r>
      <w:r>
        <w:rPr>
          <w:u w:val="single"/>
        </w:rPr>
        <w:t xml:space="preserve">             </w:t>
      </w:r>
      <w:r>
        <w:t xml:space="preserve">   </w:t>
      </w:r>
      <w:r>
        <w:rPr>
          <w:u w:val="single"/>
        </w:rPr>
        <w:t xml:space="preserve">               </w:t>
      </w:r>
    </w:p>
    <w:p>
      <w:pPr>
        <w:spacing w:line="360" w:lineRule="auto"/>
        <w:ind w:firstLine="420"/>
      </w:pPr>
      <w:r>
        <w:rPr>
          <w:rFonts w:hint="eastAsia"/>
        </w:rPr>
        <w:t>谈判承包人代表印刷体姓名、签字或盖章：</w:t>
      </w:r>
      <w:r>
        <w:rPr>
          <w:u w:val="single"/>
        </w:rPr>
        <w:t xml:space="preserve">             </w:t>
      </w:r>
      <w:r>
        <w:t xml:space="preserve">   </w:t>
      </w:r>
      <w:r>
        <w:rPr>
          <w:u w:val="single"/>
        </w:rPr>
        <w:t xml:space="preserve">               </w:t>
      </w:r>
    </w:p>
    <w:p>
      <w:pPr>
        <w:spacing w:line="360" w:lineRule="auto"/>
        <w:ind w:firstLine="420"/>
        <w:rPr>
          <w:u w:val="single"/>
        </w:rPr>
      </w:pPr>
      <w:r>
        <w:rPr>
          <w:rFonts w:hint="eastAsia"/>
        </w:rPr>
        <w:t>谈判承包人全称、谈判承包人公章：</w:t>
      </w:r>
      <w:r>
        <w:tab/>
      </w:r>
      <w:r>
        <w:tab/>
      </w:r>
      <w:r>
        <w:rPr>
          <w:u w:val="single"/>
        </w:rPr>
        <w:t xml:space="preserve">             </w:t>
      </w:r>
      <w:r>
        <w:t xml:space="preserve">   </w:t>
      </w:r>
      <w:r>
        <w:rPr>
          <w:u w:val="single"/>
        </w:rPr>
        <w:t xml:space="preserve">               </w:t>
      </w:r>
    </w:p>
    <w:p>
      <w:pPr>
        <w:spacing w:line="360" w:lineRule="auto"/>
        <w:ind w:firstLine="420"/>
      </w:pPr>
    </w:p>
    <w:p>
      <w:pPr>
        <w:pStyle w:val="47"/>
        <w:numPr>
          <w:ilvl w:val="0"/>
          <w:numId w:val="0"/>
        </w:numPr>
        <w:tabs>
          <w:tab w:val="left" w:pos="2160"/>
        </w:tabs>
        <w:snapToGrid w:val="0"/>
        <w:spacing w:before="0" w:line="360" w:lineRule="auto"/>
        <w:textAlignment w:val="baseline"/>
        <w:rPr>
          <w:color w:val="auto"/>
        </w:rPr>
      </w:pPr>
      <w:bookmarkStart w:id="112" w:name="_Toc86202642"/>
      <w:r>
        <w:rPr>
          <w:color w:val="auto"/>
        </w:rPr>
        <w:t xml:space="preserve"> </w:t>
      </w:r>
      <w:bookmarkEnd w:id="112"/>
      <w:bookmarkStart w:id="113" w:name="_Toc184013649"/>
      <w:bookmarkEnd w:id="113"/>
      <w:bookmarkStart w:id="114" w:name="_Toc183598208"/>
      <w:bookmarkEnd w:id="114"/>
      <w:bookmarkStart w:id="115" w:name="_Toc184023147"/>
      <w:bookmarkEnd w:id="115"/>
      <w:r>
        <w:t>*</w:t>
      </w:r>
      <w:r>
        <w:rPr>
          <w:rFonts w:hint="eastAsia"/>
          <w:color w:val="auto"/>
        </w:rPr>
        <w:t>营业执照：</w:t>
      </w:r>
      <w:r>
        <w:rPr>
          <w:rFonts w:hint="eastAsia"/>
          <w:bCs w:val="0"/>
          <w:szCs w:val="28"/>
        </w:rPr>
        <w:t>须具备房屋建筑工程施工总承包叁级（含）。</w:t>
      </w:r>
    </w:p>
    <w:p>
      <w:pPr>
        <w:pStyle w:val="9"/>
        <w:snapToGrid w:val="0"/>
        <w:spacing w:before="156" w:after="156" w:line="360" w:lineRule="auto"/>
        <w:rPr>
          <w:rFonts w:hAnsi="宋体"/>
        </w:rPr>
      </w:pPr>
      <w:r>
        <w:rPr>
          <w:rFonts w:hint="eastAsia" w:hAnsi="宋体"/>
          <w:bCs/>
          <w:sz w:val="24"/>
        </w:rPr>
        <w:t>资质证书复印件加盖</w:t>
      </w:r>
      <w:r>
        <w:rPr>
          <w:rFonts w:hint="eastAsia" w:hAnsi="宋体"/>
          <w:sz w:val="24"/>
          <w:szCs w:val="20"/>
        </w:rPr>
        <w:t>谈判承包人公章</w:t>
      </w:r>
    </w:p>
    <w:p>
      <w:pPr>
        <w:pStyle w:val="9"/>
        <w:snapToGrid w:val="0"/>
        <w:spacing w:before="156" w:after="156" w:line="360" w:lineRule="auto"/>
        <w:rPr>
          <w:rFonts w:hAnsi="宋体"/>
          <w:bCs/>
          <w:szCs w:val="28"/>
        </w:rPr>
      </w:pPr>
    </w:p>
    <w:p>
      <w:pPr>
        <w:pStyle w:val="47"/>
        <w:numPr>
          <w:ilvl w:val="0"/>
          <w:numId w:val="0"/>
        </w:numPr>
        <w:tabs>
          <w:tab w:val="left" w:pos="2160"/>
        </w:tabs>
        <w:snapToGrid w:val="0"/>
        <w:spacing w:before="0" w:line="360" w:lineRule="auto"/>
        <w:textAlignment w:val="baseline"/>
        <w:rPr>
          <w:bCs w:val="0"/>
          <w:szCs w:val="28"/>
        </w:rPr>
      </w:pPr>
      <w:r>
        <w:t>*</w:t>
      </w:r>
      <w:r>
        <w:rPr>
          <w:rFonts w:hint="eastAsia"/>
          <w:bCs w:val="0"/>
          <w:szCs w:val="28"/>
        </w:rPr>
        <w:t>项目经理：须具备建筑工程专业二级（含）以上注册建造师执业资格和有效的安全生产考核合格证书（</w:t>
      </w:r>
      <w:r>
        <w:rPr>
          <w:bCs w:val="0"/>
          <w:szCs w:val="28"/>
        </w:rPr>
        <w:t>B</w:t>
      </w:r>
      <w:r>
        <w:rPr>
          <w:rFonts w:hint="eastAsia"/>
          <w:bCs w:val="0"/>
          <w:szCs w:val="28"/>
        </w:rPr>
        <w:t>本）</w:t>
      </w:r>
    </w:p>
    <w:p>
      <w:pPr>
        <w:pStyle w:val="9"/>
        <w:snapToGrid w:val="0"/>
        <w:spacing w:before="156" w:after="156" w:line="360" w:lineRule="auto"/>
        <w:rPr>
          <w:rFonts w:hAnsi="宋体"/>
          <w:sz w:val="24"/>
          <w:szCs w:val="20"/>
        </w:rPr>
      </w:pPr>
      <w:r>
        <w:rPr>
          <w:rFonts w:hint="eastAsia" w:hAnsi="宋体"/>
          <w:sz w:val="24"/>
          <w:szCs w:val="20"/>
        </w:rPr>
        <w:t>证书复印件加盖谈判承包人公章</w:t>
      </w:r>
    </w:p>
    <w:p>
      <w:pPr>
        <w:pStyle w:val="9"/>
        <w:snapToGrid w:val="0"/>
        <w:spacing w:before="156" w:after="156" w:line="360" w:lineRule="auto"/>
        <w:rPr>
          <w:rFonts w:hAnsi="宋体"/>
        </w:rPr>
      </w:pPr>
    </w:p>
    <w:p>
      <w:pPr>
        <w:pStyle w:val="47"/>
        <w:numPr>
          <w:ilvl w:val="0"/>
          <w:numId w:val="0"/>
        </w:numPr>
        <w:tabs>
          <w:tab w:val="left" w:pos="2160"/>
        </w:tabs>
        <w:snapToGrid w:val="0"/>
        <w:spacing w:before="0" w:line="360" w:lineRule="auto"/>
        <w:textAlignment w:val="baseline"/>
        <w:rPr>
          <w:color w:val="auto"/>
        </w:rPr>
      </w:pPr>
      <w:r>
        <w:t>*</w:t>
      </w:r>
      <w:r>
        <w:rPr>
          <w:rFonts w:hint="eastAsia"/>
          <w:color w:val="auto"/>
        </w:rPr>
        <w:t>安全生产许可证</w:t>
      </w:r>
    </w:p>
    <w:p>
      <w:pPr>
        <w:pStyle w:val="9"/>
        <w:snapToGrid w:val="0"/>
        <w:spacing w:before="156" w:after="156" w:line="360" w:lineRule="auto"/>
        <w:rPr>
          <w:rFonts w:hAnsi="宋体"/>
          <w:sz w:val="24"/>
          <w:szCs w:val="20"/>
        </w:rPr>
      </w:pPr>
      <w:r>
        <w:rPr>
          <w:rFonts w:hint="eastAsia"/>
          <w:sz w:val="24"/>
          <w:szCs w:val="20"/>
        </w:rPr>
        <w:t>有效的证书复印件加盖谈判承包人公章</w:t>
      </w:r>
    </w:p>
    <w:p>
      <w:pPr>
        <w:tabs>
          <w:tab w:val="left" w:pos="1680"/>
        </w:tabs>
        <w:snapToGrid w:val="0"/>
        <w:spacing w:line="360" w:lineRule="auto"/>
      </w:pPr>
    </w:p>
    <w:p>
      <w:pPr>
        <w:tabs>
          <w:tab w:val="left" w:pos="1680"/>
        </w:tabs>
        <w:snapToGrid w:val="0"/>
        <w:spacing w:line="360" w:lineRule="auto"/>
      </w:pPr>
    </w:p>
    <w:p>
      <w:pPr>
        <w:snapToGrid w:val="0"/>
        <w:spacing w:line="360" w:lineRule="auto"/>
        <w:rPr>
          <w:rFonts w:eastAsia="黑体"/>
          <w:sz w:val="20"/>
          <w:szCs w:val="20"/>
        </w:rPr>
      </w:pPr>
    </w:p>
    <w:p/>
    <w:p/>
    <w:p>
      <w:pPr>
        <w:jc w:val="center"/>
        <w:rPr>
          <w:b/>
          <w:spacing w:val="60"/>
          <w:sz w:val="32"/>
          <w:szCs w:val="32"/>
        </w:rPr>
      </w:pPr>
    </w:p>
    <w:p>
      <w:pPr>
        <w:jc w:val="center"/>
        <w:rPr>
          <w:b/>
          <w:spacing w:val="60"/>
          <w:sz w:val="32"/>
          <w:szCs w:val="32"/>
        </w:rPr>
      </w:pPr>
    </w:p>
    <w:p>
      <w:pPr>
        <w:jc w:val="center"/>
        <w:rPr>
          <w:b/>
          <w:spacing w:val="60"/>
          <w:sz w:val="32"/>
          <w:szCs w:val="32"/>
        </w:rPr>
      </w:pPr>
    </w:p>
    <w:p>
      <w:pPr>
        <w:jc w:val="center"/>
        <w:rPr>
          <w:b/>
          <w:spacing w:val="60"/>
          <w:sz w:val="32"/>
          <w:szCs w:val="32"/>
        </w:rPr>
      </w:pPr>
      <w:r>
        <w:rPr>
          <w:rFonts w:hint="eastAsia"/>
          <w:b/>
          <w:spacing w:val="60"/>
          <w:sz w:val="32"/>
          <w:szCs w:val="32"/>
        </w:rPr>
        <w:t>谈判总价</w:t>
      </w:r>
    </w:p>
    <w:p>
      <w:pPr>
        <w:jc w:val="center"/>
        <w:rPr>
          <w:spacing w:val="60"/>
          <w:sz w:val="24"/>
        </w:rPr>
      </w:pPr>
    </w:p>
    <w:p>
      <w:pPr>
        <w:jc w:val="center"/>
        <w:rPr>
          <w:spacing w:val="60"/>
          <w:sz w:val="24"/>
        </w:rPr>
      </w:pPr>
    </w:p>
    <w:p>
      <w:pPr>
        <w:jc w:val="center"/>
        <w:rPr>
          <w:spacing w:val="60"/>
          <w:sz w:val="24"/>
        </w:rPr>
      </w:pPr>
    </w:p>
    <w:p>
      <w:pPr>
        <w:jc w:val="center"/>
        <w:rPr>
          <w:spacing w:val="60"/>
          <w:sz w:val="24"/>
        </w:rPr>
      </w:pPr>
    </w:p>
    <w:p>
      <w:pPr>
        <w:spacing w:line="720" w:lineRule="auto"/>
        <w:rPr>
          <w:sz w:val="28"/>
          <w:szCs w:val="28"/>
          <w:u w:val="single"/>
        </w:rPr>
      </w:pPr>
      <w:r>
        <w:rPr>
          <w:rFonts w:hint="eastAsia"/>
          <w:spacing w:val="50"/>
          <w:sz w:val="28"/>
          <w:szCs w:val="28"/>
        </w:rPr>
        <w:t>采</w:t>
      </w:r>
      <w:r>
        <w:rPr>
          <w:spacing w:val="50"/>
          <w:sz w:val="28"/>
          <w:szCs w:val="28"/>
        </w:rPr>
        <w:t xml:space="preserve">  </w:t>
      </w:r>
      <w:r>
        <w:rPr>
          <w:rFonts w:hint="eastAsia"/>
          <w:spacing w:val="50"/>
          <w:sz w:val="28"/>
          <w:szCs w:val="28"/>
        </w:rPr>
        <w:t>购　人</w:t>
      </w:r>
      <w:r>
        <w:rPr>
          <w:rFonts w:hint="eastAsia"/>
          <w:sz w:val="28"/>
          <w:szCs w:val="28"/>
        </w:rPr>
        <w:t>：</w:t>
      </w:r>
      <w:r>
        <w:rPr>
          <w:rFonts w:hint="eastAsia"/>
          <w:sz w:val="28"/>
          <w:szCs w:val="28"/>
          <w:u w:val="single"/>
        </w:rPr>
        <w:t>　　　　　　　　　　　　　　　　　　　　　　　　　　　　　　　　　　</w:t>
      </w:r>
    </w:p>
    <w:p>
      <w:pPr>
        <w:spacing w:line="720" w:lineRule="auto"/>
        <w:rPr>
          <w:sz w:val="28"/>
          <w:szCs w:val="28"/>
        </w:rPr>
      </w:pPr>
      <w:r>
        <w:rPr>
          <w:rFonts w:hint="eastAsia"/>
          <w:sz w:val="28"/>
          <w:szCs w:val="28"/>
        </w:rPr>
        <w:t>项</w:t>
      </w:r>
      <w:r>
        <w:rPr>
          <w:sz w:val="28"/>
          <w:szCs w:val="28"/>
        </w:rPr>
        <w:t xml:space="preserve">  </w:t>
      </w:r>
      <w:r>
        <w:rPr>
          <w:rFonts w:hint="eastAsia"/>
          <w:sz w:val="28"/>
          <w:szCs w:val="28"/>
        </w:rPr>
        <w:t>目　名　称：</w:t>
      </w:r>
      <w:r>
        <w:rPr>
          <w:rFonts w:hint="eastAsia"/>
          <w:sz w:val="28"/>
          <w:szCs w:val="28"/>
          <w:u w:val="single"/>
        </w:rPr>
        <w:t>　　　　　　　　　　　　　　　　　　　　　　　　　　　　　　　　　　</w:t>
      </w:r>
      <w:r>
        <w:rPr>
          <w:rFonts w:hint="eastAsia"/>
          <w:sz w:val="28"/>
          <w:szCs w:val="28"/>
        </w:rPr>
        <w:t>　　　　　　　　　　　　　　　　　　　　　　　　　　　　</w:t>
      </w:r>
    </w:p>
    <w:p>
      <w:pPr>
        <w:spacing w:line="720" w:lineRule="auto"/>
        <w:rPr>
          <w:sz w:val="28"/>
          <w:szCs w:val="28"/>
        </w:rPr>
      </w:pPr>
      <w:r>
        <w:rPr>
          <w:rFonts w:hint="eastAsia"/>
          <w:sz w:val="28"/>
          <w:szCs w:val="28"/>
        </w:rPr>
        <w:t>谈判总价（小写）：</w:t>
      </w:r>
      <w:r>
        <w:rPr>
          <w:rFonts w:hint="eastAsia"/>
          <w:sz w:val="28"/>
          <w:szCs w:val="28"/>
          <w:u w:val="single"/>
        </w:rPr>
        <w:t>　　　　　　　　　　　　　　　　　　　　　　　　　　　　　　　　　</w:t>
      </w:r>
      <w:r>
        <w:rPr>
          <w:rFonts w:hint="eastAsia"/>
          <w:sz w:val="28"/>
          <w:szCs w:val="28"/>
        </w:rPr>
        <w:t>　　　　　　　　　　　　　　　　　　　　　　　　　　　　　　　　　　　　　　　　　　　　　</w:t>
      </w:r>
    </w:p>
    <w:p>
      <w:pPr>
        <w:spacing w:line="720" w:lineRule="auto"/>
        <w:rPr>
          <w:sz w:val="28"/>
          <w:szCs w:val="28"/>
        </w:rPr>
      </w:pPr>
      <w:r>
        <w:rPr>
          <w:rFonts w:hint="eastAsia"/>
          <w:sz w:val="28"/>
          <w:szCs w:val="28"/>
        </w:rPr>
        <w:t>　　　　（大写）：</w:t>
      </w:r>
      <w:r>
        <w:rPr>
          <w:rFonts w:hint="eastAsia"/>
          <w:sz w:val="28"/>
          <w:szCs w:val="28"/>
          <w:u w:val="single"/>
        </w:rPr>
        <w:t>　　　　　　　　　　　　　　　　　　　　　　　　　　　　　　　　　</w:t>
      </w:r>
      <w:r>
        <w:rPr>
          <w:rFonts w:hint="eastAsia"/>
          <w:sz w:val="28"/>
          <w:szCs w:val="28"/>
        </w:rPr>
        <w:t>　　　　</w:t>
      </w:r>
      <w:r>
        <w:rPr>
          <w:rFonts w:hint="eastAsia"/>
          <w:sz w:val="28"/>
          <w:szCs w:val="28"/>
          <w:u w:val="single"/>
        </w:rPr>
        <w:t>　　　　　　　　　　　　　　　　　　　　</w:t>
      </w:r>
      <w:r>
        <w:rPr>
          <w:rFonts w:hint="eastAsia"/>
          <w:sz w:val="28"/>
          <w:szCs w:val="28"/>
        </w:rPr>
        <w:t>　　　　　　　　　　　　　　　　　　　　　　　　　　　　　　　　　　　　　　　　　　　　　</w:t>
      </w:r>
    </w:p>
    <w:p>
      <w:pPr>
        <w:spacing w:beforeLines="100"/>
        <w:rPr>
          <w:spacing w:val="50"/>
          <w:sz w:val="24"/>
          <w:u w:val="single"/>
        </w:rPr>
      </w:pPr>
      <w:r>
        <w:rPr>
          <w:rFonts w:hint="eastAsia"/>
          <w:spacing w:val="50"/>
          <w:sz w:val="28"/>
          <w:szCs w:val="28"/>
        </w:rPr>
        <w:t>谈</w:t>
      </w:r>
      <w:r>
        <w:rPr>
          <w:spacing w:val="50"/>
          <w:sz w:val="28"/>
          <w:szCs w:val="28"/>
        </w:rPr>
        <w:t xml:space="preserve">  </w:t>
      </w:r>
      <w:r>
        <w:rPr>
          <w:rFonts w:hint="eastAsia"/>
          <w:spacing w:val="50"/>
          <w:sz w:val="28"/>
          <w:szCs w:val="28"/>
        </w:rPr>
        <w:t>判　人：</w:t>
      </w:r>
      <w:r>
        <w:rPr>
          <w:rFonts w:hint="eastAsia"/>
          <w:spacing w:val="50"/>
          <w:sz w:val="24"/>
          <w:u w:val="single"/>
        </w:rPr>
        <w:t>　　　　　　　　　　　　　　　　　　　</w:t>
      </w:r>
    </w:p>
    <w:p>
      <w:pPr>
        <w:rPr>
          <w:sz w:val="18"/>
          <w:szCs w:val="18"/>
        </w:rPr>
      </w:pPr>
      <w:r>
        <w:rPr>
          <w:rFonts w:hint="eastAsia"/>
        </w:rPr>
        <w:t>　　　　　　　　　　　　　　　　　　　　　</w:t>
      </w:r>
      <w:r>
        <w:rPr>
          <w:rFonts w:hint="eastAsia"/>
          <w:sz w:val="18"/>
          <w:szCs w:val="18"/>
        </w:rPr>
        <w:t>（单位盖章）</w:t>
      </w:r>
    </w:p>
    <w:p>
      <w:pPr>
        <w:spacing w:beforeLines="200"/>
        <w:rPr>
          <w:spacing w:val="50"/>
          <w:sz w:val="28"/>
          <w:szCs w:val="28"/>
        </w:rPr>
      </w:pPr>
      <w:r>
        <w:rPr>
          <w:rFonts w:hint="eastAsia"/>
          <w:spacing w:val="50"/>
          <w:sz w:val="28"/>
          <w:szCs w:val="28"/>
        </w:rPr>
        <w:t>法定代表人</w:t>
      </w:r>
    </w:p>
    <w:p>
      <w:pPr>
        <w:rPr>
          <w:spacing w:val="50"/>
          <w:sz w:val="24"/>
          <w:u w:val="single"/>
        </w:rPr>
      </w:pPr>
      <w:r>
        <w:rPr>
          <w:rFonts w:hint="eastAsia"/>
          <w:spacing w:val="50"/>
          <w:sz w:val="28"/>
          <w:szCs w:val="28"/>
        </w:rPr>
        <w:t>或其授权人：</w:t>
      </w:r>
      <w:r>
        <w:rPr>
          <w:rFonts w:hint="eastAsia"/>
          <w:spacing w:val="50"/>
          <w:sz w:val="24"/>
          <w:u w:val="single"/>
        </w:rPr>
        <w:t>　　　　　　　　　　　　　　　　　　　</w:t>
      </w:r>
    </w:p>
    <w:p>
      <w:pPr>
        <w:rPr>
          <w:sz w:val="18"/>
          <w:szCs w:val="18"/>
        </w:rPr>
      </w:pPr>
      <w:r>
        <w:rPr>
          <w:rFonts w:hint="eastAsia"/>
        </w:rPr>
        <w:t>　　　　　　　　　　　　　　　　　　　　　</w:t>
      </w:r>
      <w:r>
        <w:rPr>
          <w:rFonts w:hint="eastAsia"/>
          <w:sz w:val="18"/>
          <w:szCs w:val="18"/>
        </w:rPr>
        <w:t>（签字或盖章）</w:t>
      </w:r>
    </w:p>
    <w:p>
      <w:pPr>
        <w:spacing w:beforeLines="200"/>
        <w:rPr>
          <w:spacing w:val="50"/>
          <w:sz w:val="24"/>
          <w:u w:val="single"/>
        </w:rPr>
      </w:pPr>
      <w:r>
        <w:rPr>
          <w:rFonts w:hint="eastAsia"/>
          <w:spacing w:val="50"/>
          <w:sz w:val="24"/>
        </w:rPr>
        <w:t>编　制　人：</w:t>
      </w:r>
      <w:r>
        <w:rPr>
          <w:rFonts w:hint="eastAsia"/>
          <w:spacing w:val="50"/>
          <w:sz w:val="24"/>
          <w:u w:val="single"/>
        </w:rPr>
        <w:t>　　　　　　　　　　　　　　　　　　　</w:t>
      </w:r>
    </w:p>
    <w:p>
      <w:pPr>
        <w:rPr>
          <w:sz w:val="18"/>
          <w:szCs w:val="18"/>
        </w:rPr>
      </w:pPr>
      <w:r>
        <w:rPr>
          <w:rFonts w:hint="eastAsia"/>
        </w:rPr>
        <w:t>　　　　　　　　　　　　　　　　　　　　　</w:t>
      </w:r>
      <w:r>
        <w:rPr>
          <w:rFonts w:hint="eastAsia"/>
          <w:sz w:val="18"/>
          <w:szCs w:val="18"/>
        </w:rPr>
        <w:t>（造价人员签字盖专用章）</w:t>
      </w:r>
    </w:p>
    <w:p>
      <w:pPr>
        <w:spacing w:beforeLines="100"/>
        <w:rPr>
          <w:spacing w:val="20"/>
          <w:sz w:val="13"/>
          <w:szCs w:val="13"/>
        </w:rPr>
      </w:pPr>
    </w:p>
    <w:p>
      <w:pPr>
        <w:spacing w:beforeLines="100"/>
        <w:rPr>
          <w:sz w:val="24"/>
        </w:rPr>
      </w:pPr>
      <w:r>
        <w:rPr>
          <w:rFonts w:hint="eastAsia"/>
          <w:spacing w:val="20"/>
          <w:sz w:val="24"/>
        </w:rPr>
        <w:t>编　制　时　间</w:t>
      </w:r>
      <w:r>
        <w:rPr>
          <w:rFonts w:hint="eastAsia"/>
          <w:sz w:val="24"/>
        </w:rPr>
        <w:t>：</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spacing w:beforeLines="100"/>
        <w:rPr>
          <w:sz w:val="18"/>
          <w:szCs w:val="18"/>
        </w:rPr>
        <w:sectPr>
          <w:footerReference r:id="rId12" w:type="first"/>
          <w:footerReference r:id="rId11" w:type="default"/>
          <w:pgSz w:w="11906" w:h="16838"/>
          <w:pgMar w:top="590" w:right="1020" w:bottom="590" w:left="1020" w:header="851" w:footer="992" w:gutter="0"/>
          <w:cols w:space="720" w:num="1"/>
          <w:docGrid w:type="lines" w:linePitch="312" w:charSpace="0"/>
        </w:sectPr>
      </w:pPr>
    </w:p>
    <w:p>
      <w:pPr>
        <w:jc w:val="center"/>
        <w:rPr>
          <w:b/>
          <w:sz w:val="30"/>
          <w:szCs w:val="30"/>
        </w:rPr>
      </w:pPr>
      <w:r>
        <w:rPr>
          <w:rFonts w:hint="eastAsia"/>
          <w:b/>
          <w:sz w:val="30"/>
          <w:szCs w:val="30"/>
        </w:rPr>
        <w:t>总　说　明</w:t>
      </w:r>
    </w:p>
    <w:p>
      <w:pPr>
        <w:rPr>
          <w:szCs w:val="21"/>
        </w:rPr>
      </w:pPr>
    </w:p>
    <w:p>
      <w:pPr>
        <w:rPr>
          <w:szCs w:val="21"/>
        </w:rPr>
      </w:pPr>
      <w:r>
        <w:rPr>
          <w:rFonts w:hint="eastAsia"/>
          <w:szCs w:val="21"/>
        </w:rPr>
        <w:t>工程名称：　　　　　　　　　　　　　　　　　　　　　</w:t>
      </w:r>
      <w:r>
        <w:rPr>
          <w:szCs w:val="21"/>
        </w:rPr>
        <w:t xml:space="preserve">         </w:t>
      </w:r>
      <w:r>
        <w:rPr>
          <w:rFonts w:hint="eastAsia"/>
          <w:szCs w:val="21"/>
        </w:rPr>
        <w:t>　第</w:t>
      </w:r>
      <w:r>
        <w:rPr>
          <w:szCs w:val="21"/>
        </w:rPr>
        <w:t>1</w:t>
      </w:r>
      <w:r>
        <w:rPr>
          <w:rFonts w:hint="eastAsia"/>
          <w:szCs w:val="21"/>
        </w:rPr>
        <w:t>页　共</w:t>
      </w:r>
      <w:r>
        <w:rPr>
          <w:szCs w:val="21"/>
        </w:rPr>
        <w:t xml:space="preserve">    </w:t>
      </w:r>
      <w:r>
        <w:rPr>
          <w:rFonts w:hint="eastAsia"/>
          <w:szCs w:val="21"/>
        </w:rPr>
        <w:t>页</w:t>
      </w:r>
    </w:p>
    <w:tbl>
      <w:tblPr>
        <w:tblStyle w:val="17"/>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808" w:hRule="atLeast"/>
        </w:trPr>
        <w:tc>
          <w:tcPr>
            <w:tcW w:w="8522" w:type="dxa"/>
            <w:tcBorders>
              <w:top w:val="single" w:color="auto" w:sz="12" w:space="0"/>
              <w:bottom w:val="single" w:color="auto" w:sz="12" w:space="0"/>
            </w:tcBorders>
          </w:tcPr>
          <w:p>
            <w:pPr>
              <w:rPr>
                <w:sz w:val="28"/>
                <w:szCs w:val="21"/>
              </w:rPr>
            </w:pPr>
          </w:p>
        </w:tc>
      </w:tr>
    </w:tbl>
    <w:p>
      <w:pPr>
        <w:rPr>
          <w:szCs w:val="21"/>
        </w:rPr>
        <w:sectPr>
          <w:pgSz w:w="11906" w:h="16838"/>
          <w:pgMar w:top="1440" w:right="1800" w:bottom="1440" w:left="1800" w:header="851" w:footer="992" w:gutter="0"/>
          <w:cols w:space="720" w:num="1"/>
          <w:docGrid w:type="lines" w:linePitch="312" w:charSpace="0"/>
        </w:sectPr>
      </w:pPr>
    </w:p>
    <w:p>
      <w:pPr>
        <w:rPr>
          <w:szCs w:val="21"/>
        </w:rPr>
      </w:pPr>
      <w:r>
        <w:rPr>
          <w:rFonts w:hint="eastAsia"/>
          <w:szCs w:val="21"/>
        </w:rPr>
        <w:t>　　　　　　　　　　　　　　　　　　　　　　　　　　　　　　　　　　　　　</w:t>
      </w:r>
    </w:p>
    <w:p>
      <w:pPr>
        <w:tabs>
          <w:tab w:val="left" w:pos="720"/>
        </w:tabs>
        <w:spacing w:afterLines="50" w:line="300" w:lineRule="auto"/>
        <w:jc w:val="center"/>
        <w:rPr>
          <w:rFonts w:ascii="Arial" w:hAnsi="Arial" w:eastAsia="黑体" w:cs="Arial"/>
          <w:bCs/>
          <w:sz w:val="30"/>
          <w:szCs w:val="30"/>
        </w:rPr>
      </w:pPr>
      <w:r>
        <w:rPr>
          <w:rFonts w:hint="eastAsia" w:ascii="Arial" w:hAnsi="Arial" w:eastAsia="黑体" w:cs="Arial"/>
          <w:bCs/>
          <w:sz w:val="30"/>
          <w:szCs w:val="30"/>
        </w:rPr>
        <w:t>工程项目谈判报价汇总表</w:t>
      </w:r>
    </w:p>
    <w:p>
      <w:pPr>
        <w:tabs>
          <w:tab w:val="left" w:pos="720"/>
        </w:tabs>
        <w:spacing w:afterLines="50" w:line="300" w:lineRule="auto"/>
        <w:ind w:right="90"/>
        <w:rPr>
          <w:rFonts w:ascii="Arial" w:hAnsi="Arial" w:cs="Arial"/>
        </w:rPr>
      </w:pPr>
      <w:r>
        <w:rPr>
          <w:rFonts w:hint="eastAsia" w:ascii="Arial" w:hAnsi="Arial" w:cs="Arial"/>
        </w:rPr>
        <w:t>工程名称：</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17"/>
        <w:tblW w:w="0" w:type="auto"/>
        <w:tblInd w:w="103" w:type="dxa"/>
        <w:tblLayout w:type="fixed"/>
        <w:tblCellMar>
          <w:top w:w="0" w:type="dxa"/>
          <w:left w:w="108" w:type="dxa"/>
          <w:bottom w:w="0" w:type="dxa"/>
          <w:right w:w="108" w:type="dxa"/>
        </w:tblCellMar>
      </w:tblPr>
      <w:tblGrid>
        <w:gridCol w:w="905"/>
        <w:gridCol w:w="2786"/>
        <w:gridCol w:w="1134"/>
        <w:gridCol w:w="1120"/>
        <w:gridCol w:w="1420"/>
        <w:gridCol w:w="2000"/>
      </w:tblGrid>
      <w:tr>
        <w:tblPrEx>
          <w:tblCellMar>
            <w:top w:w="0" w:type="dxa"/>
            <w:left w:w="108" w:type="dxa"/>
            <w:bottom w:w="0" w:type="dxa"/>
            <w:right w:w="108" w:type="dxa"/>
          </w:tblCellMar>
        </w:tblPrEx>
        <w:trPr>
          <w:trHeight w:val="458" w:hRule="atLeast"/>
        </w:trPr>
        <w:tc>
          <w:tcPr>
            <w:tcW w:w="90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序号</w:t>
            </w:r>
          </w:p>
        </w:tc>
        <w:tc>
          <w:tcPr>
            <w:tcW w:w="278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单项工程名称</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金额（元）</w:t>
            </w:r>
          </w:p>
        </w:tc>
        <w:tc>
          <w:tcPr>
            <w:tcW w:w="4540" w:type="dxa"/>
            <w:gridSpan w:val="3"/>
            <w:tcBorders>
              <w:top w:val="single" w:color="auto" w:sz="4" w:space="0"/>
              <w:left w:val="nil"/>
              <w:bottom w:val="single" w:color="auto" w:sz="4" w:space="0"/>
              <w:right w:val="single" w:color="auto" w:sz="4" w:space="0"/>
            </w:tcBorders>
            <w:vAlign w:val="center"/>
          </w:tcPr>
          <w:p>
            <w:pPr>
              <w:widowControl/>
              <w:jc w:val="center"/>
              <w:rPr>
                <w:szCs w:val="21"/>
              </w:rPr>
            </w:pPr>
            <w:r>
              <w:rPr>
                <w:rFonts w:hint="eastAsia"/>
                <w:szCs w:val="21"/>
              </w:rPr>
              <w:t>其中：</w:t>
            </w:r>
            <w:r>
              <w:rPr>
                <w:szCs w:val="21"/>
              </w:rPr>
              <w:t xml:space="preserve"> </w:t>
            </w:r>
          </w:p>
        </w:tc>
      </w:tr>
      <w:tr>
        <w:tblPrEx>
          <w:tblCellMar>
            <w:top w:w="0" w:type="dxa"/>
            <w:left w:w="108" w:type="dxa"/>
            <w:bottom w:w="0" w:type="dxa"/>
            <w:right w:w="108" w:type="dxa"/>
          </w:tblCellMar>
        </w:tblPrEx>
        <w:trPr>
          <w:trHeight w:val="735" w:hRule="atLeast"/>
        </w:trPr>
        <w:tc>
          <w:tcPr>
            <w:tcW w:w="9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p>
        </w:tc>
        <w:tc>
          <w:tcPr>
            <w:tcW w:w="27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p>
        </w:tc>
        <w:tc>
          <w:tcPr>
            <w:tcW w:w="1120" w:type="dxa"/>
            <w:tcBorders>
              <w:top w:val="nil"/>
              <w:left w:val="nil"/>
              <w:bottom w:val="single" w:color="auto" w:sz="4" w:space="0"/>
              <w:right w:val="single" w:color="auto" w:sz="4" w:space="0"/>
            </w:tcBorders>
            <w:vAlign w:val="center"/>
          </w:tcPr>
          <w:p>
            <w:pPr>
              <w:widowControl/>
              <w:jc w:val="center"/>
              <w:rPr>
                <w:szCs w:val="21"/>
              </w:rPr>
            </w:pPr>
            <w:r>
              <w:rPr>
                <w:rFonts w:hint="eastAsia"/>
                <w:szCs w:val="21"/>
              </w:rPr>
              <w:t>暂估价</w:t>
            </w:r>
          </w:p>
          <w:p>
            <w:pPr>
              <w:widowControl/>
              <w:jc w:val="center"/>
              <w:rPr>
                <w:szCs w:val="21"/>
              </w:rPr>
            </w:pPr>
            <w:r>
              <w:rPr>
                <w:rFonts w:hint="eastAsia"/>
                <w:szCs w:val="21"/>
              </w:rPr>
              <w:t>（元）</w:t>
            </w:r>
            <w:r>
              <w:rPr>
                <w:rFonts w:ascii="Arial" w:hAnsi="Arial" w:cs="Arial"/>
                <w:szCs w:val="21"/>
              </w:rPr>
              <w:t xml:space="preserve">     </w:t>
            </w:r>
          </w:p>
        </w:tc>
        <w:tc>
          <w:tcPr>
            <w:tcW w:w="1420" w:type="dxa"/>
            <w:tcBorders>
              <w:top w:val="nil"/>
              <w:left w:val="nil"/>
              <w:bottom w:val="single" w:color="auto" w:sz="4" w:space="0"/>
              <w:right w:val="single" w:color="auto" w:sz="4" w:space="0"/>
            </w:tcBorders>
            <w:vAlign w:val="center"/>
          </w:tcPr>
          <w:p>
            <w:pPr>
              <w:widowControl/>
              <w:jc w:val="center"/>
              <w:rPr>
                <w:szCs w:val="21"/>
              </w:rPr>
            </w:pPr>
            <w:r>
              <w:rPr>
                <w:rFonts w:hint="eastAsia"/>
                <w:szCs w:val="21"/>
              </w:rPr>
              <w:t>安全文明施工费（元）</w:t>
            </w:r>
          </w:p>
        </w:tc>
        <w:tc>
          <w:tcPr>
            <w:tcW w:w="2000" w:type="dxa"/>
            <w:tcBorders>
              <w:top w:val="nil"/>
              <w:left w:val="nil"/>
              <w:bottom w:val="single" w:color="auto" w:sz="4" w:space="0"/>
              <w:right w:val="single" w:color="auto" w:sz="4" w:space="0"/>
            </w:tcBorders>
            <w:vAlign w:val="center"/>
          </w:tcPr>
          <w:p>
            <w:pPr>
              <w:widowControl/>
              <w:jc w:val="center"/>
              <w:rPr>
                <w:rFonts w:ascii="Arial" w:hAnsi="Arial" w:cs="Arial"/>
                <w:szCs w:val="21"/>
              </w:rPr>
            </w:pPr>
            <w:r>
              <w:rPr>
                <w:rFonts w:hint="eastAsia"/>
                <w:szCs w:val="21"/>
              </w:rPr>
              <w:t>规费</w:t>
            </w:r>
            <w:r>
              <w:rPr>
                <w:rFonts w:ascii="Arial" w:hAnsi="Arial" w:cs="Arial"/>
                <w:szCs w:val="21"/>
              </w:rPr>
              <w:t xml:space="preserve"> </w:t>
            </w:r>
          </w:p>
          <w:p>
            <w:pPr>
              <w:widowControl/>
              <w:jc w:val="center"/>
              <w:rPr>
                <w:szCs w:val="21"/>
              </w:rPr>
            </w:pPr>
            <w:r>
              <w:rPr>
                <w:rFonts w:hint="eastAsia"/>
                <w:szCs w:val="21"/>
              </w:rPr>
              <w:t>（元）</w:t>
            </w:r>
            <w:r>
              <w:rPr>
                <w:rFonts w:ascii="Arial" w:hAnsi="Arial" w:cs="Arial"/>
                <w:szCs w:val="21"/>
              </w:rPr>
              <w:t xml:space="preserve">              </w:t>
            </w: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jc w:val="center"/>
              <w:rPr>
                <w:rFonts w:ascii="Arial" w:hAnsi="Arial" w:cs="Arial"/>
                <w:szCs w:val="21"/>
              </w:rPr>
            </w:pPr>
          </w:p>
        </w:tc>
        <w:tc>
          <w:tcPr>
            <w:tcW w:w="2786" w:type="dxa"/>
            <w:tcBorders>
              <w:top w:val="nil"/>
              <w:left w:val="nil"/>
              <w:bottom w:val="nil"/>
              <w:right w:val="single" w:color="000000" w:sz="4" w:space="0"/>
            </w:tcBorders>
            <w:vAlign w:val="center"/>
          </w:tcPr>
          <w:p>
            <w:pPr>
              <w:widowControl/>
              <w:rPr>
                <w:szCs w:val="21"/>
              </w:rPr>
            </w:pPr>
          </w:p>
        </w:tc>
        <w:tc>
          <w:tcPr>
            <w:tcW w:w="1134"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12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2000"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jc w:val="center"/>
              <w:rPr>
                <w:rFonts w:ascii="Arial" w:hAnsi="Arial" w:cs="Arial"/>
                <w:szCs w:val="21"/>
              </w:rPr>
            </w:pPr>
            <w:r>
              <w:rPr>
                <w:rFonts w:hint="eastAsia" w:ascii="Arial" w:hAnsi="Arial" w:cs="Arial"/>
                <w:szCs w:val="21"/>
              </w:rPr>
              <w:t>　</w:t>
            </w:r>
          </w:p>
        </w:tc>
        <w:tc>
          <w:tcPr>
            <w:tcW w:w="2786" w:type="dxa"/>
            <w:tcBorders>
              <w:top w:val="nil"/>
              <w:left w:val="nil"/>
              <w:bottom w:val="nil"/>
              <w:right w:val="single" w:color="000000" w:sz="4" w:space="0"/>
            </w:tcBorders>
            <w:vAlign w:val="center"/>
          </w:tcPr>
          <w:p>
            <w:pPr>
              <w:widowControl/>
              <w:rPr>
                <w:szCs w:val="21"/>
              </w:rPr>
            </w:pPr>
            <w:r>
              <w:rPr>
                <w:rFonts w:hint="eastAsia"/>
                <w:szCs w:val="21"/>
              </w:rPr>
              <w:t>　</w:t>
            </w:r>
          </w:p>
        </w:tc>
        <w:tc>
          <w:tcPr>
            <w:tcW w:w="1134"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12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2000"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jc w:val="center"/>
              <w:rPr>
                <w:rFonts w:ascii="Arial" w:hAnsi="Arial" w:cs="Arial"/>
                <w:szCs w:val="21"/>
              </w:rPr>
            </w:pPr>
            <w:r>
              <w:rPr>
                <w:rFonts w:hint="eastAsia" w:ascii="Arial" w:hAnsi="Arial" w:cs="Arial"/>
                <w:szCs w:val="21"/>
              </w:rPr>
              <w:t>　</w:t>
            </w:r>
          </w:p>
        </w:tc>
        <w:tc>
          <w:tcPr>
            <w:tcW w:w="2786" w:type="dxa"/>
            <w:tcBorders>
              <w:top w:val="nil"/>
              <w:left w:val="nil"/>
              <w:bottom w:val="nil"/>
              <w:right w:val="single" w:color="000000" w:sz="4" w:space="0"/>
            </w:tcBorders>
            <w:vAlign w:val="center"/>
          </w:tcPr>
          <w:p>
            <w:pPr>
              <w:widowControl/>
              <w:rPr>
                <w:szCs w:val="21"/>
              </w:rPr>
            </w:pPr>
            <w:r>
              <w:rPr>
                <w:rFonts w:hint="eastAsia"/>
                <w:szCs w:val="21"/>
              </w:rPr>
              <w:t>　</w:t>
            </w:r>
          </w:p>
        </w:tc>
        <w:tc>
          <w:tcPr>
            <w:tcW w:w="1134"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12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2000"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jc w:val="center"/>
              <w:rPr>
                <w:rFonts w:ascii="Arial" w:hAnsi="Arial" w:cs="Arial"/>
                <w:szCs w:val="21"/>
              </w:rPr>
            </w:pPr>
            <w:r>
              <w:rPr>
                <w:rFonts w:hint="eastAsia" w:ascii="Arial" w:hAnsi="Arial" w:cs="Arial"/>
                <w:szCs w:val="21"/>
              </w:rPr>
              <w:t>　</w:t>
            </w:r>
          </w:p>
        </w:tc>
        <w:tc>
          <w:tcPr>
            <w:tcW w:w="2786" w:type="dxa"/>
            <w:tcBorders>
              <w:top w:val="nil"/>
              <w:left w:val="nil"/>
              <w:bottom w:val="nil"/>
              <w:right w:val="single" w:color="000000" w:sz="4" w:space="0"/>
            </w:tcBorders>
            <w:vAlign w:val="center"/>
          </w:tcPr>
          <w:p>
            <w:pPr>
              <w:widowControl/>
              <w:jc w:val="center"/>
              <w:rPr>
                <w:szCs w:val="21"/>
              </w:rPr>
            </w:pPr>
            <w:r>
              <w:rPr>
                <w:rFonts w:hint="eastAsia"/>
                <w:szCs w:val="21"/>
              </w:rPr>
              <w:t>　</w:t>
            </w:r>
          </w:p>
        </w:tc>
        <w:tc>
          <w:tcPr>
            <w:tcW w:w="1134"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12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2000"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jc w:val="center"/>
              <w:rPr>
                <w:rFonts w:ascii="Arial" w:hAnsi="Arial" w:cs="Arial"/>
                <w:szCs w:val="21"/>
              </w:rPr>
            </w:pPr>
            <w:r>
              <w:rPr>
                <w:rFonts w:hint="eastAsia" w:ascii="Arial" w:hAnsi="Arial" w:cs="Arial"/>
                <w:szCs w:val="21"/>
              </w:rPr>
              <w:t>　</w:t>
            </w:r>
          </w:p>
        </w:tc>
        <w:tc>
          <w:tcPr>
            <w:tcW w:w="2786" w:type="dxa"/>
            <w:tcBorders>
              <w:top w:val="nil"/>
              <w:left w:val="nil"/>
              <w:bottom w:val="nil"/>
              <w:right w:val="single" w:color="000000" w:sz="4" w:space="0"/>
            </w:tcBorders>
            <w:vAlign w:val="center"/>
          </w:tcPr>
          <w:p>
            <w:pPr>
              <w:widowControl/>
              <w:jc w:val="center"/>
              <w:rPr>
                <w:rFonts w:ascii="Arial" w:hAnsi="Arial" w:cs="Arial"/>
                <w:szCs w:val="21"/>
              </w:rPr>
            </w:pPr>
            <w:r>
              <w:rPr>
                <w:rFonts w:hint="eastAsia" w:ascii="Arial" w:hAnsi="Arial" w:cs="Arial"/>
                <w:szCs w:val="21"/>
              </w:rPr>
              <w:t>　</w:t>
            </w:r>
          </w:p>
        </w:tc>
        <w:tc>
          <w:tcPr>
            <w:tcW w:w="1134"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12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2000"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jc w:val="center"/>
              <w:rPr>
                <w:rFonts w:ascii="Arial" w:hAnsi="Arial" w:cs="Arial"/>
                <w:szCs w:val="21"/>
              </w:rPr>
            </w:pPr>
            <w:r>
              <w:rPr>
                <w:rFonts w:hint="eastAsia" w:ascii="Arial" w:hAnsi="Arial" w:cs="Arial"/>
                <w:szCs w:val="21"/>
              </w:rPr>
              <w:t>　</w:t>
            </w:r>
          </w:p>
        </w:tc>
        <w:tc>
          <w:tcPr>
            <w:tcW w:w="2786" w:type="dxa"/>
            <w:tcBorders>
              <w:top w:val="nil"/>
              <w:left w:val="nil"/>
              <w:bottom w:val="nil"/>
              <w:right w:val="single" w:color="000000" w:sz="4" w:space="0"/>
            </w:tcBorders>
            <w:vAlign w:val="center"/>
          </w:tcPr>
          <w:p>
            <w:pPr>
              <w:widowControl/>
              <w:jc w:val="center"/>
              <w:rPr>
                <w:rFonts w:ascii="Arial" w:hAnsi="Arial" w:cs="Arial"/>
                <w:szCs w:val="21"/>
              </w:rPr>
            </w:pPr>
            <w:r>
              <w:rPr>
                <w:rFonts w:hint="eastAsia" w:ascii="Arial" w:hAnsi="Arial" w:cs="Arial"/>
                <w:szCs w:val="21"/>
              </w:rPr>
              <w:t>　</w:t>
            </w:r>
          </w:p>
        </w:tc>
        <w:tc>
          <w:tcPr>
            <w:tcW w:w="1134"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12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2000"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jc w:val="center"/>
              <w:rPr>
                <w:rFonts w:ascii="Arial" w:hAnsi="Arial" w:cs="Arial"/>
                <w:szCs w:val="21"/>
              </w:rPr>
            </w:pPr>
          </w:p>
        </w:tc>
        <w:tc>
          <w:tcPr>
            <w:tcW w:w="2786" w:type="dxa"/>
            <w:tcBorders>
              <w:top w:val="nil"/>
              <w:left w:val="nil"/>
              <w:bottom w:val="nil"/>
              <w:right w:val="single" w:color="000000" w:sz="4" w:space="0"/>
            </w:tcBorders>
            <w:vAlign w:val="center"/>
          </w:tcPr>
          <w:p>
            <w:pPr>
              <w:widowControl/>
              <w:jc w:val="center"/>
              <w:rPr>
                <w:rFonts w:ascii="Arial" w:hAnsi="Arial" w:cs="Arial"/>
                <w:szCs w:val="21"/>
              </w:rPr>
            </w:pPr>
          </w:p>
        </w:tc>
        <w:tc>
          <w:tcPr>
            <w:tcW w:w="1134" w:type="dxa"/>
            <w:tcBorders>
              <w:top w:val="nil"/>
              <w:left w:val="nil"/>
              <w:bottom w:val="nil"/>
              <w:right w:val="single" w:color="auto" w:sz="4" w:space="0"/>
            </w:tcBorders>
            <w:vAlign w:val="center"/>
          </w:tcPr>
          <w:p>
            <w:pPr>
              <w:widowControl/>
              <w:rPr>
                <w:rFonts w:ascii="Arial" w:hAnsi="Arial" w:cs="Arial"/>
                <w:szCs w:val="21"/>
              </w:rPr>
            </w:pPr>
          </w:p>
        </w:tc>
        <w:tc>
          <w:tcPr>
            <w:tcW w:w="112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p>
        </w:tc>
        <w:tc>
          <w:tcPr>
            <w:tcW w:w="2000" w:type="dxa"/>
            <w:tcBorders>
              <w:top w:val="nil"/>
              <w:left w:val="nil"/>
              <w:bottom w:val="nil"/>
              <w:right w:val="single" w:color="auto" w:sz="4" w:space="0"/>
            </w:tcBorders>
            <w:vAlign w:val="center"/>
          </w:tcPr>
          <w:p>
            <w:pPr>
              <w:widowControl/>
              <w:rPr>
                <w:rFonts w:ascii="Arial" w:hAnsi="Arial" w:cs="Arial"/>
                <w:szCs w:val="21"/>
              </w:rPr>
            </w:pP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jc w:val="center"/>
              <w:rPr>
                <w:rFonts w:ascii="Arial" w:hAnsi="Arial" w:cs="Arial"/>
                <w:szCs w:val="21"/>
              </w:rPr>
            </w:pPr>
          </w:p>
        </w:tc>
        <w:tc>
          <w:tcPr>
            <w:tcW w:w="2786" w:type="dxa"/>
            <w:tcBorders>
              <w:top w:val="nil"/>
              <w:left w:val="nil"/>
              <w:bottom w:val="nil"/>
              <w:right w:val="single" w:color="000000" w:sz="4" w:space="0"/>
            </w:tcBorders>
            <w:vAlign w:val="center"/>
          </w:tcPr>
          <w:p>
            <w:pPr>
              <w:widowControl/>
              <w:jc w:val="center"/>
              <w:rPr>
                <w:rFonts w:ascii="Arial" w:hAnsi="Arial" w:cs="Arial"/>
                <w:szCs w:val="21"/>
              </w:rPr>
            </w:pPr>
          </w:p>
        </w:tc>
        <w:tc>
          <w:tcPr>
            <w:tcW w:w="1134" w:type="dxa"/>
            <w:tcBorders>
              <w:top w:val="nil"/>
              <w:left w:val="nil"/>
              <w:bottom w:val="nil"/>
              <w:right w:val="single" w:color="auto" w:sz="4" w:space="0"/>
            </w:tcBorders>
            <w:vAlign w:val="center"/>
          </w:tcPr>
          <w:p>
            <w:pPr>
              <w:widowControl/>
              <w:rPr>
                <w:rFonts w:ascii="Arial" w:hAnsi="Arial" w:cs="Arial"/>
                <w:szCs w:val="21"/>
              </w:rPr>
            </w:pPr>
          </w:p>
        </w:tc>
        <w:tc>
          <w:tcPr>
            <w:tcW w:w="112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p>
        </w:tc>
        <w:tc>
          <w:tcPr>
            <w:tcW w:w="2000" w:type="dxa"/>
            <w:tcBorders>
              <w:top w:val="nil"/>
              <w:left w:val="nil"/>
              <w:bottom w:val="nil"/>
              <w:right w:val="single" w:color="auto" w:sz="4" w:space="0"/>
            </w:tcBorders>
            <w:vAlign w:val="center"/>
          </w:tcPr>
          <w:p>
            <w:pPr>
              <w:widowControl/>
              <w:rPr>
                <w:rFonts w:ascii="Arial" w:hAnsi="Arial" w:cs="Arial"/>
                <w:szCs w:val="21"/>
              </w:rPr>
            </w:pP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jc w:val="center"/>
              <w:rPr>
                <w:rFonts w:ascii="Arial" w:hAnsi="Arial" w:cs="Arial"/>
                <w:szCs w:val="21"/>
              </w:rPr>
            </w:pPr>
            <w:r>
              <w:rPr>
                <w:rFonts w:hint="eastAsia" w:ascii="Arial" w:hAnsi="Arial" w:cs="Arial"/>
                <w:szCs w:val="21"/>
              </w:rPr>
              <w:t>　</w:t>
            </w:r>
          </w:p>
        </w:tc>
        <w:tc>
          <w:tcPr>
            <w:tcW w:w="2786" w:type="dxa"/>
            <w:tcBorders>
              <w:top w:val="nil"/>
              <w:left w:val="nil"/>
              <w:bottom w:val="nil"/>
              <w:right w:val="single" w:color="000000" w:sz="4" w:space="0"/>
            </w:tcBorders>
            <w:vAlign w:val="center"/>
          </w:tcPr>
          <w:p>
            <w:pPr>
              <w:widowControl/>
              <w:jc w:val="center"/>
              <w:rPr>
                <w:rFonts w:ascii="Arial" w:hAnsi="Arial" w:cs="Arial"/>
                <w:szCs w:val="21"/>
              </w:rPr>
            </w:pPr>
            <w:r>
              <w:rPr>
                <w:rFonts w:hint="eastAsia" w:ascii="Arial" w:hAnsi="Arial" w:cs="Arial"/>
                <w:szCs w:val="21"/>
              </w:rPr>
              <w:t>　</w:t>
            </w:r>
          </w:p>
        </w:tc>
        <w:tc>
          <w:tcPr>
            <w:tcW w:w="1134"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12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2000"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2786" w:type="dxa"/>
            <w:tcBorders>
              <w:top w:val="nil"/>
              <w:left w:val="nil"/>
              <w:bottom w:val="nil"/>
              <w:right w:val="single" w:color="000000" w:sz="4" w:space="0"/>
            </w:tcBorders>
            <w:vAlign w:val="center"/>
          </w:tcPr>
          <w:p>
            <w:pPr>
              <w:widowControl/>
              <w:rPr>
                <w:szCs w:val="21"/>
              </w:rPr>
            </w:pPr>
            <w:r>
              <w:rPr>
                <w:rFonts w:hint="eastAsia"/>
                <w:szCs w:val="21"/>
              </w:rPr>
              <w:t>　</w:t>
            </w:r>
          </w:p>
        </w:tc>
        <w:tc>
          <w:tcPr>
            <w:tcW w:w="1134"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12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2000"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jc w:val="center"/>
              <w:rPr>
                <w:rFonts w:ascii="Arial" w:hAnsi="Arial" w:cs="Arial"/>
                <w:szCs w:val="21"/>
              </w:rPr>
            </w:pPr>
            <w:r>
              <w:rPr>
                <w:rFonts w:hint="eastAsia" w:ascii="Arial" w:hAnsi="Arial" w:cs="Arial"/>
                <w:szCs w:val="21"/>
              </w:rPr>
              <w:t>　</w:t>
            </w:r>
          </w:p>
        </w:tc>
        <w:tc>
          <w:tcPr>
            <w:tcW w:w="2786" w:type="dxa"/>
            <w:tcBorders>
              <w:top w:val="nil"/>
              <w:left w:val="nil"/>
              <w:bottom w:val="nil"/>
              <w:right w:val="single" w:color="000000" w:sz="4" w:space="0"/>
            </w:tcBorders>
            <w:vAlign w:val="center"/>
          </w:tcPr>
          <w:p>
            <w:pPr>
              <w:widowControl/>
              <w:rPr>
                <w:szCs w:val="21"/>
              </w:rPr>
            </w:pPr>
            <w:r>
              <w:rPr>
                <w:rFonts w:hint="eastAsia"/>
                <w:szCs w:val="21"/>
              </w:rPr>
              <w:t>　</w:t>
            </w:r>
          </w:p>
        </w:tc>
        <w:tc>
          <w:tcPr>
            <w:tcW w:w="1134"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12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2000"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jc w:val="center"/>
              <w:rPr>
                <w:rFonts w:ascii="Arial" w:hAnsi="Arial" w:cs="Arial"/>
                <w:szCs w:val="21"/>
              </w:rPr>
            </w:pPr>
          </w:p>
        </w:tc>
        <w:tc>
          <w:tcPr>
            <w:tcW w:w="2786" w:type="dxa"/>
            <w:tcBorders>
              <w:top w:val="nil"/>
              <w:left w:val="nil"/>
              <w:bottom w:val="nil"/>
              <w:right w:val="single" w:color="000000" w:sz="4" w:space="0"/>
            </w:tcBorders>
            <w:vAlign w:val="center"/>
          </w:tcPr>
          <w:p>
            <w:pPr>
              <w:widowControl/>
              <w:rPr>
                <w:szCs w:val="21"/>
              </w:rPr>
            </w:pPr>
          </w:p>
        </w:tc>
        <w:tc>
          <w:tcPr>
            <w:tcW w:w="1134" w:type="dxa"/>
            <w:tcBorders>
              <w:top w:val="nil"/>
              <w:left w:val="nil"/>
              <w:bottom w:val="nil"/>
              <w:right w:val="single" w:color="auto" w:sz="4" w:space="0"/>
            </w:tcBorders>
            <w:vAlign w:val="center"/>
          </w:tcPr>
          <w:p>
            <w:pPr>
              <w:widowControl/>
              <w:rPr>
                <w:rFonts w:ascii="Arial" w:hAnsi="Arial" w:cs="Arial"/>
                <w:szCs w:val="21"/>
              </w:rPr>
            </w:pPr>
          </w:p>
        </w:tc>
        <w:tc>
          <w:tcPr>
            <w:tcW w:w="112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p>
        </w:tc>
        <w:tc>
          <w:tcPr>
            <w:tcW w:w="2000" w:type="dxa"/>
            <w:tcBorders>
              <w:top w:val="nil"/>
              <w:left w:val="nil"/>
              <w:bottom w:val="nil"/>
              <w:right w:val="single" w:color="auto" w:sz="4" w:space="0"/>
            </w:tcBorders>
            <w:vAlign w:val="center"/>
          </w:tcPr>
          <w:p>
            <w:pPr>
              <w:widowControl/>
              <w:rPr>
                <w:rFonts w:ascii="Arial" w:hAnsi="Arial" w:cs="Arial"/>
                <w:szCs w:val="21"/>
              </w:rPr>
            </w:pP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2786" w:type="dxa"/>
            <w:tcBorders>
              <w:top w:val="nil"/>
              <w:left w:val="nil"/>
              <w:bottom w:val="nil"/>
              <w:right w:val="single" w:color="000000" w:sz="4" w:space="0"/>
            </w:tcBorders>
            <w:vAlign w:val="center"/>
          </w:tcPr>
          <w:p>
            <w:pPr>
              <w:widowControl/>
              <w:rPr>
                <w:rFonts w:ascii="Arial" w:hAnsi="Arial" w:cs="Arial"/>
                <w:szCs w:val="21"/>
              </w:rPr>
            </w:pPr>
            <w:r>
              <w:rPr>
                <w:rFonts w:hint="eastAsia" w:ascii="Arial" w:hAnsi="Arial" w:cs="Arial"/>
                <w:szCs w:val="21"/>
              </w:rPr>
              <w:t>　</w:t>
            </w:r>
          </w:p>
        </w:tc>
        <w:tc>
          <w:tcPr>
            <w:tcW w:w="1134"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12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2000"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r>
      <w:tr>
        <w:tblPrEx>
          <w:tblCellMar>
            <w:top w:w="0" w:type="dxa"/>
            <w:left w:w="108" w:type="dxa"/>
            <w:bottom w:w="0" w:type="dxa"/>
            <w:right w:w="108" w:type="dxa"/>
          </w:tblCellMar>
        </w:tblPrEx>
        <w:trPr>
          <w:trHeight w:val="735" w:hRule="atLeast"/>
        </w:trPr>
        <w:tc>
          <w:tcPr>
            <w:tcW w:w="369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b/>
                <w:bCs/>
                <w:szCs w:val="21"/>
              </w:rPr>
            </w:pPr>
            <w:r>
              <w:rPr>
                <w:rFonts w:hint="eastAsia"/>
                <w:b/>
                <w:bCs/>
                <w:szCs w:val="21"/>
              </w:rPr>
              <w:t>合</w:t>
            </w:r>
            <w:r>
              <w:rPr>
                <w:b/>
                <w:bCs/>
                <w:szCs w:val="21"/>
              </w:rPr>
              <w:t xml:space="preserve">  </w:t>
            </w:r>
            <w:r>
              <w:rPr>
                <w:rFonts w:hint="eastAsia"/>
                <w:b/>
                <w:bCs/>
                <w:szCs w:val="21"/>
              </w:rPr>
              <w:t>计</w:t>
            </w:r>
          </w:p>
        </w:tc>
        <w:tc>
          <w:tcPr>
            <w:tcW w:w="1134" w:type="dxa"/>
            <w:tcBorders>
              <w:top w:val="single" w:color="auto" w:sz="4" w:space="0"/>
              <w:left w:val="nil"/>
              <w:bottom w:val="single" w:color="auto" w:sz="4" w:space="0"/>
              <w:right w:val="single" w:color="auto" w:sz="4" w:space="0"/>
            </w:tcBorders>
            <w:vAlign w:val="center"/>
          </w:tcPr>
          <w:p>
            <w:pPr>
              <w:widowControl/>
              <w:rPr>
                <w:rFonts w:ascii="Arial" w:hAnsi="Arial" w:cs="Arial"/>
                <w:b/>
                <w:bCs/>
                <w:szCs w:val="21"/>
              </w:rPr>
            </w:pPr>
            <w:r>
              <w:rPr>
                <w:rFonts w:hint="eastAsia" w:ascii="Arial" w:hAnsi="Arial" w:cs="Arial"/>
                <w:b/>
                <w:bCs/>
                <w:szCs w:val="21"/>
              </w:rPr>
              <w:t>　</w:t>
            </w:r>
          </w:p>
        </w:tc>
        <w:tc>
          <w:tcPr>
            <w:tcW w:w="1120" w:type="dxa"/>
            <w:tcBorders>
              <w:top w:val="single" w:color="auto" w:sz="4" w:space="0"/>
              <w:left w:val="nil"/>
              <w:bottom w:val="single" w:color="auto" w:sz="4" w:space="0"/>
              <w:right w:val="nil"/>
            </w:tcBorders>
            <w:vAlign w:val="center"/>
          </w:tcPr>
          <w:p>
            <w:pPr>
              <w:widowControl/>
              <w:rPr>
                <w:rFonts w:ascii="Arial" w:hAnsi="Arial" w:cs="Arial"/>
                <w:szCs w:val="21"/>
              </w:rPr>
            </w:pPr>
            <w:r>
              <w:rPr>
                <w:rFonts w:hint="eastAsia" w:ascii="Arial" w:hAnsi="Arial" w:cs="Arial"/>
                <w:szCs w:val="21"/>
              </w:rPr>
              <w:t>　</w:t>
            </w:r>
          </w:p>
        </w:tc>
        <w:tc>
          <w:tcPr>
            <w:tcW w:w="1420" w:type="dxa"/>
            <w:tcBorders>
              <w:top w:val="single" w:color="auto" w:sz="4" w:space="0"/>
              <w:left w:val="single" w:color="auto" w:sz="4" w:space="0"/>
              <w:bottom w:val="single" w:color="auto" w:sz="4" w:space="0"/>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2000" w:type="dxa"/>
            <w:tcBorders>
              <w:top w:val="single" w:color="auto" w:sz="4" w:space="0"/>
              <w:left w:val="nil"/>
              <w:bottom w:val="single" w:color="auto" w:sz="4" w:space="0"/>
              <w:right w:val="single" w:color="auto" w:sz="4" w:space="0"/>
            </w:tcBorders>
            <w:vAlign w:val="center"/>
          </w:tcPr>
          <w:p>
            <w:pPr>
              <w:widowControl/>
              <w:rPr>
                <w:rFonts w:ascii="Arial" w:hAnsi="Arial" w:cs="Arial"/>
                <w:szCs w:val="21"/>
              </w:rPr>
            </w:pPr>
            <w:r>
              <w:rPr>
                <w:rFonts w:hint="eastAsia" w:ascii="Arial" w:hAnsi="Arial" w:cs="Arial"/>
                <w:szCs w:val="21"/>
              </w:rPr>
              <w:t>　</w:t>
            </w:r>
          </w:p>
        </w:tc>
      </w:tr>
    </w:tbl>
    <w:p>
      <w:pPr>
        <w:rPr>
          <w:szCs w:val="21"/>
        </w:rPr>
      </w:pPr>
      <w:bookmarkStart w:id="116" w:name="_Toc386614851"/>
      <w:bookmarkStart w:id="117" w:name="_Toc342296531"/>
      <w:bookmarkStart w:id="118" w:name="_Toc241459768"/>
    </w:p>
    <w:p>
      <w:pPr>
        <w:rPr>
          <w:szCs w:val="21"/>
        </w:rPr>
      </w:pPr>
    </w:p>
    <w:p>
      <w:pPr>
        <w:rPr>
          <w:szCs w:val="21"/>
        </w:rPr>
      </w:pPr>
    </w:p>
    <w:bookmarkEnd w:id="116"/>
    <w:bookmarkEnd w:id="117"/>
    <w:p>
      <w:pPr>
        <w:rPr>
          <w:szCs w:val="21"/>
        </w:rPr>
      </w:pPr>
    </w:p>
    <w:p>
      <w:pPr>
        <w:tabs>
          <w:tab w:val="left" w:pos="720"/>
        </w:tabs>
        <w:spacing w:afterLines="50" w:line="300" w:lineRule="auto"/>
        <w:jc w:val="center"/>
        <w:rPr>
          <w:rFonts w:ascii="Arial" w:hAnsi="Arial" w:eastAsia="黑体" w:cs="Arial"/>
          <w:bCs/>
          <w:sz w:val="30"/>
          <w:szCs w:val="30"/>
        </w:rPr>
      </w:pPr>
      <w:r>
        <w:rPr>
          <w:rFonts w:hint="eastAsia" w:ascii="Arial" w:hAnsi="Arial" w:eastAsia="黑体" w:cs="Arial"/>
          <w:bCs/>
          <w:sz w:val="30"/>
          <w:szCs w:val="30"/>
        </w:rPr>
        <w:t>单项工程谈判报价汇总表</w:t>
      </w:r>
    </w:p>
    <w:p>
      <w:pPr>
        <w:tabs>
          <w:tab w:val="left" w:pos="720"/>
        </w:tabs>
        <w:spacing w:afterLines="50" w:line="300" w:lineRule="auto"/>
        <w:ind w:right="90"/>
        <w:rPr>
          <w:rFonts w:ascii="Arial" w:hAnsi="Arial" w:cs="Arial"/>
        </w:rPr>
      </w:pPr>
      <w:r>
        <w:rPr>
          <w:rFonts w:hint="eastAsia" w:ascii="Arial" w:hAnsi="Arial" w:cs="Arial"/>
        </w:rPr>
        <w:t>工程名称：</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17"/>
        <w:tblW w:w="0" w:type="auto"/>
        <w:tblInd w:w="103" w:type="dxa"/>
        <w:tblLayout w:type="fixed"/>
        <w:tblCellMar>
          <w:top w:w="0" w:type="dxa"/>
          <w:left w:w="108" w:type="dxa"/>
          <w:bottom w:w="0" w:type="dxa"/>
          <w:right w:w="108" w:type="dxa"/>
        </w:tblCellMar>
      </w:tblPr>
      <w:tblGrid>
        <w:gridCol w:w="905"/>
        <w:gridCol w:w="2786"/>
        <w:gridCol w:w="1174"/>
        <w:gridCol w:w="1080"/>
        <w:gridCol w:w="1420"/>
        <w:gridCol w:w="1820"/>
      </w:tblGrid>
      <w:tr>
        <w:tblPrEx>
          <w:tblCellMar>
            <w:top w:w="0" w:type="dxa"/>
            <w:left w:w="108" w:type="dxa"/>
            <w:bottom w:w="0" w:type="dxa"/>
            <w:right w:w="108" w:type="dxa"/>
          </w:tblCellMar>
        </w:tblPrEx>
        <w:trPr>
          <w:trHeight w:val="458" w:hRule="atLeast"/>
        </w:trPr>
        <w:tc>
          <w:tcPr>
            <w:tcW w:w="90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序号</w:t>
            </w:r>
          </w:p>
        </w:tc>
        <w:tc>
          <w:tcPr>
            <w:tcW w:w="278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单位工程名称</w:t>
            </w:r>
          </w:p>
        </w:tc>
        <w:tc>
          <w:tcPr>
            <w:tcW w:w="117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金额（元）</w:t>
            </w:r>
          </w:p>
        </w:tc>
        <w:tc>
          <w:tcPr>
            <w:tcW w:w="4320" w:type="dxa"/>
            <w:gridSpan w:val="3"/>
            <w:tcBorders>
              <w:top w:val="single" w:color="auto" w:sz="4" w:space="0"/>
              <w:left w:val="nil"/>
              <w:bottom w:val="single" w:color="auto" w:sz="4" w:space="0"/>
              <w:right w:val="single" w:color="auto" w:sz="4" w:space="0"/>
            </w:tcBorders>
            <w:vAlign w:val="center"/>
          </w:tcPr>
          <w:p>
            <w:pPr>
              <w:widowControl/>
              <w:jc w:val="center"/>
              <w:rPr>
                <w:szCs w:val="21"/>
              </w:rPr>
            </w:pPr>
            <w:r>
              <w:rPr>
                <w:rFonts w:hint="eastAsia"/>
                <w:szCs w:val="21"/>
              </w:rPr>
              <w:t>其中：</w:t>
            </w:r>
          </w:p>
        </w:tc>
      </w:tr>
      <w:tr>
        <w:tblPrEx>
          <w:tblCellMar>
            <w:top w:w="0" w:type="dxa"/>
            <w:left w:w="108" w:type="dxa"/>
            <w:bottom w:w="0" w:type="dxa"/>
            <w:right w:w="108" w:type="dxa"/>
          </w:tblCellMar>
        </w:tblPrEx>
        <w:trPr>
          <w:trHeight w:val="735" w:hRule="atLeast"/>
        </w:trPr>
        <w:tc>
          <w:tcPr>
            <w:tcW w:w="9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p>
        </w:tc>
        <w:tc>
          <w:tcPr>
            <w:tcW w:w="27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p>
        </w:tc>
        <w:tc>
          <w:tcPr>
            <w:tcW w:w="1080" w:type="dxa"/>
            <w:tcBorders>
              <w:top w:val="nil"/>
              <w:left w:val="nil"/>
              <w:bottom w:val="single" w:color="auto" w:sz="4" w:space="0"/>
              <w:right w:val="single" w:color="auto" w:sz="4" w:space="0"/>
            </w:tcBorders>
            <w:vAlign w:val="center"/>
          </w:tcPr>
          <w:p>
            <w:pPr>
              <w:widowControl/>
              <w:jc w:val="center"/>
              <w:rPr>
                <w:rFonts w:ascii="Arial" w:hAnsi="Arial" w:cs="Arial"/>
                <w:szCs w:val="21"/>
              </w:rPr>
            </w:pPr>
            <w:r>
              <w:rPr>
                <w:rFonts w:hint="eastAsia"/>
                <w:szCs w:val="21"/>
              </w:rPr>
              <w:t>暂估价</w:t>
            </w:r>
          </w:p>
          <w:p>
            <w:pPr>
              <w:widowControl/>
              <w:jc w:val="center"/>
              <w:rPr>
                <w:szCs w:val="21"/>
              </w:rPr>
            </w:pPr>
            <w:r>
              <w:rPr>
                <w:rFonts w:hint="eastAsia"/>
                <w:szCs w:val="21"/>
              </w:rPr>
              <w:t>（元）</w:t>
            </w:r>
          </w:p>
        </w:tc>
        <w:tc>
          <w:tcPr>
            <w:tcW w:w="1420" w:type="dxa"/>
            <w:tcBorders>
              <w:top w:val="nil"/>
              <w:left w:val="nil"/>
              <w:bottom w:val="single" w:color="auto" w:sz="4" w:space="0"/>
              <w:right w:val="single" w:color="auto" w:sz="4" w:space="0"/>
            </w:tcBorders>
            <w:vAlign w:val="center"/>
          </w:tcPr>
          <w:p>
            <w:pPr>
              <w:widowControl/>
              <w:jc w:val="center"/>
              <w:rPr>
                <w:szCs w:val="21"/>
              </w:rPr>
            </w:pPr>
            <w:r>
              <w:rPr>
                <w:rFonts w:hint="eastAsia"/>
                <w:szCs w:val="21"/>
              </w:rPr>
              <w:t>安全文明施工费（元）</w:t>
            </w:r>
          </w:p>
        </w:tc>
        <w:tc>
          <w:tcPr>
            <w:tcW w:w="1820" w:type="dxa"/>
            <w:tcBorders>
              <w:top w:val="nil"/>
              <w:left w:val="nil"/>
              <w:bottom w:val="single" w:color="auto" w:sz="4" w:space="0"/>
              <w:right w:val="single" w:color="auto" w:sz="4" w:space="0"/>
            </w:tcBorders>
            <w:vAlign w:val="center"/>
          </w:tcPr>
          <w:p>
            <w:pPr>
              <w:widowControl/>
              <w:jc w:val="center"/>
              <w:rPr>
                <w:szCs w:val="21"/>
              </w:rPr>
            </w:pPr>
            <w:r>
              <w:rPr>
                <w:rFonts w:hint="eastAsia"/>
                <w:szCs w:val="21"/>
              </w:rPr>
              <w:t>规费</w:t>
            </w:r>
          </w:p>
          <w:p>
            <w:pPr>
              <w:widowControl/>
              <w:jc w:val="center"/>
              <w:rPr>
                <w:szCs w:val="21"/>
              </w:rPr>
            </w:pPr>
            <w:r>
              <w:rPr>
                <w:rFonts w:hint="eastAsia"/>
                <w:szCs w:val="21"/>
              </w:rPr>
              <w:t>（元）</w:t>
            </w: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jc w:val="center"/>
              <w:rPr>
                <w:rFonts w:ascii="Arial" w:hAnsi="Arial" w:cs="Arial"/>
                <w:szCs w:val="21"/>
              </w:rPr>
            </w:pPr>
          </w:p>
        </w:tc>
        <w:tc>
          <w:tcPr>
            <w:tcW w:w="2786" w:type="dxa"/>
            <w:tcBorders>
              <w:top w:val="nil"/>
              <w:left w:val="nil"/>
              <w:bottom w:val="nil"/>
              <w:right w:val="single" w:color="000000" w:sz="4" w:space="0"/>
            </w:tcBorders>
            <w:vAlign w:val="center"/>
          </w:tcPr>
          <w:p>
            <w:pPr>
              <w:widowControl/>
              <w:rPr>
                <w:szCs w:val="21"/>
              </w:rPr>
            </w:pPr>
          </w:p>
        </w:tc>
        <w:tc>
          <w:tcPr>
            <w:tcW w:w="1174"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08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820"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jc w:val="center"/>
              <w:rPr>
                <w:rFonts w:ascii="Arial" w:hAnsi="Arial" w:cs="Arial"/>
                <w:szCs w:val="21"/>
              </w:rPr>
            </w:pPr>
            <w:r>
              <w:rPr>
                <w:rFonts w:hint="eastAsia" w:ascii="Arial" w:hAnsi="Arial" w:cs="Arial"/>
                <w:szCs w:val="21"/>
              </w:rPr>
              <w:t>　</w:t>
            </w:r>
          </w:p>
        </w:tc>
        <w:tc>
          <w:tcPr>
            <w:tcW w:w="2786" w:type="dxa"/>
            <w:tcBorders>
              <w:top w:val="nil"/>
              <w:left w:val="nil"/>
              <w:bottom w:val="nil"/>
              <w:right w:val="single" w:color="000000" w:sz="4" w:space="0"/>
            </w:tcBorders>
            <w:vAlign w:val="center"/>
          </w:tcPr>
          <w:p>
            <w:pPr>
              <w:widowControl/>
              <w:rPr>
                <w:szCs w:val="21"/>
              </w:rPr>
            </w:pPr>
            <w:r>
              <w:rPr>
                <w:rFonts w:hint="eastAsia"/>
                <w:szCs w:val="21"/>
              </w:rPr>
              <w:t>　</w:t>
            </w:r>
          </w:p>
        </w:tc>
        <w:tc>
          <w:tcPr>
            <w:tcW w:w="1174"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08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820"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jc w:val="center"/>
              <w:rPr>
                <w:rFonts w:ascii="Arial" w:hAnsi="Arial" w:cs="Arial"/>
                <w:szCs w:val="21"/>
              </w:rPr>
            </w:pPr>
            <w:r>
              <w:rPr>
                <w:rFonts w:hint="eastAsia" w:ascii="Arial" w:hAnsi="Arial" w:cs="Arial"/>
                <w:szCs w:val="21"/>
              </w:rPr>
              <w:t>　</w:t>
            </w:r>
          </w:p>
        </w:tc>
        <w:tc>
          <w:tcPr>
            <w:tcW w:w="2786" w:type="dxa"/>
            <w:tcBorders>
              <w:top w:val="nil"/>
              <w:left w:val="nil"/>
              <w:bottom w:val="nil"/>
              <w:right w:val="single" w:color="000000" w:sz="4" w:space="0"/>
            </w:tcBorders>
            <w:vAlign w:val="center"/>
          </w:tcPr>
          <w:p>
            <w:pPr>
              <w:widowControl/>
              <w:rPr>
                <w:szCs w:val="21"/>
              </w:rPr>
            </w:pPr>
            <w:r>
              <w:rPr>
                <w:rFonts w:hint="eastAsia"/>
                <w:szCs w:val="21"/>
              </w:rPr>
              <w:t>　</w:t>
            </w:r>
          </w:p>
        </w:tc>
        <w:tc>
          <w:tcPr>
            <w:tcW w:w="1174"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08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820"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jc w:val="center"/>
              <w:rPr>
                <w:rFonts w:ascii="Arial" w:hAnsi="Arial" w:cs="Arial"/>
                <w:szCs w:val="21"/>
              </w:rPr>
            </w:pPr>
            <w:r>
              <w:rPr>
                <w:rFonts w:hint="eastAsia" w:ascii="Arial" w:hAnsi="Arial" w:cs="Arial"/>
                <w:szCs w:val="21"/>
              </w:rPr>
              <w:t>　</w:t>
            </w:r>
          </w:p>
        </w:tc>
        <w:tc>
          <w:tcPr>
            <w:tcW w:w="2786" w:type="dxa"/>
            <w:tcBorders>
              <w:top w:val="nil"/>
              <w:left w:val="nil"/>
              <w:bottom w:val="nil"/>
              <w:right w:val="single" w:color="000000" w:sz="4" w:space="0"/>
            </w:tcBorders>
            <w:vAlign w:val="center"/>
          </w:tcPr>
          <w:p>
            <w:pPr>
              <w:widowControl/>
              <w:jc w:val="center"/>
              <w:rPr>
                <w:szCs w:val="21"/>
              </w:rPr>
            </w:pPr>
            <w:r>
              <w:rPr>
                <w:rFonts w:hint="eastAsia"/>
                <w:szCs w:val="21"/>
              </w:rPr>
              <w:t>　</w:t>
            </w:r>
          </w:p>
        </w:tc>
        <w:tc>
          <w:tcPr>
            <w:tcW w:w="1174"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08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820"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jc w:val="center"/>
              <w:rPr>
                <w:rFonts w:ascii="Arial" w:hAnsi="Arial" w:cs="Arial"/>
                <w:szCs w:val="21"/>
              </w:rPr>
            </w:pPr>
            <w:r>
              <w:rPr>
                <w:rFonts w:hint="eastAsia" w:ascii="Arial" w:hAnsi="Arial" w:cs="Arial"/>
                <w:szCs w:val="21"/>
              </w:rPr>
              <w:t>　</w:t>
            </w:r>
          </w:p>
        </w:tc>
        <w:tc>
          <w:tcPr>
            <w:tcW w:w="2786" w:type="dxa"/>
            <w:tcBorders>
              <w:top w:val="nil"/>
              <w:left w:val="nil"/>
              <w:bottom w:val="nil"/>
              <w:right w:val="single" w:color="000000" w:sz="4" w:space="0"/>
            </w:tcBorders>
            <w:vAlign w:val="center"/>
          </w:tcPr>
          <w:p>
            <w:pPr>
              <w:widowControl/>
              <w:jc w:val="center"/>
              <w:rPr>
                <w:rFonts w:ascii="Arial" w:hAnsi="Arial" w:cs="Arial"/>
                <w:szCs w:val="21"/>
              </w:rPr>
            </w:pPr>
            <w:r>
              <w:rPr>
                <w:rFonts w:hint="eastAsia" w:ascii="Arial" w:hAnsi="Arial" w:cs="Arial"/>
                <w:szCs w:val="21"/>
              </w:rPr>
              <w:t>　</w:t>
            </w:r>
          </w:p>
        </w:tc>
        <w:tc>
          <w:tcPr>
            <w:tcW w:w="1174"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08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820"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jc w:val="center"/>
              <w:rPr>
                <w:rFonts w:ascii="Arial" w:hAnsi="Arial" w:cs="Arial"/>
                <w:szCs w:val="21"/>
              </w:rPr>
            </w:pPr>
            <w:r>
              <w:rPr>
                <w:rFonts w:hint="eastAsia" w:ascii="Arial" w:hAnsi="Arial" w:cs="Arial"/>
                <w:szCs w:val="21"/>
              </w:rPr>
              <w:t>　</w:t>
            </w:r>
          </w:p>
        </w:tc>
        <w:tc>
          <w:tcPr>
            <w:tcW w:w="2786" w:type="dxa"/>
            <w:tcBorders>
              <w:top w:val="nil"/>
              <w:left w:val="nil"/>
              <w:bottom w:val="nil"/>
              <w:right w:val="single" w:color="000000" w:sz="4" w:space="0"/>
            </w:tcBorders>
            <w:vAlign w:val="center"/>
          </w:tcPr>
          <w:p>
            <w:pPr>
              <w:widowControl/>
              <w:jc w:val="center"/>
              <w:rPr>
                <w:rFonts w:ascii="Arial" w:hAnsi="Arial" w:cs="Arial"/>
                <w:szCs w:val="21"/>
              </w:rPr>
            </w:pPr>
            <w:r>
              <w:rPr>
                <w:rFonts w:hint="eastAsia" w:ascii="Arial" w:hAnsi="Arial" w:cs="Arial"/>
                <w:szCs w:val="21"/>
              </w:rPr>
              <w:t>　</w:t>
            </w:r>
          </w:p>
        </w:tc>
        <w:tc>
          <w:tcPr>
            <w:tcW w:w="1174"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08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820"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jc w:val="center"/>
              <w:rPr>
                <w:rFonts w:ascii="Arial" w:hAnsi="Arial" w:cs="Arial"/>
                <w:szCs w:val="21"/>
              </w:rPr>
            </w:pPr>
          </w:p>
        </w:tc>
        <w:tc>
          <w:tcPr>
            <w:tcW w:w="2786" w:type="dxa"/>
            <w:tcBorders>
              <w:top w:val="nil"/>
              <w:left w:val="nil"/>
              <w:bottom w:val="nil"/>
              <w:right w:val="single" w:color="000000" w:sz="4" w:space="0"/>
            </w:tcBorders>
            <w:vAlign w:val="center"/>
          </w:tcPr>
          <w:p>
            <w:pPr>
              <w:widowControl/>
              <w:jc w:val="center"/>
              <w:rPr>
                <w:rFonts w:ascii="Arial" w:hAnsi="Arial" w:cs="Arial"/>
                <w:szCs w:val="21"/>
              </w:rPr>
            </w:pPr>
          </w:p>
        </w:tc>
        <w:tc>
          <w:tcPr>
            <w:tcW w:w="1174" w:type="dxa"/>
            <w:tcBorders>
              <w:top w:val="nil"/>
              <w:left w:val="nil"/>
              <w:bottom w:val="nil"/>
              <w:right w:val="single" w:color="auto" w:sz="4" w:space="0"/>
            </w:tcBorders>
            <w:vAlign w:val="center"/>
          </w:tcPr>
          <w:p>
            <w:pPr>
              <w:widowControl/>
              <w:rPr>
                <w:rFonts w:ascii="Arial" w:hAnsi="Arial" w:cs="Arial"/>
                <w:szCs w:val="21"/>
              </w:rPr>
            </w:pPr>
          </w:p>
        </w:tc>
        <w:tc>
          <w:tcPr>
            <w:tcW w:w="108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p>
        </w:tc>
        <w:tc>
          <w:tcPr>
            <w:tcW w:w="1820" w:type="dxa"/>
            <w:tcBorders>
              <w:top w:val="nil"/>
              <w:left w:val="nil"/>
              <w:bottom w:val="nil"/>
              <w:right w:val="single" w:color="auto" w:sz="4" w:space="0"/>
            </w:tcBorders>
            <w:vAlign w:val="center"/>
          </w:tcPr>
          <w:p>
            <w:pPr>
              <w:widowControl/>
              <w:rPr>
                <w:rFonts w:ascii="Arial" w:hAnsi="Arial" w:cs="Arial"/>
                <w:szCs w:val="21"/>
              </w:rPr>
            </w:pP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jc w:val="center"/>
              <w:rPr>
                <w:rFonts w:ascii="Arial" w:hAnsi="Arial" w:cs="Arial"/>
                <w:szCs w:val="21"/>
              </w:rPr>
            </w:pPr>
          </w:p>
        </w:tc>
        <w:tc>
          <w:tcPr>
            <w:tcW w:w="2786" w:type="dxa"/>
            <w:tcBorders>
              <w:top w:val="nil"/>
              <w:left w:val="nil"/>
              <w:bottom w:val="nil"/>
              <w:right w:val="single" w:color="000000" w:sz="4" w:space="0"/>
            </w:tcBorders>
            <w:vAlign w:val="center"/>
          </w:tcPr>
          <w:p>
            <w:pPr>
              <w:widowControl/>
              <w:jc w:val="center"/>
              <w:rPr>
                <w:rFonts w:ascii="Arial" w:hAnsi="Arial" w:cs="Arial"/>
                <w:szCs w:val="21"/>
              </w:rPr>
            </w:pPr>
          </w:p>
        </w:tc>
        <w:tc>
          <w:tcPr>
            <w:tcW w:w="1174" w:type="dxa"/>
            <w:tcBorders>
              <w:top w:val="nil"/>
              <w:left w:val="nil"/>
              <w:bottom w:val="nil"/>
              <w:right w:val="single" w:color="auto" w:sz="4" w:space="0"/>
            </w:tcBorders>
            <w:vAlign w:val="center"/>
          </w:tcPr>
          <w:p>
            <w:pPr>
              <w:widowControl/>
              <w:rPr>
                <w:rFonts w:ascii="Arial" w:hAnsi="Arial" w:cs="Arial"/>
                <w:szCs w:val="21"/>
              </w:rPr>
            </w:pPr>
          </w:p>
        </w:tc>
        <w:tc>
          <w:tcPr>
            <w:tcW w:w="108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p>
        </w:tc>
        <w:tc>
          <w:tcPr>
            <w:tcW w:w="1820" w:type="dxa"/>
            <w:tcBorders>
              <w:top w:val="nil"/>
              <w:left w:val="nil"/>
              <w:bottom w:val="nil"/>
              <w:right w:val="single" w:color="auto" w:sz="4" w:space="0"/>
            </w:tcBorders>
            <w:vAlign w:val="center"/>
          </w:tcPr>
          <w:p>
            <w:pPr>
              <w:widowControl/>
              <w:rPr>
                <w:rFonts w:ascii="Arial" w:hAnsi="Arial" w:cs="Arial"/>
                <w:szCs w:val="21"/>
              </w:rPr>
            </w:pP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jc w:val="center"/>
              <w:rPr>
                <w:rFonts w:ascii="Arial" w:hAnsi="Arial" w:cs="Arial"/>
                <w:szCs w:val="21"/>
              </w:rPr>
            </w:pPr>
            <w:r>
              <w:rPr>
                <w:rFonts w:hint="eastAsia" w:ascii="Arial" w:hAnsi="Arial" w:cs="Arial"/>
                <w:szCs w:val="21"/>
              </w:rPr>
              <w:t>　</w:t>
            </w:r>
          </w:p>
        </w:tc>
        <w:tc>
          <w:tcPr>
            <w:tcW w:w="2786" w:type="dxa"/>
            <w:tcBorders>
              <w:top w:val="nil"/>
              <w:left w:val="nil"/>
              <w:bottom w:val="nil"/>
              <w:right w:val="single" w:color="000000" w:sz="4" w:space="0"/>
            </w:tcBorders>
            <w:vAlign w:val="center"/>
          </w:tcPr>
          <w:p>
            <w:pPr>
              <w:widowControl/>
              <w:jc w:val="center"/>
              <w:rPr>
                <w:rFonts w:ascii="Arial" w:hAnsi="Arial" w:cs="Arial"/>
                <w:szCs w:val="21"/>
              </w:rPr>
            </w:pPr>
            <w:r>
              <w:rPr>
                <w:rFonts w:hint="eastAsia" w:ascii="Arial" w:hAnsi="Arial" w:cs="Arial"/>
                <w:szCs w:val="21"/>
              </w:rPr>
              <w:t>　</w:t>
            </w:r>
          </w:p>
        </w:tc>
        <w:tc>
          <w:tcPr>
            <w:tcW w:w="1174"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08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820"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2786" w:type="dxa"/>
            <w:tcBorders>
              <w:top w:val="nil"/>
              <w:left w:val="nil"/>
              <w:bottom w:val="nil"/>
              <w:right w:val="single" w:color="000000" w:sz="4" w:space="0"/>
            </w:tcBorders>
            <w:vAlign w:val="center"/>
          </w:tcPr>
          <w:p>
            <w:pPr>
              <w:widowControl/>
              <w:rPr>
                <w:szCs w:val="21"/>
              </w:rPr>
            </w:pPr>
            <w:r>
              <w:rPr>
                <w:rFonts w:hint="eastAsia"/>
                <w:szCs w:val="21"/>
              </w:rPr>
              <w:t>　</w:t>
            </w:r>
          </w:p>
        </w:tc>
        <w:tc>
          <w:tcPr>
            <w:tcW w:w="1174"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08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820"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2786" w:type="dxa"/>
            <w:tcBorders>
              <w:top w:val="nil"/>
              <w:left w:val="nil"/>
              <w:bottom w:val="nil"/>
              <w:right w:val="single" w:color="000000" w:sz="4" w:space="0"/>
            </w:tcBorders>
            <w:vAlign w:val="center"/>
          </w:tcPr>
          <w:p>
            <w:pPr>
              <w:widowControl/>
              <w:rPr>
                <w:szCs w:val="21"/>
              </w:rPr>
            </w:pPr>
            <w:r>
              <w:rPr>
                <w:rFonts w:hint="eastAsia"/>
                <w:szCs w:val="21"/>
              </w:rPr>
              <w:t>　</w:t>
            </w:r>
          </w:p>
        </w:tc>
        <w:tc>
          <w:tcPr>
            <w:tcW w:w="1174"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080" w:type="dxa"/>
            <w:tcBorders>
              <w:top w:val="nil"/>
              <w:left w:val="nil"/>
              <w:bottom w:val="nil"/>
              <w:right w:val="nil"/>
            </w:tcBorders>
            <w:vAlign w:val="center"/>
          </w:tcPr>
          <w:p>
            <w:pPr>
              <w:widowControl/>
              <w:rPr>
                <w:rFonts w:ascii="Arial" w:hAnsi="Arial" w:cs="Arial"/>
                <w:szCs w:val="21"/>
              </w:rPr>
            </w:pPr>
          </w:p>
        </w:tc>
        <w:tc>
          <w:tcPr>
            <w:tcW w:w="1420" w:type="dxa"/>
            <w:tcBorders>
              <w:top w:val="nil"/>
              <w:left w:val="single" w:color="auto" w:sz="4" w:space="0"/>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820" w:type="dxa"/>
            <w:tcBorders>
              <w:top w:val="nil"/>
              <w:left w:val="nil"/>
              <w:bottom w:val="nil"/>
              <w:right w:val="single" w:color="auto" w:sz="4" w:space="0"/>
            </w:tcBorders>
            <w:vAlign w:val="center"/>
          </w:tcPr>
          <w:p>
            <w:pPr>
              <w:widowControl/>
              <w:rPr>
                <w:rFonts w:ascii="Arial" w:hAnsi="Arial" w:cs="Arial"/>
                <w:szCs w:val="21"/>
              </w:rPr>
            </w:pPr>
            <w:r>
              <w:rPr>
                <w:rFonts w:hint="eastAsia" w:ascii="Arial" w:hAnsi="Arial" w:cs="Arial"/>
                <w:szCs w:val="21"/>
              </w:rPr>
              <w:t>　</w:t>
            </w:r>
          </w:p>
        </w:tc>
      </w:tr>
      <w:tr>
        <w:tblPrEx>
          <w:tblCellMar>
            <w:top w:w="0" w:type="dxa"/>
            <w:left w:w="108" w:type="dxa"/>
            <w:bottom w:w="0" w:type="dxa"/>
            <w:right w:w="108" w:type="dxa"/>
          </w:tblCellMar>
        </w:tblPrEx>
        <w:trPr>
          <w:trHeight w:val="735" w:hRule="atLeast"/>
        </w:trPr>
        <w:tc>
          <w:tcPr>
            <w:tcW w:w="905" w:type="dxa"/>
            <w:tcBorders>
              <w:top w:val="nil"/>
              <w:left w:val="single" w:color="auto" w:sz="4" w:space="0"/>
              <w:bottom w:val="single" w:color="auto" w:sz="4" w:space="0"/>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2786" w:type="dxa"/>
            <w:tcBorders>
              <w:top w:val="nil"/>
              <w:left w:val="nil"/>
              <w:bottom w:val="single" w:color="auto" w:sz="4" w:space="0"/>
              <w:right w:val="single" w:color="000000" w:sz="4" w:space="0"/>
            </w:tcBorders>
            <w:vAlign w:val="center"/>
          </w:tcPr>
          <w:p>
            <w:pPr>
              <w:widowControl/>
              <w:rPr>
                <w:rFonts w:ascii="Arial" w:hAnsi="Arial" w:cs="Arial"/>
                <w:szCs w:val="21"/>
              </w:rPr>
            </w:pPr>
            <w:r>
              <w:rPr>
                <w:rFonts w:hint="eastAsia" w:ascii="Arial" w:hAnsi="Arial" w:cs="Arial"/>
                <w:szCs w:val="21"/>
              </w:rPr>
              <w:t>　</w:t>
            </w:r>
          </w:p>
        </w:tc>
        <w:tc>
          <w:tcPr>
            <w:tcW w:w="1174" w:type="dxa"/>
            <w:tcBorders>
              <w:top w:val="nil"/>
              <w:left w:val="nil"/>
              <w:bottom w:val="single" w:color="auto" w:sz="4" w:space="0"/>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080" w:type="dxa"/>
            <w:tcBorders>
              <w:top w:val="nil"/>
              <w:left w:val="nil"/>
              <w:bottom w:val="single" w:color="auto" w:sz="4" w:space="0"/>
              <w:right w:val="nil"/>
            </w:tcBorders>
            <w:vAlign w:val="center"/>
          </w:tcPr>
          <w:p>
            <w:pPr>
              <w:widowControl/>
              <w:rPr>
                <w:rFonts w:ascii="Arial" w:hAnsi="Arial" w:cs="Arial"/>
                <w:szCs w:val="21"/>
              </w:rPr>
            </w:pPr>
          </w:p>
        </w:tc>
        <w:tc>
          <w:tcPr>
            <w:tcW w:w="1420" w:type="dxa"/>
            <w:tcBorders>
              <w:top w:val="nil"/>
              <w:left w:val="single" w:color="auto" w:sz="4" w:space="0"/>
              <w:bottom w:val="single" w:color="auto" w:sz="4" w:space="0"/>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820" w:type="dxa"/>
            <w:tcBorders>
              <w:top w:val="nil"/>
              <w:left w:val="nil"/>
              <w:bottom w:val="single" w:color="auto" w:sz="4" w:space="0"/>
              <w:right w:val="single" w:color="auto" w:sz="4" w:space="0"/>
            </w:tcBorders>
            <w:vAlign w:val="center"/>
          </w:tcPr>
          <w:p>
            <w:pPr>
              <w:widowControl/>
              <w:rPr>
                <w:rFonts w:ascii="Arial" w:hAnsi="Arial" w:cs="Arial"/>
                <w:szCs w:val="21"/>
              </w:rPr>
            </w:pPr>
            <w:r>
              <w:rPr>
                <w:rFonts w:hint="eastAsia" w:ascii="Arial" w:hAnsi="Arial" w:cs="Arial"/>
                <w:szCs w:val="21"/>
              </w:rPr>
              <w:t>　</w:t>
            </w:r>
          </w:p>
        </w:tc>
      </w:tr>
      <w:tr>
        <w:tblPrEx>
          <w:tblCellMar>
            <w:top w:w="0" w:type="dxa"/>
            <w:left w:w="108" w:type="dxa"/>
            <w:bottom w:w="0" w:type="dxa"/>
            <w:right w:w="108" w:type="dxa"/>
          </w:tblCellMar>
        </w:tblPrEx>
        <w:trPr>
          <w:trHeight w:val="735" w:hRule="atLeast"/>
        </w:trPr>
        <w:tc>
          <w:tcPr>
            <w:tcW w:w="369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bCs/>
                <w:szCs w:val="21"/>
              </w:rPr>
            </w:pPr>
            <w:r>
              <w:rPr>
                <w:rFonts w:hint="eastAsia"/>
                <w:b/>
                <w:bCs/>
                <w:szCs w:val="21"/>
              </w:rPr>
              <w:t>合</w:t>
            </w:r>
            <w:r>
              <w:rPr>
                <w:b/>
                <w:bCs/>
                <w:szCs w:val="21"/>
              </w:rPr>
              <w:t xml:space="preserve">  </w:t>
            </w:r>
            <w:r>
              <w:rPr>
                <w:rFonts w:hint="eastAsia"/>
                <w:b/>
                <w:bCs/>
                <w:szCs w:val="21"/>
              </w:rPr>
              <w:t>计</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rPr>
                <w:rFonts w:ascii="Arial" w:hAnsi="Arial" w:cs="Arial"/>
                <w:b/>
                <w:bCs/>
                <w:szCs w:val="21"/>
              </w:rPr>
            </w:pPr>
            <w:r>
              <w:rPr>
                <w:rFonts w:hint="eastAsia" w:ascii="Arial" w:hAnsi="Arial" w:cs="Arial"/>
                <w:b/>
                <w:bCs/>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420" w:type="dxa"/>
            <w:tcBorders>
              <w:top w:val="single" w:color="auto" w:sz="4" w:space="0"/>
              <w:left w:val="single" w:color="auto" w:sz="4" w:space="0"/>
              <w:bottom w:val="single" w:color="auto" w:sz="4" w:space="0"/>
              <w:right w:val="single" w:color="auto" w:sz="4" w:space="0"/>
            </w:tcBorders>
            <w:vAlign w:val="center"/>
          </w:tcPr>
          <w:p>
            <w:pPr>
              <w:widowControl/>
              <w:rPr>
                <w:rFonts w:ascii="Arial" w:hAnsi="Arial" w:cs="Arial"/>
                <w:szCs w:val="21"/>
              </w:rPr>
            </w:pPr>
            <w:r>
              <w:rPr>
                <w:rFonts w:hint="eastAsia" w:ascii="Arial" w:hAnsi="Arial" w:cs="Arial"/>
                <w:szCs w:val="21"/>
              </w:rPr>
              <w:t>　</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rPr>
                <w:rFonts w:ascii="Arial" w:hAnsi="Arial" w:cs="Arial"/>
                <w:szCs w:val="21"/>
              </w:rPr>
            </w:pPr>
            <w:r>
              <w:rPr>
                <w:rFonts w:hint="eastAsia" w:ascii="Arial" w:hAnsi="Arial" w:cs="Arial"/>
                <w:szCs w:val="21"/>
              </w:rPr>
              <w:t>　</w:t>
            </w:r>
          </w:p>
        </w:tc>
      </w:tr>
    </w:tbl>
    <w:p>
      <w:pPr>
        <w:rPr>
          <w:szCs w:val="21"/>
        </w:rPr>
      </w:pPr>
      <w:bookmarkStart w:id="119" w:name="_Toc386614852"/>
      <w:bookmarkStart w:id="120" w:name="_Toc342296532"/>
    </w:p>
    <w:p>
      <w:pPr>
        <w:rPr>
          <w:szCs w:val="21"/>
        </w:rPr>
      </w:pPr>
    </w:p>
    <w:p>
      <w:pPr>
        <w:rPr>
          <w:szCs w:val="21"/>
        </w:rPr>
      </w:pPr>
    </w:p>
    <w:p>
      <w:pPr>
        <w:rPr>
          <w:szCs w:val="21"/>
        </w:rPr>
      </w:pPr>
    </w:p>
    <w:bookmarkEnd w:id="118"/>
    <w:bookmarkEnd w:id="119"/>
    <w:bookmarkEnd w:id="120"/>
    <w:p>
      <w:pPr>
        <w:rPr>
          <w:szCs w:val="21"/>
        </w:rPr>
      </w:pPr>
    </w:p>
    <w:p>
      <w:pPr>
        <w:rPr>
          <w:szCs w:val="21"/>
        </w:rPr>
      </w:pPr>
    </w:p>
    <w:p>
      <w:pPr>
        <w:tabs>
          <w:tab w:val="left" w:pos="720"/>
        </w:tabs>
        <w:spacing w:afterLines="50" w:line="300" w:lineRule="auto"/>
        <w:jc w:val="center"/>
        <w:rPr>
          <w:rFonts w:ascii="Arial" w:hAnsi="Arial" w:eastAsia="黑体" w:cs="Arial"/>
          <w:bCs/>
          <w:sz w:val="30"/>
          <w:szCs w:val="30"/>
        </w:rPr>
      </w:pPr>
      <w:r>
        <w:rPr>
          <w:rFonts w:hint="eastAsia" w:ascii="Arial" w:hAnsi="Arial" w:eastAsia="黑体" w:cs="Arial"/>
          <w:bCs/>
          <w:sz w:val="30"/>
          <w:szCs w:val="30"/>
        </w:rPr>
        <w:t>单位工程谈判报价汇总表</w:t>
      </w:r>
    </w:p>
    <w:p>
      <w:pPr>
        <w:tabs>
          <w:tab w:val="left" w:pos="720"/>
        </w:tabs>
        <w:spacing w:afterLines="50" w:line="300" w:lineRule="auto"/>
        <w:rPr>
          <w:rFonts w:ascii="Arial" w:hAnsi="Arial" w:cs="Arial"/>
        </w:rPr>
      </w:pPr>
    </w:p>
    <w:p>
      <w:pPr>
        <w:tabs>
          <w:tab w:val="left" w:pos="720"/>
        </w:tabs>
        <w:spacing w:afterLines="50" w:line="300" w:lineRule="auto"/>
        <w:rPr>
          <w:rFonts w:ascii="Arial" w:hAnsi="Arial" w:cs="Arial"/>
        </w:rPr>
      </w:pPr>
      <w:r>
        <w:rPr>
          <w:rFonts w:hint="eastAsia" w:ascii="Arial" w:hAnsi="Arial" w:cs="Arial"/>
        </w:rPr>
        <w:t>工程名称：</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252"/>
        <w:gridCol w:w="2131"/>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tabs>
                <w:tab w:val="left" w:pos="720"/>
              </w:tabs>
              <w:spacing w:line="300" w:lineRule="auto"/>
              <w:jc w:val="center"/>
              <w:rPr>
                <w:rFonts w:ascii="Arial" w:hAnsi="Arial" w:cs="Arial"/>
              </w:rPr>
            </w:pPr>
            <w:r>
              <w:rPr>
                <w:rFonts w:hint="eastAsia" w:ascii="Arial" w:hAnsi="Arial" w:cs="Arial"/>
              </w:rPr>
              <w:t>序号</w:t>
            </w:r>
          </w:p>
        </w:tc>
        <w:tc>
          <w:tcPr>
            <w:tcW w:w="3252" w:type="dxa"/>
            <w:vAlign w:val="center"/>
          </w:tcPr>
          <w:p>
            <w:pPr>
              <w:tabs>
                <w:tab w:val="left" w:pos="720"/>
              </w:tabs>
              <w:spacing w:line="300" w:lineRule="auto"/>
              <w:jc w:val="center"/>
              <w:rPr>
                <w:rFonts w:ascii="Arial" w:hAnsi="Arial" w:cs="Arial"/>
              </w:rPr>
            </w:pPr>
            <w:r>
              <w:rPr>
                <w:rFonts w:hint="eastAsia" w:ascii="Arial" w:hAnsi="Arial" w:cs="Arial"/>
              </w:rPr>
              <w:t>汇总内容</w:t>
            </w:r>
          </w:p>
        </w:tc>
        <w:tc>
          <w:tcPr>
            <w:tcW w:w="2131" w:type="dxa"/>
            <w:vAlign w:val="center"/>
          </w:tcPr>
          <w:p>
            <w:pPr>
              <w:tabs>
                <w:tab w:val="left" w:pos="720"/>
              </w:tabs>
              <w:spacing w:line="300" w:lineRule="auto"/>
              <w:jc w:val="center"/>
              <w:rPr>
                <w:rFonts w:ascii="Arial" w:hAnsi="Arial" w:cs="Arial"/>
              </w:rPr>
            </w:pPr>
            <w:r>
              <w:rPr>
                <w:rFonts w:hint="eastAsia" w:ascii="Arial" w:hAnsi="Arial" w:cs="Arial"/>
              </w:rPr>
              <w:t>金额（元）</w:t>
            </w:r>
          </w:p>
        </w:tc>
        <w:tc>
          <w:tcPr>
            <w:tcW w:w="1997" w:type="dxa"/>
            <w:vAlign w:val="center"/>
          </w:tcPr>
          <w:p>
            <w:pPr>
              <w:tabs>
                <w:tab w:val="left" w:pos="720"/>
              </w:tabs>
              <w:spacing w:line="300" w:lineRule="auto"/>
              <w:jc w:val="center"/>
              <w:rPr>
                <w:rFonts w:ascii="Arial" w:hAnsi="Arial" w:cs="Arial"/>
              </w:rPr>
            </w:pPr>
            <w:r>
              <w:rPr>
                <w:rFonts w:hint="eastAsia" w:ascii="Arial" w:hAnsi="Arial" w:cs="Arial"/>
              </w:rPr>
              <w:t>其中：暂估价（元）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tabs>
                <w:tab w:val="left" w:pos="720"/>
              </w:tabs>
              <w:spacing w:line="300" w:lineRule="auto"/>
              <w:rPr>
                <w:rFonts w:ascii="Arial" w:hAnsi="Arial" w:cs="Arial"/>
              </w:rPr>
            </w:pPr>
            <w:r>
              <w:rPr>
                <w:rFonts w:ascii="Arial" w:hAnsi="Arial" w:cs="Arial"/>
              </w:rPr>
              <w:t>1</w:t>
            </w:r>
          </w:p>
        </w:tc>
        <w:tc>
          <w:tcPr>
            <w:tcW w:w="3252" w:type="dxa"/>
            <w:vAlign w:val="center"/>
          </w:tcPr>
          <w:p>
            <w:pPr>
              <w:tabs>
                <w:tab w:val="left" w:pos="720"/>
              </w:tabs>
              <w:spacing w:line="300" w:lineRule="auto"/>
              <w:rPr>
                <w:rFonts w:ascii="Arial" w:hAnsi="Arial" w:cs="Arial"/>
              </w:rPr>
            </w:pPr>
            <w:r>
              <w:rPr>
                <w:rFonts w:hint="eastAsia" w:ascii="Arial" w:hAnsi="Arial" w:cs="Arial"/>
              </w:rPr>
              <w:t>分部分项工程</w:t>
            </w:r>
          </w:p>
        </w:tc>
        <w:tc>
          <w:tcPr>
            <w:tcW w:w="2131" w:type="dxa"/>
            <w:vAlign w:val="center"/>
          </w:tcPr>
          <w:p>
            <w:pPr>
              <w:tabs>
                <w:tab w:val="left" w:pos="720"/>
              </w:tabs>
              <w:spacing w:line="300" w:lineRule="auto"/>
              <w:jc w:val="center"/>
              <w:rPr>
                <w:rFonts w:ascii="Arial" w:hAnsi="Arial" w:cs="Arial"/>
              </w:rPr>
            </w:pPr>
          </w:p>
        </w:tc>
        <w:tc>
          <w:tcPr>
            <w:tcW w:w="1997"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tabs>
                <w:tab w:val="left" w:pos="720"/>
              </w:tabs>
              <w:spacing w:line="300" w:lineRule="auto"/>
              <w:rPr>
                <w:rFonts w:ascii="Arial" w:hAnsi="Arial" w:cs="Arial"/>
              </w:rPr>
            </w:pPr>
            <w:r>
              <w:rPr>
                <w:rFonts w:ascii="Arial" w:hAnsi="Arial" w:cs="Arial"/>
              </w:rPr>
              <w:t>1.1</w:t>
            </w:r>
          </w:p>
        </w:tc>
        <w:tc>
          <w:tcPr>
            <w:tcW w:w="3252" w:type="dxa"/>
            <w:vAlign w:val="center"/>
          </w:tcPr>
          <w:p>
            <w:pPr>
              <w:tabs>
                <w:tab w:val="left" w:pos="720"/>
              </w:tabs>
              <w:spacing w:line="300" w:lineRule="auto"/>
              <w:jc w:val="center"/>
              <w:rPr>
                <w:rFonts w:ascii="Arial" w:hAnsi="Arial" w:cs="Arial"/>
              </w:rPr>
            </w:pPr>
          </w:p>
        </w:tc>
        <w:tc>
          <w:tcPr>
            <w:tcW w:w="2131" w:type="dxa"/>
            <w:vAlign w:val="center"/>
          </w:tcPr>
          <w:p>
            <w:pPr>
              <w:tabs>
                <w:tab w:val="left" w:pos="720"/>
              </w:tabs>
              <w:spacing w:line="300" w:lineRule="auto"/>
              <w:jc w:val="center"/>
              <w:rPr>
                <w:rFonts w:ascii="Arial" w:hAnsi="Arial" w:cs="Arial"/>
              </w:rPr>
            </w:pPr>
          </w:p>
        </w:tc>
        <w:tc>
          <w:tcPr>
            <w:tcW w:w="1997"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tabs>
                <w:tab w:val="left" w:pos="720"/>
              </w:tabs>
              <w:spacing w:line="300" w:lineRule="auto"/>
              <w:rPr>
                <w:rFonts w:ascii="Arial" w:hAnsi="Arial" w:cs="Arial"/>
              </w:rPr>
            </w:pPr>
            <w:r>
              <w:rPr>
                <w:rFonts w:ascii="Arial" w:hAnsi="Arial" w:cs="Arial"/>
              </w:rPr>
              <w:t>1.2</w:t>
            </w:r>
          </w:p>
        </w:tc>
        <w:tc>
          <w:tcPr>
            <w:tcW w:w="3252" w:type="dxa"/>
            <w:vAlign w:val="center"/>
          </w:tcPr>
          <w:p>
            <w:pPr>
              <w:tabs>
                <w:tab w:val="left" w:pos="720"/>
              </w:tabs>
              <w:spacing w:line="300" w:lineRule="auto"/>
              <w:jc w:val="center"/>
              <w:rPr>
                <w:rFonts w:ascii="Arial" w:hAnsi="Arial" w:cs="Arial"/>
              </w:rPr>
            </w:pPr>
          </w:p>
        </w:tc>
        <w:tc>
          <w:tcPr>
            <w:tcW w:w="2131" w:type="dxa"/>
            <w:vAlign w:val="center"/>
          </w:tcPr>
          <w:p>
            <w:pPr>
              <w:tabs>
                <w:tab w:val="left" w:pos="720"/>
              </w:tabs>
              <w:spacing w:line="300" w:lineRule="auto"/>
              <w:jc w:val="center"/>
              <w:rPr>
                <w:rFonts w:ascii="Arial" w:hAnsi="Arial" w:cs="Arial"/>
              </w:rPr>
            </w:pPr>
          </w:p>
        </w:tc>
        <w:tc>
          <w:tcPr>
            <w:tcW w:w="1997"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tabs>
                <w:tab w:val="left" w:pos="720"/>
              </w:tabs>
              <w:spacing w:line="300" w:lineRule="auto"/>
              <w:rPr>
                <w:rFonts w:ascii="Arial" w:hAnsi="Arial" w:cs="Arial"/>
              </w:rPr>
            </w:pPr>
            <w:r>
              <w:rPr>
                <w:rFonts w:ascii="Arial" w:hAnsi="Arial" w:cs="Arial"/>
              </w:rPr>
              <w:t>1.3</w:t>
            </w:r>
          </w:p>
        </w:tc>
        <w:tc>
          <w:tcPr>
            <w:tcW w:w="3252" w:type="dxa"/>
            <w:vAlign w:val="center"/>
          </w:tcPr>
          <w:p>
            <w:pPr>
              <w:tabs>
                <w:tab w:val="left" w:pos="720"/>
              </w:tabs>
              <w:spacing w:line="300" w:lineRule="auto"/>
              <w:jc w:val="center"/>
              <w:rPr>
                <w:rFonts w:ascii="Arial" w:hAnsi="Arial" w:cs="Arial"/>
              </w:rPr>
            </w:pPr>
          </w:p>
        </w:tc>
        <w:tc>
          <w:tcPr>
            <w:tcW w:w="2131" w:type="dxa"/>
            <w:vAlign w:val="center"/>
          </w:tcPr>
          <w:p>
            <w:pPr>
              <w:tabs>
                <w:tab w:val="left" w:pos="720"/>
              </w:tabs>
              <w:spacing w:line="300" w:lineRule="auto"/>
              <w:jc w:val="center"/>
              <w:rPr>
                <w:rFonts w:ascii="Arial" w:hAnsi="Arial" w:cs="Arial"/>
              </w:rPr>
            </w:pPr>
          </w:p>
        </w:tc>
        <w:tc>
          <w:tcPr>
            <w:tcW w:w="1997"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tabs>
                <w:tab w:val="left" w:pos="720"/>
              </w:tabs>
              <w:spacing w:line="300" w:lineRule="auto"/>
              <w:rPr>
                <w:rFonts w:ascii="Arial" w:hAnsi="Arial" w:cs="Arial"/>
              </w:rPr>
            </w:pPr>
            <w:r>
              <w:rPr>
                <w:rFonts w:ascii="Arial" w:hAnsi="Arial" w:cs="Arial"/>
              </w:rPr>
              <w:t>1.4</w:t>
            </w:r>
          </w:p>
        </w:tc>
        <w:tc>
          <w:tcPr>
            <w:tcW w:w="3252" w:type="dxa"/>
            <w:vAlign w:val="center"/>
          </w:tcPr>
          <w:p>
            <w:pPr>
              <w:tabs>
                <w:tab w:val="left" w:pos="720"/>
              </w:tabs>
              <w:spacing w:line="300" w:lineRule="auto"/>
              <w:jc w:val="center"/>
              <w:rPr>
                <w:rFonts w:ascii="Arial" w:hAnsi="Arial" w:cs="Arial"/>
              </w:rPr>
            </w:pPr>
          </w:p>
        </w:tc>
        <w:tc>
          <w:tcPr>
            <w:tcW w:w="2131" w:type="dxa"/>
            <w:vAlign w:val="center"/>
          </w:tcPr>
          <w:p>
            <w:pPr>
              <w:tabs>
                <w:tab w:val="left" w:pos="720"/>
              </w:tabs>
              <w:spacing w:line="300" w:lineRule="auto"/>
              <w:jc w:val="center"/>
              <w:rPr>
                <w:rFonts w:ascii="Arial" w:hAnsi="Arial" w:cs="Arial"/>
              </w:rPr>
            </w:pPr>
          </w:p>
        </w:tc>
        <w:tc>
          <w:tcPr>
            <w:tcW w:w="1997"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tabs>
                <w:tab w:val="left" w:pos="720"/>
              </w:tabs>
              <w:spacing w:line="300" w:lineRule="auto"/>
              <w:rPr>
                <w:rFonts w:ascii="Arial" w:hAnsi="Arial" w:cs="Arial"/>
              </w:rPr>
            </w:pPr>
            <w:r>
              <w:rPr>
                <w:rFonts w:ascii="Arial" w:hAnsi="Arial" w:cs="Arial"/>
              </w:rPr>
              <w:t>1.5</w:t>
            </w:r>
          </w:p>
        </w:tc>
        <w:tc>
          <w:tcPr>
            <w:tcW w:w="3252" w:type="dxa"/>
            <w:vAlign w:val="center"/>
          </w:tcPr>
          <w:p>
            <w:pPr>
              <w:tabs>
                <w:tab w:val="left" w:pos="720"/>
              </w:tabs>
              <w:spacing w:line="300" w:lineRule="auto"/>
              <w:jc w:val="center"/>
              <w:rPr>
                <w:rFonts w:ascii="Arial" w:hAnsi="Arial" w:cs="Arial"/>
              </w:rPr>
            </w:pPr>
          </w:p>
        </w:tc>
        <w:tc>
          <w:tcPr>
            <w:tcW w:w="2131" w:type="dxa"/>
            <w:vAlign w:val="center"/>
          </w:tcPr>
          <w:p>
            <w:pPr>
              <w:tabs>
                <w:tab w:val="left" w:pos="720"/>
              </w:tabs>
              <w:spacing w:line="300" w:lineRule="auto"/>
              <w:jc w:val="center"/>
              <w:rPr>
                <w:rFonts w:ascii="Arial" w:hAnsi="Arial" w:cs="Arial"/>
              </w:rPr>
            </w:pPr>
          </w:p>
        </w:tc>
        <w:tc>
          <w:tcPr>
            <w:tcW w:w="1997"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tabs>
                <w:tab w:val="left" w:pos="720"/>
              </w:tabs>
              <w:spacing w:line="300" w:lineRule="auto"/>
              <w:rPr>
                <w:rFonts w:ascii="Arial" w:hAnsi="Arial" w:cs="Arial"/>
              </w:rPr>
            </w:pPr>
          </w:p>
        </w:tc>
        <w:tc>
          <w:tcPr>
            <w:tcW w:w="3252" w:type="dxa"/>
            <w:vAlign w:val="center"/>
          </w:tcPr>
          <w:p>
            <w:pPr>
              <w:tabs>
                <w:tab w:val="left" w:pos="720"/>
              </w:tabs>
              <w:spacing w:line="300" w:lineRule="auto"/>
              <w:jc w:val="center"/>
              <w:rPr>
                <w:rFonts w:ascii="Arial" w:hAnsi="Arial" w:cs="Arial"/>
              </w:rPr>
            </w:pPr>
          </w:p>
        </w:tc>
        <w:tc>
          <w:tcPr>
            <w:tcW w:w="2131" w:type="dxa"/>
            <w:vAlign w:val="center"/>
          </w:tcPr>
          <w:p>
            <w:pPr>
              <w:tabs>
                <w:tab w:val="left" w:pos="720"/>
              </w:tabs>
              <w:spacing w:line="300" w:lineRule="auto"/>
              <w:jc w:val="center"/>
              <w:rPr>
                <w:rFonts w:ascii="Arial" w:hAnsi="Arial" w:cs="Arial"/>
              </w:rPr>
            </w:pPr>
          </w:p>
        </w:tc>
        <w:tc>
          <w:tcPr>
            <w:tcW w:w="1997"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tabs>
                <w:tab w:val="left" w:pos="720"/>
              </w:tabs>
              <w:spacing w:line="300" w:lineRule="auto"/>
              <w:rPr>
                <w:rFonts w:ascii="Arial" w:hAnsi="Arial" w:cs="Arial"/>
              </w:rPr>
            </w:pPr>
          </w:p>
        </w:tc>
        <w:tc>
          <w:tcPr>
            <w:tcW w:w="3252" w:type="dxa"/>
            <w:vAlign w:val="center"/>
          </w:tcPr>
          <w:p>
            <w:pPr>
              <w:tabs>
                <w:tab w:val="left" w:pos="720"/>
              </w:tabs>
              <w:spacing w:line="300" w:lineRule="auto"/>
              <w:jc w:val="center"/>
              <w:rPr>
                <w:rFonts w:ascii="Arial" w:hAnsi="Arial" w:cs="Arial"/>
              </w:rPr>
            </w:pPr>
          </w:p>
        </w:tc>
        <w:tc>
          <w:tcPr>
            <w:tcW w:w="2131" w:type="dxa"/>
            <w:vAlign w:val="center"/>
          </w:tcPr>
          <w:p>
            <w:pPr>
              <w:tabs>
                <w:tab w:val="left" w:pos="720"/>
              </w:tabs>
              <w:spacing w:line="300" w:lineRule="auto"/>
              <w:jc w:val="center"/>
              <w:rPr>
                <w:rFonts w:ascii="Arial" w:hAnsi="Arial" w:cs="Arial"/>
              </w:rPr>
            </w:pPr>
          </w:p>
        </w:tc>
        <w:tc>
          <w:tcPr>
            <w:tcW w:w="1997"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tabs>
                <w:tab w:val="left" w:pos="720"/>
              </w:tabs>
              <w:spacing w:line="300" w:lineRule="auto"/>
              <w:rPr>
                <w:rFonts w:ascii="Arial" w:hAnsi="Arial" w:cs="Arial"/>
              </w:rPr>
            </w:pPr>
          </w:p>
        </w:tc>
        <w:tc>
          <w:tcPr>
            <w:tcW w:w="3252" w:type="dxa"/>
            <w:vAlign w:val="center"/>
          </w:tcPr>
          <w:p>
            <w:pPr>
              <w:tabs>
                <w:tab w:val="left" w:pos="720"/>
              </w:tabs>
              <w:spacing w:line="300" w:lineRule="auto"/>
              <w:jc w:val="center"/>
              <w:rPr>
                <w:rFonts w:ascii="Arial" w:hAnsi="Arial" w:cs="Arial"/>
              </w:rPr>
            </w:pPr>
          </w:p>
        </w:tc>
        <w:tc>
          <w:tcPr>
            <w:tcW w:w="2131" w:type="dxa"/>
            <w:vAlign w:val="center"/>
          </w:tcPr>
          <w:p>
            <w:pPr>
              <w:tabs>
                <w:tab w:val="left" w:pos="720"/>
              </w:tabs>
              <w:spacing w:line="300" w:lineRule="auto"/>
              <w:jc w:val="center"/>
              <w:rPr>
                <w:rFonts w:ascii="Arial" w:hAnsi="Arial" w:cs="Arial"/>
              </w:rPr>
            </w:pPr>
          </w:p>
        </w:tc>
        <w:tc>
          <w:tcPr>
            <w:tcW w:w="1997"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tabs>
                <w:tab w:val="left" w:pos="720"/>
              </w:tabs>
              <w:spacing w:line="300" w:lineRule="auto"/>
              <w:rPr>
                <w:rFonts w:ascii="Arial" w:hAnsi="Arial" w:cs="Arial"/>
              </w:rPr>
            </w:pPr>
          </w:p>
        </w:tc>
        <w:tc>
          <w:tcPr>
            <w:tcW w:w="3252" w:type="dxa"/>
            <w:vAlign w:val="center"/>
          </w:tcPr>
          <w:p>
            <w:pPr>
              <w:tabs>
                <w:tab w:val="left" w:pos="720"/>
              </w:tabs>
              <w:spacing w:line="300" w:lineRule="auto"/>
              <w:jc w:val="center"/>
              <w:rPr>
                <w:rFonts w:ascii="Arial" w:hAnsi="Arial" w:cs="Arial"/>
              </w:rPr>
            </w:pPr>
          </w:p>
        </w:tc>
        <w:tc>
          <w:tcPr>
            <w:tcW w:w="2131" w:type="dxa"/>
            <w:vAlign w:val="center"/>
          </w:tcPr>
          <w:p>
            <w:pPr>
              <w:tabs>
                <w:tab w:val="left" w:pos="720"/>
              </w:tabs>
              <w:spacing w:line="300" w:lineRule="auto"/>
              <w:jc w:val="center"/>
              <w:rPr>
                <w:rFonts w:ascii="Arial" w:hAnsi="Arial" w:cs="Arial"/>
              </w:rPr>
            </w:pPr>
          </w:p>
        </w:tc>
        <w:tc>
          <w:tcPr>
            <w:tcW w:w="1997"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tabs>
                <w:tab w:val="left" w:pos="720"/>
              </w:tabs>
              <w:spacing w:line="300" w:lineRule="auto"/>
              <w:rPr>
                <w:rFonts w:ascii="Arial" w:hAnsi="Arial" w:cs="Arial"/>
              </w:rPr>
            </w:pPr>
          </w:p>
        </w:tc>
        <w:tc>
          <w:tcPr>
            <w:tcW w:w="3252" w:type="dxa"/>
            <w:vAlign w:val="center"/>
          </w:tcPr>
          <w:p>
            <w:pPr>
              <w:tabs>
                <w:tab w:val="left" w:pos="720"/>
              </w:tabs>
              <w:spacing w:line="300" w:lineRule="auto"/>
              <w:jc w:val="center"/>
              <w:rPr>
                <w:rFonts w:ascii="Arial" w:hAnsi="Arial" w:cs="Arial"/>
              </w:rPr>
            </w:pPr>
          </w:p>
        </w:tc>
        <w:tc>
          <w:tcPr>
            <w:tcW w:w="2131" w:type="dxa"/>
            <w:vAlign w:val="center"/>
          </w:tcPr>
          <w:p>
            <w:pPr>
              <w:tabs>
                <w:tab w:val="left" w:pos="720"/>
              </w:tabs>
              <w:spacing w:line="300" w:lineRule="auto"/>
              <w:jc w:val="center"/>
              <w:rPr>
                <w:rFonts w:ascii="Arial" w:hAnsi="Arial" w:cs="Arial"/>
              </w:rPr>
            </w:pPr>
          </w:p>
        </w:tc>
        <w:tc>
          <w:tcPr>
            <w:tcW w:w="1997"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tabs>
                <w:tab w:val="left" w:pos="720"/>
              </w:tabs>
              <w:spacing w:line="300" w:lineRule="auto"/>
              <w:rPr>
                <w:rFonts w:ascii="Arial" w:hAnsi="Arial" w:cs="Arial"/>
              </w:rPr>
            </w:pPr>
            <w:r>
              <w:rPr>
                <w:rFonts w:ascii="Arial" w:hAnsi="Arial" w:cs="Arial"/>
              </w:rPr>
              <w:t>2</w:t>
            </w:r>
          </w:p>
        </w:tc>
        <w:tc>
          <w:tcPr>
            <w:tcW w:w="3252" w:type="dxa"/>
            <w:vAlign w:val="center"/>
          </w:tcPr>
          <w:p>
            <w:pPr>
              <w:tabs>
                <w:tab w:val="left" w:pos="720"/>
              </w:tabs>
              <w:spacing w:line="300" w:lineRule="auto"/>
              <w:rPr>
                <w:rFonts w:ascii="Arial" w:hAnsi="Arial" w:cs="Arial"/>
              </w:rPr>
            </w:pPr>
            <w:r>
              <w:rPr>
                <w:rFonts w:hint="eastAsia" w:ascii="Arial" w:hAnsi="Arial" w:cs="Arial"/>
              </w:rPr>
              <w:t>措施项目</w:t>
            </w:r>
          </w:p>
        </w:tc>
        <w:tc>
          <w:tcPr>
            <w:tcW w:w="2131" w:type="dxa"/>
            <w:vAlign w:val="center"/>
          </w:tcPr>
          <w:p>
            <w:pPr>
              <w:tabs>
                <w:tab w:val="left" w:pos="720"/>
              </w:tabs>
              <w:spacing w:line="300" w:lineRule="auto"/>
              <w:jc w:val="center"/>
              <w:rPr>
                <w:rFonts w:ascii="Arial" w:hAnsi="Arial" w:cs="Arial"/>
              </w:rPr>
            </w:pPr>
          </w:p>
        </w:tc>
        <w:tc>
          <w:tcPr>
            <w:tcW w:w="1997" w:type="dxa"/>
            <w:vAlign w:val="center"/>
          </w:tcPr>
          <w:p>
            <w:pPr>
              <w:tabs>
                <w:tab w:val="left" w:pos="720"/>
              </w:tabs>
              <w:spacing w:line="300" w:lineRule="auto"/>
              <w:jc w:val="center"/>
              <w:rPr>
                <w:rFonts w:ascii="Arial" w:hAnsi="Arial" w:cs="Arial"/>
              </w:rPr>
            </w:pPr>
            <w:r>
              <w:rPr>
                <w:rFonts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tabs>
                <w:tab w:val="left" w:pos="720"/>
              </w:tabs>
              <w:spacing w:line="300" w:lineRule="auto"/>
              <w:rPr>
                <w:rFonts w:ascii="Arial" w:hAnsi="Arial" w:cs="Arial"/>
              </w:rPr>
            </w:pPr>
            <w:r>
              <w:rPr>
                <w:rFonts w:ascii="Arial" w:hAnsi="Arial" w:cs="Arial"/>
              </w:rPr>
              <w:t>2.1</w:t>
            </w:r>
          </w:p>
        </w:tc>
        <w:tc>
          <w:tcPr>
            <w:tcW w:w="3252" w:type="dxa"/>
            <w:vAlign w:val="center"/>
          </w:tcPr>
          <w:p>
            <w:pPr>
              <w:tabs>
                <w:tab w:val="left" w:pos="720"/>
              </w:tabs>
              <w:spacing w:line="300" w:lineRule="auto"/>
              <w:rPr>
                <w:rFonts w:ascii="Arial" w:hAnsi="Arial" w:cs="Arial"/>
              </w:rPr>
            </w:pPr>
            <w:r>
              <w:rPr>
                <w:rFonts w:hint="eastAsia" w:ascii="Arial" w:hAnsi="Arial" w:cs="Arial"/>
              </w:rPr>
              <w:t>其中：安全文明施工费</w:t>
            </w:r>
          </w:p>
        </w:tc>
        <w:tc>
          <w:tcPr>
            <w:tcW w:w="2131" w:type="dxa"/>
            <w:vAlign w:val="center"/>
          </w:tcPr>
          <w:p>
            <w:pPr>
              <w:tabs>
                <w:tab w:val="left" w:pos="720"/>
              </w:tabs>
              <w:spacing w:line="300" w:lineRule="auto"/>
              <w:jc w:val="center"/>
              <w:rPr>
                <w:rFonts w:ascii="Arial" w:hAnsi="Arial" w:cs="Arial"/>
              </w:rPr>
            </w:pPr>
          </w:p>
        </w:tc>
        <w:tc>
          <w:tcPr>
            <w:tcW w:w="1997" w:type="dxa"/>
            <w:vAlign w:val="center"/>
          </w:tcPr>
          <w:p>
            <w:pPr>
              <w:tabs>
                <w:tab w:val="left" w:pos="720"/>
              </w:tabs>
              <w:spacing w:line="300" w:lineRule="auto"/>
              <w:jc w:val="center"/>
              <w:rPr>
                <w:rFonts w:ascii="Arial" w:hAnsi="Arial" w:cs="Arial"/>
              </w:rPr>
            </w:pPr>
            <w:r>
              <w:rPr>
                <w:rFonts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tabs>
                <w:tab w:val="left" w:pos="720"/>
              </w:tabs>
              <w:spacing w:line="300" w:lineRule="auto"/>
              <w:rPr>
                <w:rFonts w:ascii="Arial" w:hAnsi="Arial" w:cs="Arial"/>
              </w:rPr>
            </w:pPr>
            <w:r>
              <w:rPr>
                <w:rFonts w:ascii="Arial" w:hAnsi="Arial" w:cs="Arial"/>
              </w:rPr>
              <w:t>3</w:t>
            </w:r>
          </w:p>
        </w:tc>
        <w:tc>
          <w:tcPr>
            <w:tcW w:w="3252" w:type="dxa"/>
            <w:vAlign w:val="center"/>
          </w:tcPr>
          <w:p>
            <w:pPr>
              <w:tabs>
                <w:tab w:val="left" w:pos="720"/>
              </w:tabs>
              <w:spacing w:line="300" w:lineRule="auto"/>
              <w:rPr>
                <w:rFonts w:ascii="Arial" w:hAnsi="Arial" w:cs="Arial"/>
              </w:rPr>
            </w:pPr>
            <w:r>
              <w:rPr>
                <w:rFonts w:hint="eastAsia" w:ascii="Arial" w:hAnsi="Arial" w:cs="Arial"/>
              </w:rPr>
              <w:t>其他项目</w:t>
            </w:r>
          </w:p>
        </w:tc>
        <w:tc>
          <w:tcPr>
            <w:tcW w:w="2131" w:type="dxa"/>
            <w:vAlign w:val="center"/>
          </w:tcPr>
          <w:p>
            <w:pPr>
              <w:tabs>
                <w:tab w:val="left" w:pos="720"/>
              </w:tabs>
              <w:spacing w:line="300" w:lineRule="auto"/>
              <w:jc w:val="center"/>
              <w:rPr>
                <w:rFonts w:ascii="Arial" w:hAnsi="Arial" w:cs="Arial"/>
              </w:rPr>
            </w:pPr>
          </w:p>
        </w:tc>
        <w:tc>
          <w:tcPr>
            <w:tcW w:w="1997" w:type="dxa"/>
            <w:vAlign w:val="center"/>
          </w:tcPr>
          <w:p>
            <w:pPr>
              <w:tabs>
                <w:tab w:val="left" w:pos="720"/>
              </w:tabs>
              <w:spacing w:line="300" w:lineRule="auto"/>
              <w:jc w:val="center"/>
              <w:rPr>
                <w:rFonts w:ascii="Arial" w:hAnsi="Arial" w:cs="Arial"/>
              </w:rPr>
            </w:pPr>
            <w:r>
              <w:rPr>
                <w:rFonts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tabs>
                <w:tab w:val="left" w:pos="720"/>
              </w:tabs>
              <w:spacing w:line="300" w:lineRule="auto"/>
              <w:rPr>
                <w:rFonts w:ascii="Arial" w:hAnsi="Arial" w:cs="Arial"/>
              </w:rPr>
            </w:pPr>
            <w:r>
              <w:rPr>
                <w:rFonts w:ascii="Arial" w:hAnsi="Arial" w:cs="Arial"/>
              </w:rPr>
              <w:t>3.1</w:t>
            </w:r>
          </w:p>
        </w:tc>
        <w:tc>
          <w:tcPr>
            <w:tcW w:w="3252" w:type="dxa"/>
            <w:vAlign w:val="center"/>
          </w:tcPr>
          <w:p>
            <w:pPr>
              <w:tabs>
                <w:tab w:val="left" w:pos="720"/>
              </w:tabs>
              <w:spacing w:line="300" w:lineRule="auto"/>
              <w:ind w:left="880" w:leftChars="100" w:hanging="660" w:hangingChars="300"/>
              <w:rPr>
                <w:rFonts w:ascii="Arial" w:hAnsi="Arial" w:cs="Arial"/>
              </w:rPr>
            </w:pPr>
            <w:r>
              <w:rPr>
                <w:rFonts w:hint="eastAsia" w:ascii="Arial" w:hAnsi="Arial" w:cs="Arial"/>
              </w:rPr>
              <w:t>其中：暂列金额（不包括计日工）</w:t>
            </w:r>
          </w:p>
        </w:tc>
        <w:tc>
          <w:tcPr>
            <w:tcW w:w="2131" w:type="dxa"/>
            <w:vAlign w:val="center"/>
          </w:tcPr>
          <w:p>
            <w:pPr>
              <w:tabs>
                <w:tab w:val="left" w:pos="720"/>
              </w:tabs>
              <w:spacing w:line="300" w:lineRule="auto"/>
              <w:jc w:val="center"/>
              <w:rPr>
                <w:rFonts w:ascii="Arial" w:hAnsi="Arial" w:cs="Arial"/>
              </w:rPr>
            </w:pPr>
          </w:p>
        </w:tc>
        <w:tc>
          <w:tcPr>
            <w:tcW w:w="1997" w:type="dxa"/>
            <w:vAlign w:val="center"/>
          </w:tcPr>
          <w:p>
            <w:pPr>
              <w:tabs>
                <w:tab w:val="left" w:pos="720"/>
              </w:tabs>
              <w:spacing w:line="300" w:lineRule="auto"/>
              <w:jc w:val="center"/>
              <w:rPr>
                <w:rFonts w:ascii="Arial" w:hAnsi="Arial" w:cs="Arial"/>
              </w:rPr>
            </w:pPr>
            <w:r>
              <w:rPr>
                <w:rFonts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tabs>
                <w:tab w:val="left" w:pos="720"/>
              </w:tabs>
              <w:spacing w:line="300" w:lineRule="auto"/>
              <w:rPr>
                <w:rFonts w:ascii="Arial" w:hAnsi="Arial" w:cs="Arial"/>
              </w:rPr>
            </w:pPr>
            <w:r>
              <w:rPr>
                <w:rFonts w:ascii="Arial" w:hAnsi="Arial" w:cs="Arial"/>
              </w:rPr>
              <w:t>3.2</w:t>
            </w:r>
          </w:p>
        </w:tc>
        <w:tc>
          <w:tcPr>
            <w:tcW w:w="3252" w:type="dxa"/>
            <w:vAlign w:val="center"/>
          </w:tcPr>
          <w:p>
            <w:pPr>
              <w:tabs>
                <w:tab w:val="left" w:pos="720"/>
              </w:tabs>
              <w:spacing w:line="300" w:lineRule="auto"/>
              <w:ind w:left="220" w:leftChars="100"/>
              <w:rPr>
                <w:rFonts w:ascii="Arial" w:hAnsi="Arial" w:cs="Arial"/>
              </w:rPr>
            </w:pPr>
            <w:r>
              <w:rPr>
                <w:rFonts w:hint="eastAsia" w:ascii="Arial" w:hAnsi="Arial" w:cs="Arial"/>
              </w:rPr>
              <w:t>其中：专业工程暂估价</w:t>
            </w:r>
          </w:p>
        </w:tc>
        <w:tc>
          <w:tcPr>
            <w:tcW w:w="2131" w:type="dxa"/>
            <w:vAlign w:val="center"/>
          </w:tcPr>
          <w:p>
            <w:pPr>
              <w:tabs>
                <w:tab w:val="left" w:pos="720"/>
              </w:tabs>
              <w:spacing w:line="300" w:lineRule="auto"/>
              <w:jc w:val="center"/>
              <w:rPr>
                <w:rFonts w:ascii="Arial" w:hAnsi="Arial" w:cs="Arial"/>
              </w:rPr>
            </w:pPr>
          </w:p>
        </w:tc>
        <w:tc>
          <w:tcPr>
            <w:tcW w:w="1997" w:type="dxa"/>
            <w:vAlign w:val="center"/>
          </w:tcPr>
          <w:p>
            <w:pPr>
              <w:tabs>
                <w:tab w:val="left" w:pos="720"/>
              </w:tabs>
              <w:spacing w:line="300" w:lineRule="auto"/>
              <w:jc w:val="center"/>
              <w:rPr>
                <w:rFonts w:ascii="Arial" w:hAnsi="Arial" w:cs="Arial"/>
              </w:rPr>
            </w:pPr>
            <w:r>
              <w:rPr>
                <w:rFonts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tabs>
                <w:tab w:val="left" w:pos="720"/>
              </w:tabs>
              <w:spacing w:line="300" w:lineRule="auto"/>
              <w:rPr>
                <w:rFonts w:ascii="Arial" w:hAnsi="Arial" w:cs="Arial"/>
              </w:rPr>
            </w:pPr>
            <w:r>
              <w:rPr>
                <w:rFonts w:ascii="Arial" w:hAnsi="Arial" w:cs="Arial"/>
              </w:rPr>
              <w:t>3.3</w:t>
            </w:r>
          </w:p>
        </w:tc>
        <w:tc>
          <w:tcPr>
            <w:tcW w:w="3252" w:type="dxa"/>
            <w:vAlign w:val="center"/>
          </w:tcPr>
          <w:p>
            <w:pPr>
              <w:tabs>
                <w:tab w:val="left" w:pos="720"/>
              </w:tabs>
              <w:spacing w:line="300" w:lineRule="auto"/>
              <w:ind w:left="220" w:leftChars="100"/>
              <w:rPr>
                <w:rFonts w:ascii="Arial" w:hAnsi="Arial" w:cs="Arial"/>
              </w:rPr>
            </w:pPr>
            <w:r>
              <w:rPr>
                <w:rFonts w:hint="eastAsia" w:ascii="Arial" w:hAnsi="Arial" w:cs="Arial"/>
              </w:rPr>
              <w:t>其中：计日工</w:t>
            </w:r>
          </w:p>
        </w:tc>
        <w:tc>
          <w:tcPr>
            <w:tcW w:w="2131" w:type="dxa"/>
            <w:vAlign w:val="center"/>
          </w:tcPr>
          <w:p>
            <w:pPr>
              <w:tabs>
                <w:tab w:val="left" w:pos="720"/>
              </w:tabs>
              <w:spacing w:line="300" w:lineRule="auto"/>
              <w:jc w:val="center"/>
              <w:rPr>
                <w:rFonts w:ascii="Arial" w:hAnsi="Arial" w:cs="Arial"/>
              </w:rPr>
            </w:pPr>
          </w:p>
        </w:tc>
        <w:tc>
          <w:tcPr>
            <w:tcW w:w="1997"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tabs>
                <w:tab w:val="left" w:pos="720"/>
              </w:tabs>
              <w:spacing w:line="300" w:lineRule="auto"/>
              <w:rPr>
                <w:rFonts w:ascii="Arial" w:hAnsi="Arial" w:cs="Arial"/>
              </w:rPr>
            </w:pPr>
            <w:r>
              <w:rPr>
                <w:rFonts w:ascii="Arial" w:hAnsi="Arial" w:cs="Arial"/>
              </w:rPr>
              <w:t>3.4</w:t>
            </w:r>
          </w:p>
        </w:tc>
        <w:tc>
          <w:tcPr>
            <w:tcW w:w="3252" w:type="dxa"/>
            <w:vAlign w:val="center"/>
          </w:tcPr>
          <w:p>
            <w:pPr>
              <w:tabs>
                <w:tab w:val="left" w:pos="720"/>
              </w:tabs>
              <w:spacing w:line="300" w:lineRule="auto"/>
              <w:ind w:left="220" w:leftChars="100"/>
              <w:rPr>
                <w:rFonts w:ascii="Arial" w:hAnsi="Arial" w:cs="Arial"/>
              </w:rPr>
            </w:pPr>
            <w:r>
              <w:rPr>
                <w:rFonts w:hint="eastAsia" w:ascii="Arial" w:hAnsi="Arial" w:cs="Arial"/>
              </w:rPr>
              <w:t>其中：总承包服务费</w:t>
            </w:r>
          </w:p>
        </w:tc>
        <w:tc>
          <w:tcPr>
            <w:tcW w:w="2131" w:type="dxa"/>
            <w:vAlign w:val="center"/>
          </w:tcPr>
          <w:p>
            <w:pPr>
              <w:tabs>
                <w:tab w:val="left" w:pos="720"/>
              </w:tabs>
              <w:spacing w:line="300" w:lineRule="auto"/>
              <w:jc w:val="center"/>
              <w:rPr>
                <w:rFonts w:ascii="Arial" w:hAnsi="Arial" w:cs="Arial"/>
              </w:rPr>
            </w:pPr>
          </w:p>
        </w:tc>
        <w:tc>
          <w:tcPr>
            <w:tcW w:w="1997" w:type="dxa"/>
            <w:vAlign w:val="center"/>
          </w:tcPr>
          <w:p>
            <w:pPr>
              <w:tabs>
                <w:tab w:val="left" w:pos="720"/>
              </w:tabs>
              <w:spacing w:line="300" w:lineRule="auto"/>
              <w:jc w:val="center"/>
              <w:rPr>
                <w:rFonts w:ascii="Arial" w:hAnsi="Arial" w:cs="Arial"/>
              </w:rPr>
            </w:pPr>
            <w:r>
              <w:rPr>
                <w:rFonts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tabs>
                <w:tab w:val="left" w:pos="720"/>
              </w:tabs>
              <w:spacing w:line="300" w:lineRule="auto"/>
              <w:rPr>
                <w:rFonts w:ascii="Arial" w:hAnsi="Arial" w:cs="Arial"/>
              </w:rPr>
            </w:pPr>
            <w:r>
              <w:rPr>
                <w:rFonts w:ascii="Arial" w:hAnsi="Arial" w:cs="Arial"/>
              </w:rPr>
              <w:t>4</w:t>
            </w:r>
          </w:p>
        </w:tc>
        <w:tc>
          <w:tcPr>
            <w:tcW w:w="3252" w:type="dxa"/>
            <w:vAlign w:val="center"/>
          </w:tcPr>
          <w:p>
            <w:pPr>
              <w:tabs>
                <w:tab w:val="left" w:pos="720"/>
              </w:tabs>
              <w:spacing w:line="300" w:lineRule="auto"/>
              <w:rPr>
                <w:rFonts w:ascii="Arial" w:hAnsi="Arial" w:cs="Arial"/>
              </w:rPr>
            </w:pPr>
            <w:r>
              <w:rPr>
                <w:rFonts w:hint="eastAsia" w:ascii="Arial" w:hAnsi="Arial" w:cs="Arial"/>
              </w:rPr>
              <w:t>规费</w:t>
            </w:r>
          </w:p>
        </w:tc>
        <w:tc>
          <w:tcPr>
            <w:tcW w:w="2131" w:type="dxa"/>
            <w:vAlign w:val="center"/>
          </w:tcPr>
          <w:p>
            <w:pPr>
              <w:tabs>
                <w:tab w:val="left" w:pos="720"/>
              </w:tabs>
              <w:spacing w:line="300" w:lineRule="auto"/>
              <w:jc w:val="center"/>
              <w:rPr>
                <w:rFonts w:ascii="Arial" w:hAnsi="Arial" w:cs="Arial"/>
              </w:rPr>
            </w:pPr>
          </w:p>
        </w:tc>
        <w:tc>
          <w:tcPr>
            <w:tcW w:w="1997" w:type="dxa"/>
            <w:vAlign w:val="center"/>
          </w:tcPr>
          <w:p>
            <w:pPr>
              <w:tabs>
                <w:tab w:val="left" w:pos="720"/>
              </w:tabs>
              <w:spacing w:line="300" w:lineRule="auto"/>
              <w:jc w:val="center"/>
              <w:rPr>
                <w:rFonts w:ascii="Arial" w:hAnsi="Arial" w:cs="Arial"/>
              </w:rPr>
            </w:pPr>
            <w:r>
              <w:rPr>
                <w:rFonts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tabs>
                <w:tab w:val="left" w:pos="720"/>
              </w:tabs>
              <w:spacing w:line="300" w:lineRule="auto"/>
              <w:rPr>
                <w:rFonts w:ascii="Arial" w:hAnsi="Arial" w:cs="Arial"/>
              </w:rPr>
            </w:pPr>
            <w:r>
              <w:rPr>
                <w:rFonts w:ascii="Arial" w:hAnsi="Arial" w:cs="Arial"/>
              </w:rPr>
              <w:t>5</w:t>
            </w:r>
          </w:p>
        </w:tc>
        <w:tc>
          <w:tcPr>
            <w:tcW w:w="3252" w:type="dxa"/>
            <w:vAlign w:val="center"/>
          </w:tcPr>
          <w:p>
            <w:pPr>
              <w:tabs>
                <w:tab w:val="left" w:pos="720"/>
              </w:tabs>
              <w:spacing w:line="300" w:lineRule="auto"/>
              <w:rPr>
                <w:rFonts w:ascii="Arial" w:hAnsi="Arial" w:cs="Arial"/>
              </w:rPr>
            </w:pPr>
            <w:r>
              <w:rPr>
                <w:rFonts w:hint="eastAsia" w:ascii="Arial" w:hAnsi="Arial" w:cs="Arial"/>
              </w:rPr>
              <w:t>税金</w:t>
            </w:r>
          </w:p>
        </w:tc>
        <w:tc>
          <w:tcPr>
            <w:tcW w:w="2131" w:type="dxa"/>
            <w:vAlign w:val="center"/>
          </w:tcPr>
          <w:p>
            <w:pPr>
              <w:tabs>
                <w:tab w:val="left" w:pos="720"/>
              </w:tabs>
              <w:spacing w:line="300" w:lineRule="auto"/>
              <w:jc w:val="center"/>
              <w:rPr>
                <w:rFonts w:ascii="Arial" w:hAnsi="Arial" w:cs="Arial"/>
              </w:rPr>
            </w:pPr>
          </w:p>
        </w:tc>
        <w:tc>
          <w:tcPr>
            <w:tcW w:w="1997" w:type="dxa"/>
            <w:vAlign w:val="center"/>
          </w:tcPr>
          <w:p>
            <w:pPr>
              <w:tabs>
                <w:tab w:val="left" w:pos="720"/>
              </w:tabs>
              <w:spacing w:line="300" w:lineRule="auto"/>
              <w:jc w:val="center"/>
              <w:rPr>
                <w:rFonts w:ascii="Arial" w:hAnsi="Arial" w:cs="Arial"/>
              </w:rPr>
            </w:pPr>
            <w:r>
              <w:rPr>
                <w:rFonts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152" w:type="dxa"/>
            <w:gridSpan w:val="2"/>
            <w:vAlign w:val="center"/>
          </w:tcPr>
          <w:p>
            <w:pPr>
              <w:tabs>
                <w:tab w:val="left" w:pos="720"/>
              </w:tabs>
              <w:spacing w:line="300" w:lineRule="auto"/>
              <w:rPr>
                <w:rFonts w:ascii="Arial" w:hAnsi="Arial" w:cs="Arial"/>
              </w:rPr>
            </w:pPr>
            <w:r>
              <w:rPr>
                <w:rFonts w:hint="eastAsia" w:ascii="Arial" w:hAnsi="Arial" w:cs="Arial"/>
              </w:rPr>
              <w:t>谈判报价合计</w:t>
            </w:r>
            <w:r>
              <w:rPr>
                <w:rFonts w:ascii="Arial" w:hAnsi="Arial" w:cs="Arial"/>
              </w:rPr>
              <w:t>=1+2+3+4+5</w:t>
            </w:r>
          </w:p>
        </w:tc>
        <w:tc>
          <w:tcPr>
            <w:tcW w:w="2131" w:type="dxa"/>
            <w:vAlign w:val="center"/>
          </w:tcPr>
          <w:p>
            <w:pPr>
              <w:tabs>
                <w:tab w:val="left" w:pos="720"/>
              </w:tabs>
              <w:spacing w:line="300" w:lineRule="auto"/>
              <w:jc w:val="center"/>
              <w:rPr>
                <w:rFonts w:ascii="Arial" w:hAnsi="Arial" w:cs="Arial"/>
              </w:rPr>
            </w:pPr>
          </w:p>
        </w:tc>
        <w:tc>
          <w:tcPr>
            <w:tcW w:w="1997" w:type="dxa"/>
            <w:vAlign w:val="center"/>
          </w:tcPr>
          <w:p>
            <w:pPr>
              <w:tabs>
                <w:tab w:val="left" w:pos="720"/>
              </w:tabs>
              <w:spacing w:line="300" w:lineRule="auto"/>
              <w:jc w:val="center"/>
              <w:rPr>
                <w:rFonts w:ascii="Arial" w:hAnsi="Arial" w:cs="Arial"/>
              </w:rPr>
            </w:pPr>
            <w:r>
              <w:rPr>
                <w:rFonts w:ascii="Arial" w:hAnsi="Arial" w:cs="Arial"/>
              </w:rPr>
              <w:t>-</w:t>
            </w:r>
          </w:p>
        </w:tc>
      </w:tr>
    </w:tbl>
    <w:p>
      <w:pPr>
        <w:tabs>
          <w:tab w:val="left" w:pos="720"/>
        </w:tabs>
        <w:spacing w:afterLines="50" w:line="300" w:lineRule="auto"/>
        <w:rPr>
          <w:rFonts w:ascii="Arial" w:hAnsi="Arial" w:cs="Arial"/>
        </w:rPr>
      </w:pPr>
    </w:p>
    <w:p>
      <w:pPr>
        <w:rPr>
          <w:szCs w:val="21"/>
        </w:rPr>
      </w:pPr>
      <w:bookmarkStart w:id="121" w:name="_Toc342296533"/>
      <w:bookmarkStart w:id="122" w:name="_Toc241459769"/>
      <w:bookmarkStart w:id="123" w:name="_Toc386614853"/>
    </w:p>
    <w:p>
      <w:pPr>
        <w:rPr>
          <w:szCs w:val="21"/>
        </w:rPr>
      </w:pPr>
    </w:p>
    <w:p>
      <w:pPr>
        <w:rPr>
          <w:szCs w:val="21"/>
        </w:rPr>
      </w:pPr>
    </w:p>
    <w:bookmarkEnd w:id="121"/>
    <w:bookmarkEnd w:id="122"/>
    <w:bookmarkEnd w:id="123"/>
    <w:p>
      <w:pPr>
        <w:rPr>
          <w:szCs w:val="21"/>
        </w:rPr>
      </w:pPr>
    </w:p>
    <w:p>
      <w:pPr>
        <w:rPr>
          <w:szCs w:val="21"/>
        </w:rPr>
      </w:pPr>
    </w:p>
    <w:p>
      <w:pPr>
        <w:tabs>
          <w:tab w:val="left" w:pos="720"/>
        </w:tabs>
        <w:spacing w:afterLines="50" w:line="300" w:lineRule="auto"/>
        <w:jc w:val="center"/>
        <w:rPr>
          <w:rFonts w:ascii="Arial" w:hAnsi="Arial" w:eastAsia="黑体" w:cs="Arial"/>
          <w:bCs/>
          <w:sz w:val="30"/>
          <w:szCs w:val="30"/>
        </w:rPr>
      </w:pPr>
      <w:r>
        <w:rPr>
          <w:rFonts w:hint="eastAsia" w:ascii="Arial" w:hAnsi="Arial" w:eastAsia="黑体" w:cs="Arial"/>
          <w:bCs/>
          <w:sz w:val="30"/>
          <w:szCs w:val="30"/>
        </w:rPr>
        <w:t>分部分项工程和单价措施项目清单与计价表</w:t>
      </w:r>
    </w:p>
    <w:p>
      <w:pPr>
        <w:tabs>
          <w:tab w:val="left" w:pos="720"/>
        </w:tabs>
        <w:spacing w:afterLines="50" w:line="300" w:lineRule="auto"/>
        <w:rPr>
          <w:rFonts w:ascii="Arial" w:hAnsi="Arial" w:cs="Arial"/>
        </w:rPr>
      </w:pPr>
      <w:r>
        <w:rPr>
          <w:rFonts w:hint="eastAsia" w:ascii="Arial" w:hAnsi="Arial" w:cs="Arial"/>
        </w:rPr>
        <w:t>工程名称：</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1260"/>
        <w:gridCol w:w="1620"/>
        <w:gridCol w:w="1080"/>
        <w:gridCol w:w="900"/>
        <w:gridCol w:w="720"/>
        <w:gridCol w:w="7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vMerge w:val="restart"/>
            <w:vAlign w:val="center"/>
          </w:tcPr>
          <w:p>
            <w:pPr>
              <w:tabs>
                <w:tab w:val="left" w:pos="720"/>
              </w:tabs>
              <w:spacing w:line="300" w:lineRule="auto"/>
              <w:jc w:val="center"/>
              <w:rPr>
                <w:rFonts w:ascii="Arial" w:hAnsi="Arial" w:cs="Arial"/>
              </w:rPr>
            </w:pPr>
            <w:r>
              <w:rPr>
                <w:rFonts w:hint="eastAsia" w:ascii="Arial" w:hAnsi="Arial" w:cs="Arial"/>
              </w:rPr>
              <w:t>序号</w:t>
            </w:r>
          </w:p>
        </w:tc>
        <w:tc>
          <w:tcPr>
            <w:tcW w:w="1080" w:type="dxa"/>
            <w:vMerge w:val="restart"/>
            <w:vAlign w:val="center"/>
          </w:tcPr>
          <w:p>
            <w:pPr>
              <w:tabs>
                <w:tab w:val="left" w:pos="720"/>
              </w:tabs>
              <w:spacing w:line="300" w:lineRule="auto"/>
              <w:jc w:val="center"/>
              <w:rPr>
                <w:rFonts w:ascii="Arial" w:hAnsi="Arial" w:cs="Arial"/>
              </w:rPr>
            </w:pPr>
            <w:r>
              <w:rPr>
                <w:rFonts w:hint="eastAsia" w:ascii="Arial" w:hAnsi="Arial" w:cs="Arial"/>
              </w:rPr>
              <w:t>子目编码</w:t>
            </w:r>
          </w:p>
        </w:tc>
        <w:tc>
          <w:tcPr>
            <w:tcW w:w="1260" w:type="dxa"/>
            <w:vMerge w:val="restart"/>
            <w:vAlign w:val="center"/>
          </w:tcPr>
          <w:p>
            <w:pPr>
              <w:tabs>
                <w:tab w:val="left" w:pos="720"/>
              </w:tabs>
              <w:spacing w:line="300" w:lineRule="auto"/>
              <w:jc w:val="center"/>
              <w:rPr>
                <w:rFonts w:ascii="Arial" w:hAnsi="Arial" w:cs="Arial"/>
              </w:rPr>
            </w:pPr>
            <w:r>
              <w:rPr>
                <w:rFonts w:hint="eastAsia" w:ascii="Arial" w:hAnsi="Arial" w:cs="Arial"/>
              </w:rPr>
              <w:t>子目名称</w:t>
            </w:r>
          </w:p>
        </w:tc>
        <w:tc>
          <w:tcPr>
            <w:tcW w:w="1620" w:type="dxa"/>
            <w:vMerge w:val="restart"/>
            <w:vAlign w:val="center"/>
          </w:tcPr>
          <w:p>
            <w:pPr>
              <w:tabs>
                <w:tab w:val="left" w:pos="720"/>
              </w:tabs>
              <w:spacing w:line="300" w:lineRule="auto"/>
              <w:jc w:val="center"/>
              <w:rPr>
                <w:rFonts w:ascii="Arial" w:hAnsi="Arial" w:cs="Arial"/>
              </w:rPr>
            </w:pPr>
            <w:r>
              <w:rPr>
                <w:rFonts w:hint="eastAsia" w:ascii="Arial" w:hAnsi="Arial" w:cs="Arial"/>
              </w:rPr>
              <w:t>子目特征描述</w:t>
            </w:r>
          </w:p>
        </w:tc>
        <w:tc>
          <w:tcPr>
            <w:tcW w:w="1080" w:type="dxa"/>
            <w:vMerge w:val="restart"/>
            <w:vAlign w:val="center"/>
          </w:tcPr>
          <w:p>
            <w:pPr>
              <w:tabs>
                <w:tab w:val="left" w:pos="720"/>
              </w:tabs>
              <w:spacing w:line="300" w:lineRule="auto"/>
              <w:jc w:val="center"/>
              <w:rPr>
                <w:rFonts w:ascii="Arial" w:hAnsi="Arial" w:cs="Arial"/>
              </w:rPr>
            </w:pPr>
            <w:r>
              <w:rPr>
                <w:rFonts w:hint="eastAsia" w:ascii="Arial" w:hAnsi="Arial" w:cs="Arial"/>
              </w:rPr>
              <w:t>计量单位</w:t>
            </w:r>
          </w:p>
        </w:tc>
        <w:tc>
          <w:tcPr>
            <w:tcW w:w="900" w:type="dxa"/>
            <w:vMerge w:val="restart"/>
            <w:vAlign w:val="center"/>
          </w:tcPr>
          <w:p>
            <w:pPr>
              <w:tabs>
                <w:tab w:val="left" w:pos="720"/>
              </w:tabs>
              <w:spacing w:line="300" w:lineRule="auto"/>
              <w:jc w:val="center"/>
              <w:rPr>
                <w:rFonts w:ascii="Arial" w:hAnsi="Arial" w:cs="Arial"/>
              </w:rPr>
            </w:pPr>
            <w:r>
              <w:rPr>
                <w:rFonts w:hint="eastAsia" w:ascii="Arial" w:hAnsi="Arial" w:cs="Arial"/>
              </w:rPr>
              <w:t>工程量</w:t>
            </w:r>
          </w:p>
        </w:tc>
        <w:tc>
          <w:tcPr>
            <w:tcW w:w="2340" w:type="dxa"/>
            <w:gridSpan w:val="3"/>
            <w:vAlign w:val="center"/>
          </w:tcPr>
          <w:p>
            <w:pPr>
              <w:tabs>
                <w:tab w:val="left" w:pos="720"/>
              </w:tabs>
              <w:spacing w:line="300" w:lineRule="auto"/>
              <w:jc w:val="center"/>
              <w:rPr>
                <w:rFonts w:ascii="Arial" w:hAnsi="Arial" w:cs="Arial"/>
              </w:rPr>
            </w:pPr>
            <w:r>
              <w:rPr>
                <w:rFonts w:hint="eastAsia" w:ascii="Arial" w:hAnsi="Arial" w:cs="Aria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720" w:type="dxa"/>
            <w:vMerge w:val="continue"/>
            <w:vAlign w:val="center"/>
          </w:tcPr>
          <w:p>
            <w:pPr>
              <w:tabs>
                <w:tab w:val="left" w:pos="720"/>
              </w:tabs>
              <w:spacing w:line="300" w:lineRule="auto"/>
              <w:jc w:val="center"/>
              <w:rPr>
                <w:rFonts w:ascii="Arial" w:hAnsi="Arial" w:cs="Arial"/>
              </w:rPr>
            </w:pPr>
          </w:p>
        </w:tc>
        <w:tc>
          <w:tcPr>
            <w:tcW w:w="1080" w:type="dxa"/>
            <w:vMerge w:val="continue"/>
            <w:vAlign w:val="center"/>
          </w:tcPr>
          <w:p>
            <w:pPr>
              <w:tabs>
                <w:tab w:val="left" w:pos="720"/>
              </w:tabs>
              <w:spacing w:line="300" w:lineRule="auto"/>
              <w:jc w:val="center"/>
              <w:rPr>
                <w:rFonts w:ascii="Arial" w:hAnsi="Arial" w:cs="Arial"/>
              </w:rPr>
            </w:pPr>
          </w:p>
        </w:tc>
        <w:tc>
          <w:tcPr>
            <w:tcW w:w="1260" w:type="dxa"/>
            <w:vMerge w:val="continue"/>
            <w:vAlign w:val="center"/>
          </w:tcPr>
          <w:p>
            <w:pPr>
              <w:tabs>
                <w:tab w:val="left" w:pos="720"/>
              </w:tabs>
              <w:spacing w:line="300" w:lineRule="auto"/>
              <w:jc w:val="center"/>
              <w:rPr>
                <w:rFonts w:ascii="Arial" w:hAnsi="Arial" w:cs="Arial"/>
              </w:rPr>
            </w:pPr>
          </w:p>
        </w:tc>
        <w:tc>
          <w:tcPr>
            <w:tcW w:w="1620" w:type="dxa"/>
            <w:vMerge w:val="continue"/>
            <w:vAlign w:val="center"/>
          </w:tcPr>
          <w:p>
            <w:pPr>
              <w:tabs>
                <w:tab w:val="left" w:pos="720"/>
              </w:tabs>
              <w:spacing w:line="300" w:lineRule="auto"/>
              <w:jc w:val="center"/>
              <w:rPr>
                <w:rFonts w:ascii="Arial" w:hAnsi="Arial" w:cs="Arial"/>
              </w:rPr>
            </w:pPr>
          </w:p>
        </w:tc>
        <w:tc>
          <w:tcPr>
            <w:tcW w:w="1080" w:type="dxa"/>
            <w:vMerge w:val="continue"/>
            <w:vAlign w:val="center"/>
          </w:tcPr>
          <w:p>
            <w:pPr>
              <w:tabs>
                <w:tab w:val="left" w:pos="720"/>
              </w:tabs>
              <w:spacing w:line="300" w:lineRule="auto"/>
              <w:jc w:val="center"/>
              <w:rPr>
                <w:rFonts w:ascii="Arial" w:hAnsi="Arial" w:cs="Arial"/>
              </w:rPr>
            </w:pPr>
          </w:p>
        </w:tc>
        <w:tc>
          <w:tcPr>
            <w:tcW w:w="900" w:type="dxa"/>
            <w:vMerge w:val="continue"/>
            <w:vAlign w:val="center"/>
          </w:tcPr>
          <w:p>
            <w:pPr>
              <w:tabs>
                <w:tab w:val="left" w:pos="720"/>
              </w:tabs>
              <w:spacing w:line="300" w:lineRule="auto"/>
              <w:jc w:val="center"/>
              <w:rPr>
                <w:rFonts w:ascii="Arial" w:hAnsi="Arial" w:cs="Arial"/>
              </w:rPr>
            </w:pPr>
          </w:p>
        </w:tc>
        <w:tc>
          <w:tcPr>
            <w:tcW w:w="720" w:type="dxa"/>
            <w:vMerge w:val="restart"/>
            <w:vAlign w:val="center"/>
          </w:tcPr>
          <w:p>
            <w:pPr>
              <w:tabs>
                <w:tab w:val="left" w:pos="720"/>
              </w:tabs>
              <w:spacing w:line="300" w:lineRule="auto"/>
              <w:jc w:val="center"/>
              <w:rPr>
                <w:rFonts w:ascii="Arial" w:hAnsi="Arial" w:cs="Arial"/>
              </w:rPr>
            </w:pPr>
            <w:r>
              <w:rPr>
                <w:rFonts w:hint="eastAsia" w:ascii="Arial" w:hAnsi="Arial" w:cs="Arial"/>
              </w:rPr>
              <w:t>综合单价</w:t>
            </w:r>
          </w:p>
        </w:tc>
        <w:tc>
          <w:tcPr>
            <w:tcW w:w="720" w:type="dxa"/>
            <w:vMerge w:val="restart"/>
            <w:vAlign w:val="center"/>
          </w:tcPr>
          <w:p>
            <w:pPr>
              <w:tabs>
                <w:tab w:val="left" w:pos="720"/>
              </w:tabs>
              <w:spacing w:line="300" w:lineRule="auto"/>
              <w:jc w:val="center"/>
              <w:rPr>
                <w:rFonts w:ascii="Arial" w:hAnsi="Arial" w:cs="Arial"/>
              </w:rPr>
            </w:pPr>
            <w:r>
              <w:rPr>
                <w:rFonts w:hint="eastAsia" w:ascii="Arial" w:hAnsi="Arial" w:cs="Arial"/>
              </w:rPr>
              <w:t>合价</w:t>
            </w:r>
          </w:p>
        </w:tc>
        <w:tc>
          <w:tcPr>
            <w:tcW w:w="900" w:type="dxa"/>
            <w:vAlign w:val="center"/>
          </w:tcPr>
          <w:p>
            <w:pPr>
              <w:tabs>
                <w:tab w:val="left" w:pos="720"/>
              </w:tabs>
              <w:spacing w:line="300" w:lineRule="auto"/>
              <w:jc w:val="center"/>
              <w:rPr>
                <w:rFonts w:ascii="Arial" w:hAnsi="Arial" w:cs="Arial"/>
              </w:rPr>
            </w:pPr>
            <w:r>
              <w:rPr>
                <w:rFonts w:hint="eastAsia" w:ascii="Arial" w:hAnsi="Arial" w:cs="Arial"/>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720" w:type="dxa"/>
            <w:vMerge w:val="continue"/>
            <w:vAlign w:val="center"/>
          </w:tcPr>
          <w:p>
            <w:pPr>
              <w:tabs>
                <w:tab w:val="left" w:pos="720"/>
              </w:tabs>
              <w:spacing w:line="300" w:lineRule="auto"/>
              <w:jc w:val="center"/>
              <w:rPr>
                <w:rFonts w:ascii="Arial" w:hAnsi="Arial" w:cs="Arial"/>
              </w:rPr>
            </w:pPr>
          </w:p>
        </w:tc>
        <w:tc>
          <w:tcPr>
            <w:tcW w:w="1080" w:type="dxa"/>
            <w:vMerge w:val="continue"/>
            <w:vAlign w:val="center"/>
          </w:tcPr>
          <w:p>
            <w:pPr>
              <w:tabs>
                <w:tab w:val="left" w:pos="720"/>
              </w:tabs>
              <w:spacing w:line="300" w:lineRule="auto"/>
              <w:jc w:val="center"/>
              <w:rPr>
                <w:rFonts w:ascii="Arial" w:hAnsi="Arial" w:cs="Arial"/>
              </w:rPr>
            </w:pPr>
          </w:p>
        </w:tc>
        <w:tc>
          <w:tcPr>
            <w:tcW w:w="1260" w:type="dxa"/>
            <w:vMerge w:val="continue"/>
            <w:vAlign w:val="center"/>
          </w:tcPr>
          <w:p>
            <w:pPr>
              <w:tabs>
                <w:tab w:val="left" w:pos="720"/>
              </w:tabs>
              <w:spacing w:line="300" w:lineRule="auto"/>
              <w:jc w:val="center"/>
              <w:rPr>
                <w:rFonts w:ascii="Arial" w:hAnsi="Arial" w:cs="Arial"/>
              </w:rPr>
            </w:pPr>
          </w:p>
        </w:tc>
        <w:tc>
          <w:tcPr>
            <w:tcW w:w="1620" w:type="dxa"/>
            <w:vMerge w:val="continue"/>
            <w:vAlign w:val="center"/>
          </w:tcPr>
          <w:p>
            <w:pPr>
              <w:tabs>
                <w:tab w:val="left" w:pos="720"/>
              </w:tabs>
              <w:spacing w:line="300" w:lineRule="auto"/>
              <w:jc w:val="center"/>
              <w:rPr>
                <w:rFonts w:ascii="Arial" w:hAnsi="Arial" w:cs="Arial"/>
              </w:rPr>
            </w:pPr>
          </w:p>
        </w:tc>
        <w:tc>
          <w:tcPr>
            <w:tcW w:w="1080" w:type="dxa"/>
            <w:vMerge w:val="continue"/>
            <w:vAlign w:val="center"/>
          </w:tcPr>
          <w:p>
            <w:pPr>
              <w:tabs>
                <w:tab w:val="left" w:pos="720"/>
              </w:tabs>
              <w:spacing w:line="300" w:lineRule="auto"/>
              <w:jc w:val="center"/>
              <w:rPr>
                <w:rFonts w:ascii="Arial" w:hAnsi="Arial" w:cs="Arial"/>
              </w:rPr>
            </w:pPr>
          </w:p>
        </w:tc>
        <w:tc>
          <w:tcPr>
            <w:tcW w:w="900" w:type="dxa"/>
            <w:vMerge w:val="continue"/>
            <w:vAlign w:val="center"/>
          </w:tcPr>
          <w:p>
            <w:pPr>
              <w:tabs>
                <w:tab w:val="left" w:pos="720"/>
              </w:tabs>
              <w:spacing w:line="300" w:lineRule="auto"/>
              <w:jc w:val="center"/>
              <w:rPr>
                <w:rFonts w:ascii="Arial" w:hAnsi="Arial" w:cs="Arial"/>
              </w:rPr>
            </w:pPr>
          </w:p>
        </w:tc>
        <w:tc>
          <w:tcPr>
            <w:tcW w:w="720" w:type="dxa"/>
            <w:vMerge w:val="continue"/>
            <w:vAlign w:val="center"/>
          </w:tcPr>
          <w:p>
            <w:pPr>
              <w:tabs>
                <w:tab w:val="left" w:pos="720"/>
              </w:tabs>
              <w:spacing w:line="300" w:lineRule="auto"/>
              <w:jc w:val="center"/>
              <w:rPr>
                <w:rFonts w:ascii="Arial" w:hAnsi="Arial" w:cs="Arial"/>
              </w:rPr>
            </w:pPr>
          </w:p>
        </w:tc>
        <w:tc>
          <w:tcPr>
            <w:tcW w:w="720" w:type="dxa"/>
            <w:vMerge w:val="continue"/>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r>
              <w:rPr>
                <w:rFonts w:hint="eastAsia" w:ascii="Arial" w:hAnsi="Arial" w:cs="Arial"/>
              </w:rPr>
              <w:t>暂估价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20" w:type="dxa"/>
            <w:vAlign w:val="center"/>
          </w:tcPr>
          <w:p>
            <w:pPr>
              <w:tabs>
                <w:tab w:val="left" w:pos="720"/>
              </w:tabs>
              <w:spacing w:line="300" w:lineRule="auto"/>
              <w:jc w:val="center"/>
              <w:rPr>
                <w:rFonts w:ascii="Arial" w:hAnsi="Arial" w:cs="Arial"/>
              </w:rPr>
            </w:pPr>
            <w:r>
              <w:rPr>
                <w:rFonts w:ascii="Arial" w:hAnsi="Arial" w:cs="Arial"/>
                <w:lang w:eastAsia="zh-CN"/>
              </w:rPr>
              <w:t>1</w:t>
            </w: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20" w:type="dxa"/>
            <w:vAlign w:val="center"/>
          </w:tcPr>
          <w:p>
            <w:pPr>
              <w:tabs>
                <w:tab w:val="left" w:pos="720"/>
              </w:tabs>
              <w:spacing w:line="300" w:lineRule="auto"/>
              <w:jc w:val="center"/>
              <w:rPr>
                <w:rFonts w:ascii="Arial" w:hAnsi="Arial" w:cs="Arial"/>
              </w:rPr>
            </w:pPr>
            <w:r>
              <w:rPr>
                <w:rFonts w:ascii="Arial" w:hAnsi="Arial" w:cs="Arial"/>
                <w:lang w:eastAsia="zh-CN"/>
              </w:rPr>
              <w:t>2</w:t>
            </w: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20" w:type="dxa"/>
            <w:vAlign w:val="center"/>
          </w:tcPr>
          <w:p>
            <w:pPr>
              <w:tabs>
                <w:tab w:val="left" w:pos="720"/>
              </w:tabs>
              <w:spacing w:line="300" w:lineRule="auto"/>
              <w:jc w:val="center"/>
              <w:rPr>
                <w:rFonts w:ascii="Arial" w:hAnsi="Arial" w:cs="Arial"/>
              </w:rPr>
            </w:pPr>
            <w:r>
              <w:rPr>
                <w:rFonts w:ascii="Arial" w:hAnsi="Arial" w:cs="Arial"/>
                <w:lang w:eastAsia="zh-CN"/>
              </w:rPr>
              <w:t>3</w:t>
            </w: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20" w:type="dxa"/>
            <w:vAlign w:val="center"/>
          </w:tcPr>
          <w:p>
            <w:pPr>
              <w:tabs>
                <w:tab w:val="left" w:pos="720"/>
              </w:tabs>
              <w:spacing w:line="300" w:lineRule="auto"/>
              <w:jc w:val="center"/>
              <w:rPr>
                <w:rFonts w:ascii="Arial" w:hAnsi="Arial" w:cs="Arial"/>
              </w:rPr>
            </w:pPr>
            <w:r>
              <w:rPr>
                <w:rFonts w:ascii="Arial" w:hAnsi="Arial" w:cs="Arial"/>
                <w:lang w:eastAsia="zh-CN"/>
              </w:rPr>
              <w:t>4</w:t>
            </w: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20" w:type="dxa"/>
            <w:vAlign w:val="center"/>
          </w:tcPr>
          <w:p>
            <w:pPr>
              <w:tabs>
                <w:tab w:val="left" w:pos="720"/>
              </w:tabs>
              <w:spacing w:line="300" w:lineRule="auto"/>
              <w:jc w:val="center"/>
              <w:rPr>
                <w:rFonts w:ascii="Arial" w:hAnsi="Arial" w:cs="Arial"/>
              </w:rPr>
            </w:pPr>
            <w:r>
              <w:rPr>
                <w:rFonts w:ascii="Arial" w:hAnsi="Arial" w:cs="Arial"/>
                <w:lang w:eastAsia="zh-CN"/>
              </w:rPr>
              <w:t>5</w:t>
            </w: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20" w:type="dxa"/>
            <w:vAlign w:val="center"/>
          </w:tcPr>
          <w:p>
            <w:pPr>
              <w:tabs>
                <w:tab w:val="left" w:pos="720"/>
              </w:tabs>
              <w:spacing w:line="300" w:lineRule="auto"/>
              <w:jc w:val="center"/>
              <w:rPr>
                <w:rFonts w:ascii="Arial" w:hAnsi="Arial" w:cs="Arial"/>
              </w:rPr>
            </w:pPr>
            <w:r>
              <w:rPr>
                <w:rFonts w:ascii="Arial" w:hAnsi="Arial" w:cs="Arial"/>
                <w:lang w:eastAsia="zh-CN"/>
              </w:rPr>
              <w:t>6</w:t>
            </w: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20" w:type="dxa"/>
            <w:vAlign w:val="center"/>
          </w:tcPr>
          <w:p>
            <w:pPr>
              <w:tabs>
                <w:tab w:val="left" w:pos="720"/>
              </w:tabs>
              <w:spacing w:line="300" w:lineRule="auto"/>
              <w:jc w:val="center"/>
              <w:rPr>
                <w:rFonts w:ascii="Arial" w:hAnsi="Arial" w:cs="Arial"/>
              </w:rPr>
            </w:pPr>
            <w:r>
              <w:rPr>
                <w:rFonts w:ascii="Arial" w:hAnsi="Arial" w:cs="Arial"/>
                <w:lang w:eastAsia="zh-CN"/>
              </w:rPr>
              <w:t>7</w:t>
            </w: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c>
          <w:tcPr>
            <w:tcW w:w="1620" w:type="dxa"/>
            <w:vAlign w:val="center"/>
          </w:tcPr>
          <w:p>
            <w:pPr>
              <w:tabs>
                <w:tab w:val="left" w:pos="720"/>
              </w:tabs>
              <w:spacing w:line="300" w:lineRule="auto"/>
              <w:jc w:val="center"/>
              <w:rPr>
                <w:rFonts w:ascii="Arial" w:hAnsi="Arial" w:cs="Arial"/>
              </w:rPr>
            </w:pPr>
          </w:p>
        </w:tc>
        <w:tc>
          <w:tcPr>
            <w:tcW w:w="108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380" w:type="dxa"/>
            <w:gridSpan w:val="7"/>
            <w:vAlign w:val="center"/>
          </w:tcPr>
          <w:p>
            <w:pPr>
              <w:tabs>
                <w:tab w:val="left" w:pos="720"/>
              </w:tabs>
              <w:spacing w:line="300" w:lineRule="auto"/>
              <w:jc w:val="center"/>
              <w:rPr>
                <w:rFonts w:ascii="Arial" w:hAnsi="Arial" w:cs="Arial"/>
              </w:rPr>
            </w:pPr>
            <w:r>
              <w:rPr>
                <w:rFonts w:hint="eastAsia" w:ascii="Arial" w:hAnsi="Arial" w:cs="Arial"/>
              </w:rPr>
              <w:t>本页小计</w:t>
            </w: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380" w:type="dxa"/>
            <w:gridSpan w:val="7"/>
            <w:vAlign w:val="center"/>
          </w:tcPr>
          <w:p>
            <w:pPr>
              <w:tabs>
                <w:tab w:val="left" w:pos="720"/>
              </w:tabs>
              <w:spacing w:line="300" w:lineRule="auto"/>
              <w:jc w:val="center"/>
              <w:rPr>
                <w:rFonts w:ascii="Arial" w:hAnsi="Arial" w:cs="Arial"/>
              </w:rPr>
            </w:pPr>
            <w:r>
              <w:rPr>
                <w:rFonts w:hint="eastAsia" w:ascii="Arial" w:hAnsi="Arial" w:cs="Arial"/>
              </w:rPr>
              <w:t>合</w:t>
            </w:r>
            <w:r>
              <w:rPr>
                <w:rFonts w:ascii="Arial" w:hAnsi="Arial" w:cs="Arial"/>
              </w:rPr>
              <w:t xml:space="preserve">    </w:t>
            </w:r>
            <w:r>
              <w:rPr>
                <w:rFonts w:hint="eastAsia" w:ascii="Arial" w:hAnsi="Arial" w:cs="Arial"/>
              </w:rPr>
              <w:t>计</w:t>
            </w:r>
          </w:p>
        </w:tc>
        <w:tc>
          <w:tcPr>
            <w:tcW w:w="720" w:type="dxa"/>
            <w:vAlign w:val="center"/>
          </w:tcPr>
          <w:p>
            <w:pPr>
              <w:tabs>
                <w:tab w:val="left" w:pos="720"/>
              </w:tabs>
              <w:spacing w:line="300" w:lineRule="auto"/>
              <w:jc w:val="center"/>
              <w:rPr>
                <w:rFonts w:ascii="Arial" w:hAnsi="Arial" w:cs="Arial"/>
              </w:rPr>
            </w:pPr>
          </w:p>
        </w:tc>
        <w:tc>
          <w:tcPr>
            <w:tcW w:w="900" w:type="dxa"/>
            <w:vAlign w:val="center"/>
          </w:tcPr>
          <w:p>
            <w:pPr>
              <w:tabs>
                <w:tab w:val="left" w:pos="720"/>
              </w:tabs>
              <w:spacing w:line="300" w:lineRule="auto"/>
              <w:jc w:val="center"/>
              <w:rPr>
                <w:rFonts w:ascii="Arial" w:hAnsi="Arial" w:cs="Arial"/>
              </w:rPr>
            </w:pPr>
          </w:p>
        </w:tc>
      </w:tr>
    </w:tbl>
    <w:p>
      <w:pPr>
        <w:tabs>
          <w:tab w:val="left" w:pos="720"/>
        </w:tabs>
        <w:spacing w:afterLines="50" w:line="300" w:lineRule="auto"/>
        <w:ind w:right="26"/>
        <w:rPr>
          <w:rFonts w:ascii="Arial" w:hAnsi="Arial" w:cs="Arial"/>
          <w:szCs w:val="21"/>
        </w:rPr>
      </w:pPr>
      <w:r>
        <w:rPr>
          <w:rFonts w:hint="eastAsia" w:ascii="黑体" w:hAnsi="Arial" w:eastAsia="黑体" w:cs="Arial"/>
          <w:szCs w:val="21"/>
        </w:rPr>
        <w:t>注：</w:t>
      </w:r>
      <w:r>
        <w:rPr>
          <w:rFonts w:hint="eastAsia" w:ascii="Arial" w:hAnsi="Arial" w:cs="Arial"/>
          <w:szCs w:val="21"/>
        </w:rPr>
        <w:t>为计取规费等的使用，可在表中增设其中：“定额人工费”。</w:t>
      </w:r>
    </w:p>
    <w:p>
      <w:pPr>
        <w:pStyle w:val="4"/>
        <w:rPr>
          <w:rFonts w:ascii="Arial" w:hAnsi="Arial" w:cs="Arial"/>
          <w:b w:val="0"/>
          <w:szCs w:val="44"/>
          <w:lang w:eastAsia="zh-CN"/>
        </w:rPr>
      </w:pPr>
    </w:p>
    <w:p>
      <w:pPr>
        <w:rPr>
          <w:b/>
          <w:sz w:val="28"/>
          <w:szCs w:val="28"/>
          <w:lang w:eastAsia="zh-CN"/>
        </w:rPr>
        <w:sectPr>
          <w:footerReference r:id="rId13" w:type="default"/>
          <w:pgSz w:w="11906" w:h="16838"/>
          <w:pgMar w:top="1440" w:right="1304" w:bottom="1440" w:left="1304" w:header="851" w:footer="992" w:gutter="0"/>
          <w:cols w:space="720" w:num="1"/>
          <w:docGrid w:linePitch="312" w:charSpace="0"/>
        </w:sectPr>
      </w:pPr>
      <w:r>
        <w:rPr>
          <w:rFonts w:hint="eastAsia"/>
          <w:b/>
          <w:sz w:val="28"/>
          <w:szCs w:val="28"/>
          <w:lang w:eastAsia="zh-CN"/>
        </w:rPr>
        <w:t>★工程量清单附后</w:t>
      </w:r>
    </w:p>
    <w:p>
      <w:pPr>
        <w:rPr>
          <w:szCs w:val="21"/>
        </w:rPr>
      </w:pPr>
    </w:p>
    <w:p>
      <w:pPr>
        <w:rPr>
          <w:szCs w:val="21"/>
        </w:rPr>
      </w:pPr>
    </w:p>
    <w:p>
      <w:pPr>
        <w:tabs>
          <w:tab w:val="left" w:pos="720"/>
        </w:tabs>
        <w:spacing w:afterLines="50" w:line="300" w:lineRule="auto"/>
        <w:jc w:val="center"/>
        <w:rPr>
          <w:rFonts w:ascii="Arial" w:hAnsi="Arial" w:eastAsia="黑体" w:cs="Arial"/>
          <w:bCs/>
          <w:sz w:val="30"/>
          <w:szCs w:val="30"/>
        </w:rPr>
      </w:pPr>
      <w:r>
        <w:rPr>
          <w:rFonts w:hint="eastAsia" w:ascii="Arial" w:hAnsi="Arial" w:eastAsia="黑体" w:cs="Arial"/>
          <w:bCs/>
          <w:sz w:val="30"/>
          <w:szCs w:val="30"/>
        </w:rPr>
        <w:t>总价措施项目清单与计价表</w:t>
      </w:r>
    </w:p>
    <w:p>
      <w:pPr>
        <w:tabs>
          <w:tab w:val="left" w:pos="720"/>
        </w:tabs>
        <w:spacing w:afterLines="50" w:line="300" w:lineRule="auto"/>
        <w:rPr>
          <w:rFonts w:ascii="Arial" w:hAnsi="Arial" w:cs="Arial"/>
        </w:rPr>
      </w:pPr>
      <w:r>
        <w:rPr>
          <w:rFonts w:hint="eastAsia" w:ascii="Arial" w:hAnsi="Arial" w:cs="Arial"/>
        </w:rPr>
        <w:t>工程名称：</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1"/>
        <w:gridCol w:w="2126"/>
        <w:gridCol w:w="1276"/>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67" w:type="dxa"/>
            <w:vAlign w:val="center"/>
          </w:tcPr>
          <w:p>
            <w:pPr>
              <w:tabs>
                <w:tab w:val="left" w:pos="720"/>
              </w:tabs>
              <w:spacing w:line="300" w:lineRule="auto"/>
              <w:jc w:val="center"/>
              <w:rPr>
                <w:rFonts w:ascii="Arial" w:hAnsi="Arial" w:cs="Arial"/>
              </w:rPr>
            </w:pPr>
            <w:r>
              <w:rPr>
                <w:rFonts w:hint="eastAsia" w:ascii="Arial" w:hAnsi="Arial" w:cs="Arial"/>
              </w:rPr>
              <w:t>序号</w:t>
            </w:r>
          </w:p>
        </w:tc>
        <w:tc>
          <w:tcPr>
            <w:tcW w:w="851" w:type="dxa"/>
            <w:vAlign w:val="center"/>
          </w:tcPr>
          <w:p>
            <w:pPr>
              <w:tabs>
                <w:tab w:val="left" w:pos="720"/>
              </w:tabs>
              <w:spacing w:line="300" w:lineRule="auto"/>
              <w:jc w:val="center"/>
              <w:rPr>
                <w:rFonts w:ascii="Arial" w:hAnsi="Arial" w:cs="Arial"/>
              </w:rPr>
            </w:pPr>
            <w:r>
              <w:rPr>
                <w:rFonts w:hint="eastAsia" w:ascii="Arial" w:hAnsi="Arial" w:cs="Arial"/>
              </w:rPr>
              <w:t>项目</w:t>
            </w:r>
          </w:p>
          <w:p>
            <w:pPr>
              <w:tabs>
                <w:tab w:val="left" w:pos="720"/>
              </w:tabs>
              <w:spacing w:line="300" w:lineRule="auto"/>
              <w:jc w:val="center"/>
              <w:rPr>
                <w:rFonts w:ascii="Arial" w:hAnsi="Arial" w:cs="Arial"/>
              </w:rPr>
            </w:pPr>
            <w:r>
              <w:rPr>
                <w:rFonts w:hint="eastAsia" w:ascii="Arial" w:hAnsi="Arial" w:cs="Arial"/>
              </w:rPr>
              <w:t>编码</w:t>
            </w:r>
          </w:p>
        </w:tc>
        <w:tc>
          <w:tcPr>
            <w:tcW w:w="2126" w:type="dxa"/>
            <w:vAlign w:val="center"/>
          </w:tcPr>
          <w:p>
            <w:pPr>
              <w:tabs>
                <w:tab w:val="left" w:pos="720"/>
              </w:tabs>
              <w:spacing w:line="300" w:lineRule="auto"/>
              <w:jc w:val="center"/>
              <w:rPr>
                <w:rFonts w:ascii="Arial" w:hAnsi="Arial" w:cs="Arial"/>
              </w:rPr>
            </w:pPr>
            <w:r>
              <w:rPr>
                <w:rFonts w:hint="eastAsia" w:ascii="Arial" w:hAnsi="Arial" w:cs="Arial"/>
              </w:rPr>
              <w:t>子目名称</w:t>
            </w:r>
          </w:p>
        </w:tc>
        <w:tc>
          <w:tcPr>
            <w:tcW w:w="1276" w:type="dxa"/>
            <w:vAlign w:val="center"/>
          </w:tcPr>
          <w:p>
            <w:pPr>
              <w:tabs>
                <w:tab w:val="left" w:pos="720"/>
              </w:tabs>
              <w:spacing w:line="300" w:lineRule="auto"/>
              <w:jc w:val="center"/>
              <w:rPr>
                <w:rFonts w:ascii="Arial" w:hAnsi="Arial" w:cs="Arial"/>
              </w:rPr>
            </w:pPr>
            <w:r>
              <w:rPr>
                <w:rFonts w:hint="eastAsia" w:ascii="Arial" w:hAnsi="Arial" w:cs="Arial"/>
              </w:rPr>
              <w:t>计算基础</w:t>
            </w:r>
          </w:p>
        </w:tc>
        <w:tc>
          <w:tcPr>
            <w:tcW w:w="1134" w:type="dxa"/>
            <w:vAlign w:val="center"/>
          </w:tcPr>
          <w:p>
            <w:pPr>
              <w:tabs>
                <w:tab w:val="left" w:pos="720"/>
              </w:tabs>
              <w:spacing w:line="300" w:lineRule="auto"/>
              <w:jc w:val="center"/>
              <w:rPr>
                <w:rFonts w:ascii="Arial" w:hAnsi="Arial" w:cs="Arial"/>
              </w:rPr>
            </w:pPr>
            <w:r>
              <w:rPr>
                <w:rFonts w:hint="eastAsia" w:ascii="Arial" w:hAnsi="Arial" w:cs="Arial"/>
              </w:rPr>
              <w:t>费率（</w:t>
            </w:r>
            <w:r>
              <w:rPr>
                <w:rFonts w:ascii="Arial" w:hAnsi="Arial" w:cs="Arial"/>
              </w:rPr>
              <w:t>%</w:t>
            </w:r>
            <w:r>
              <w:rPr>
                <w:rFonts w:hint="eastAsia" w:ascii="Arial" w:hAnsi="Arial" w:cs="Arial"/>
              </w:rPr>
              <w:t>）</w:t>
            </w:r>
          </w:p>
        </w:tc>
        <w:tc>
          <w:tcPr>
            <w:tcW w:w="1276" w:type="dxa"/>
            <w:vAlign w:val="center"/>
          </w:tcPr>
          <w:p>
            <w:pPr>
              <w:tabs>
                <w:tab w:val="left" w:pos="720"/>
              </w:tabs>
              <w:spacing w:line="300" w:lineRule="auto"/>
              <w:jc w:val="center"/>
              <w:rPr>
                <w:rFonts w:ascii="Arial" w:hAnsi="Arial" w:cs="Arial"/>
              </w:rPr>
            </w:pPr>
            <w:r>
              <w:rPr>
                <w:rFonts w:hint="eastAsia" w:ascii="Arial" w:hAnsi="Arial" w:cs="Arial"/>
              </w:rPr>
              <w:t>金额（元）</w:t>
            </w:r>
          </w:p>
        </w:tc>
        <w:tc>
          <w:tcPr>
            <w:tcW w:w="1134" w:type="dxa"/>
            <w:vAlign w:val="center"/>
          </w:tcPr>
          <w:p>
            <w:pPr>
              <w:tabs>
                <w:tab w:val="left" w:pos="720"/>
              </w:tabs>
              <w:spacing w:line="300" w:lineRule="auto"/>
              <w:jc w:val="center"/>
              <w:rPr>
                <w:rFonts w:ascii="Arial" w:hAnsi="Arial" w:cs="Arial"/>
              </w:rPr>
            </w:pPr>
            <w:r>
              <w:rPr>
                <w:rFonts w:hint="eastAsia" w:ascii="Arial" w:hAnsi="Arial" w:cs="Aria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67" w:type="dxa"/>
            <w:vAlign w:val="center"/>
          </w:tcPr>
          <w:p>
            <w:pPr>
              <w:tabs>
                <w:tab w:val="left" w:pos="720"/>
              </w:tabs>
              <w:spacing w:line="300" w:lineRule="auto"/>
              <w:jc w:val="center"/>
              <w:rPr>
                <w:rFonts w:ascii="Arial" w:hAnsi="Arial" w:cs="Arial"/>
              </w:rPr>
            </w:pPr>
          </w:p>
        </w:tc>
        <w:tc>
          <w:tcPr>
            <w:tcW w:w="851" w:type="dxa"/>
            <w:vAlign w:val="center"/>
          </w:tcPr>
          <w:p>
            <w:pPr>
              <w:tabs>
                <w:tab w:val="left" w:pos="720"/>
              </w:tabs>
              <w:spacing w:line="300" w:lineRule="auto"/>
              <w:jc w:val="center"/>
              <w:rPr>
                <w:rFonts w:ascii="Arial" w:hAnsi="Arial" w:cs="Arial"/>
              </w:rPr>
            </w:pPr>
          </w:p>
        </w:tc>
        <w:tc>
          <w:tcPr>
            <w:tcW w:w="2126" w:type="dxa"/>
            <w:vAlign w:val="center"/>
          </w:tcPr>
          <w:p>
            <w:pPr>
              <w:tabs>
                <w:tab w:val="left" w:pos="720"/>
              </w:tabs>
              <w:spacing w:line="300" w:lineRule="auto"/>
              <w:rPr>
                <w:rFonts w:ascii="Arial" w:hAnsi="Arial" w:cs="Arial"/>
              </w:rPr>
            </w:pPr>
            <w:r>
              <w:rPr>
                <w:rFonts w:hint="eastAsia" w:ascii="Arial" w:hAnsi="Arial" w:cs="Arial"/>
              </w:rPr>
              <w:t>安全文明施工费</w:t>
            </w:r>
          </w:p>
        </w:tc>
        <w:tc>
          <w:tcPr>
            <w:tcW w:w="1276"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67" w:type="dxa"/>
            <w:vAlign w:val="center"/>
          </w:tcPr>
          <w:p>
            <w:pPr>
              <w:tabs>
                <w:tab w:val="left" w:pos="720"/>
              </w:tabs>
              <w:spacing w:line="300" w:lineRule="auto"/>
              <w:jc w:val="center"/>
              <w:rPr>
                <w:rFonts w:ascii="Arial" w:hAnsi="Arial" w:cs="Arial"/>
              </w:rPr>
            </w:pPr>
          </w:p>
        </w:tc>
        <w:tc>
          <w:tcPr>
            <w:tcW w:w="851" w:type="dxa"/>
            <w:vAlign w:val="center"/>
          </w:tcPr>
          <w:p>
            <w:pPr>
              <w:tabs>
                <w:tab w:val="left" w:pos="720"/>
              </w:tabs>
              <w:spacing w:line="300" w:lineRule="auto"/>
              <w:jc w:val="center"/>
              <w:rPr>
                <w:rFonts w:ascii="Arial" w:hAnsi="Arial" w:cs="Arial"/>
              </w:rPr>
            </w:pPr>
          </w:p>
        </w:tc>
        <w:tc>
          <w:tcPr>
            <w:tcW w:w="2126" w:type="dxa"/>
            <w:vAlign w:val="center"/>
          </w:tcPr>
          <w:p>
            <w:pPr>
              <w:tabs>
                <w:tab w:val="left" w:pos="720"/>
              </w:tabs>
              <w:spacing w:line="300" w:lineRule="auto"/>
              <w:rPr>
                <w:rFonts w:ascii="Arial" w:hAnsi="Arial" w:cs="Arial"/>
              </w:rPr>
            </w:pPr>
            <w:r>
              <w:rPr>
                <w:rFonts w:hint="eastAsia" w:ascii="Arial" w:hAnsi="Arial" w:cs="Arial"/>
              </w:rPr>
              <w:t>夜间施工增加费</w:t>
            </w:r>
          </w:p>
        </w:tc>
        <w:tc>
          <w:tcPr>
            <w:tcW w:w="1276"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67" w:type="dxa"/>
            <w:vAlign w:val="center"/>
          </w:tcPr>
          <w:p>
            <w:pPr>
              <w:tabs>
                <w:tab w:val="left" w:pos="720"/>
              </w:tabs>
              <w:spacing w:line="300" w:lineRule="auto"/>
              <w:jc w:val="center"/>
              <w:rPr>
                <w:rFonts w:ascii="Arial" w:hAnsi="Arial" w:cs="Arial"/>
              </w:rPr>
            </w:pPr>
          </w:p>
        </w:tc>
        <w:tc>
          <w:tcPr>
            <w:tcW w:w="851" w:type="dxa"/>
            <w:vAlign w:val="center"/>
          </w:tcPr>
          <w:p>
            <w:pPr>
              <w:tabs>
                <w:tab w:val="left" w:pos="720"/>
              </w:tabs>
              <w:spacing w:line="300" w:lineRule="auto"/>
              <w:jc w:val="center"/>
              <w:rPr>
                <w:rFonts w:ascii="Arial" w:hAnsi="Arial" w:cs="Arial"/>
              </w:rPr>
            </w:pPr>
          </w:p>
        </w:tc>
        <w:tc>
          <w:tcPr>
            <w:tcW w:w="2126" w:type="dxa"/>
            <w:vAlign w:val="center"/>
          </w:tcPr>
          <w:p>
            <w:pPr>
              <w:tabs>
                <w:tab w:val="left" w:pos="720"/>
              </w:tabs>
              <w:spacing w:line="300" w:lineRule="auto"/>
              <w:rPr>
                <w:rFonts w:ascii="Arial" w:hAnsi="Arial" w:cs="Arial"/>
              </w:rPr>
            </w:pPr>
            <w:r>
              <w:rPr>
                <w:rFonts w:hint="eastAsia" w:ascii="Arial" w:hAnsi="Arial" w:cs="Arial"/>
              </w:rPr>
              <w:t>二次搬运费</w:t>
            </w:r>
          </w:p>
        </w:tc>
        <w:tc>
          <w:tcPr>
            <w:tcW w:w="1276"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67" w:type="dxa"/>
            <w:vAlign w:val="center"/>
          </w:tcPr>
          <w:p>
            <w:pPr>
              <w:tabs>
                <w:tab w:val="left" w:pos="720"/>
              </w:tabs>
              <w:spacing w:line="300" w:lineRule="auto"/>
              <w:jc w:val="center"/>
              <w:rPr>
                <w:rFonts w:ascii="Arial" w:hAnsi="Arial" w:cs="Arial"/>
              </w:rPr>
            </w:pPr>
          </w:p>
        </w:tc>
        <w:tc>
          <w:tcPr>
            <w:tcW w:w="851" w:type="dxa"/>
            <w:vAlign w:val="center"/>
          </w:tcPr>
          <w:p>
            <w:pPr>
              <w:tabs>
                <w:tab w:val="left" w:pos="720"/>
              </w:tabs>
              <w:spacing w:line="300" w:lineRule="auto"/>
              <w:jc w:val="center"/>
              <w:rPr>
                <w:rFonts w:ascii="Arial" w:hAnsi="Arial" w:cs="Arial"/>
              </w:rPr>
            </w:pPr>
          </w:p>
        </w:tc>
        <w:tc>
          <w:tcPr>
            <w:tcW w:w="2126" w:type="dxa"/>
            <w:vAlign w:val="center"/>
          </w:tcPr>
          <w:p>
            <w:pPr>
              <w:tabs>
                <w:tab w:val="left" w:pos="720"/>
              </w:tabs>
              <w:spacing w:line="300" w:lineRule="auto"/>
              <w:rPr>
                <w:rFonts w:ascii="Arial" w:hAnsi="Arial" w:cs="Arial"/>
              </w:rPr>
            </w:pPr>
            <w:r>
              <w:rPr>
                <w:rFonts w:hint="eastAsia" w:ascii="Arial" w:hAnsi="Arial" w:cs="Arial"/>
              </w:rPr>
              <w:t>冬雨季施工增加费</w:t>
            </w:r>
          </w:p>
        </w:tc>
        <w:tc>
          <w:tcPr>
            <w:tcW w:w="1276"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67" w:type="dxa"/>
            <w:vAlign w:val="center"/>
          </w:tcPr>
          <w:p>
            <w:pPr>
              <w:tabs>
                <w:tab w:val="left" w:pos="720"/>
              </w:tabs>
              <w:spacing w:line="300" w:lineRule="auto"/>
              <w:jc w:val="center"/>
              <w:rPr>
                <w:rFonts w:ascii="Arial" w:hAnsi="Arial" w:cs="Arial"/>
              </w:rPr>
            </w:pPr>
          </w:p>
        </w:tc>
        <w:tc>
          <w:tcPr>
            <w:tcW w:w="851" w:type="dxa"/>
            <w:vAlign w:val="center"/>
          </w:tcPr>
          <w:p>
            <w:pPr>
              <w:tabs>
                <w:tab w:val="left" w:pos="720"/>
              </w:tabs>
              <w:spacing w:line="300" w:lineRule="auto"/>
              <w:jc w:val="center"/>
              <w:rPr>
                <w:rFonts w:ascii="Arial" w:hAnsi="Arial" w:cs="Arial"/>
              </w:rPr>
            </w:pPr>
          </w:p>
        </w:tc>
        <w:tc>
          <w:tcPr>
            <w:tcW w:w="2126" w:type="dxa"/>
            <w:vAlign w:val="center"/>
          </w:tcPr>
          <w:p>
            <w:pPr>
              <w:tabs>
                <w:tab w:val="left" w:pos="720"/>
              </w:tabs>
              <w:spacing w:line="300" w:lineRule="auto"/>
              <w:rPr>
                <w:rFonts w:ascii="Arial" w:hAnsi="Arial" w:cs="Arial"/>
              </w:rPr>
            </w:pPr>
            <w:r>
              <w:rPr>
                <w:rFonts w:hint="eastAsia" w:ascii="Arial" w:hAnsi="Arial" w:cs="Arial"/>
              </w:rPr>
              <w:t>已完工程及设备保护</w:t>
            </w:r>
          </w:p>
        </w:tc>
        <w:tc>
          <w:tcPr>
            <w:tcW w:w="1276"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67" w:type="dxa"/>
            <w:vAlign w:val="center"/>
          </w:tcPr>
          <w:p>
            <w:pPr>
              <w:tabs>
                <w:tab w:val="left" w:pos="720"/>
              </w:tabs>
              <w:spacing w:line="300" w:lineRule="auto"/>
              <w:jc w:val="center"/>
              <w:rPr>
                <w:rFonts w:ascii="Arial" w:hAnsi="Arial" w:cs="Arial"/>
              </w:rPr>
            </w:pPr>
          </w:p>
        </w:tc>
        <w:tc>
          <w:tcPr>
            <w:tcW w:w="851" w:type="dxa"/>
            <w:vAlign w:val="center"/>
          </w:tcPr>
          <w:p>
            <w:pPr>
              <w:tabs>
                <w:tab w:val="left" w:pos="720"/>
              </w:tabs>
              <w:spacing w:line="300" w:lineRule="auto"/>
              <w:jc w:val="center"/>
              <w:rPr>
                <w:rFonts w:ascii="Arial" w:hAnsi="Arial" w:cs="Arial"/>
              </w:rPr>
            </w:pPr>
          </w:p>
        </w:tc>
        <w:tc>
          <w:tcPr>
            <w:tcW w:w="2126" w:type="dxa"/>
            <w:vAlign w:val="center"/>
          </w:tcPr>
          <w:p>
            <w:pPr>
              <w:tabs>
                <w:tab w:val="left" w:pos="720"/>
              </w:tabs>
              <w:spacing w:line="300" w:lineRule="auto"/>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67" w:type="dxa"/>
            <w:vAlign w:val="center"/>
          </w:tcPr>
          <w:p>
            <w:pPr>
              <w:tabs>
                <w:tab w:val="left" w:pos="720"/>
              </w:tabs>
              <w:spacing w:line="300" w:lineRule="auto"/>
              <w:jc w:val="center"/>
              <w:rPr>
                <w:rFonts w:ascii="Arial" w:hAnsi="Arial" w:cs="Arial"/>
              </w:rPr>
            </w:pPr>
          </w:p>
        </w:tc>
        <w:tc>
          <w:tcPr>
            <w:tcW w:w="851" w:type="dxa"/>
            <w:vAlign w:val="center"/>
          </w:tcPr>
          <w:p>
            <w:pPr>
              <w:tabs>
                <w:tab w:val="left" w:pos="720"/>
              </w:tabs>
              <w:spacing w:line="300" w:lineRule="auto"/>
              <w:jc w:val="center"/>
              <w:rPr>
                <w:rFonts w:ascii="Arial" w:hAnsi="Arial" w:cs="Arial"/>
              </w:rPr>
            </w:pPr>
          </w:p>
        </w:tc>
        <w:tc>
          <w:tcPr>
            <w:tcW w:w="2126" w:type="dxa"/>
            <w:vAlign w:val="center"/>
          </w:tcPr>
          <w:p>
            <w:pPr>
              <w:tabs>
                <w:tab w:val="left" w:pos="720"/>
              </w:tabs>
              <w:spacing w:line="300" w:lineRule="auto"/>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67" w:type="dxa"/>
            <w:vAlign w:val="center"/>
          </w:tcPr>
          <w:p>
            <w:pPr>
              <w:tabs>
                <w:tab w:val="left" w:pos="720"/>
              </w:tabs>
              <w:spacing w:line="300" w:lineRule="auto"/>
              <w:jc w:val="center"/>
              <w:rPr>
                <w:rFonts w:ascii="Arial" w:hAnsi="Arial" w:cs="Arial"/>
              </w:rPr>
            </w:pPr>
          </w:p>
        </w:tc>
        <w:tc>
          <w:tcPr>
            <w:tcW w:w="851" w:type="dxa"/>
            <w:vAlign w:val="center"/>
          </w:tcPr>
          <w:p>
            <w:pPr>
              <w:tabs>
                <w:tab w:val="left" w:pos="720"/>
              </w:tabs>
              <w:spacing w:line="300" w:lineRule="auto"/>
              <w:jc w:val="center"/>
              <w:rPr>
                <w:rFonts w:ascii="Arial" w:hAnsi="Arial" w:cs="Arial"/>
              </w:rPr>
            </w:pPr>
          </w:p>
        </w:tc>
        <w:tc>
          <w:tcPr>
            <w:tcW w:w="2126" w:type="dxa"/>
            <w:vAlign w:val="center"/>
          </w:tcPr>
          <w:p>
            <w:pPr>
              <w:tabs>
                <w:tab w:val="left" w:pos="720"/>
              </w:tabs>
              <w:spacing w:line="300" w:lineRule="auto"/>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67" w:type="dxa"/>
            <w:vAlign w:val="center"/>
          </w:tcPr>
          <w:p>
            <w:pPr>
              <w:tabs>
                <w:tab w:val="left" w:pos="720"/>
              </w:tabs>
              <w:spacing w:line="300" w:lineRule="auto"/>
              <w:jc w:val="center"/>
              <w:rPr>
                <w:rFonts w:ascii="Arial" w:hAnsi="Arial" w:cs="Arial"/>
              </w:rPr>
            </w:pPr>
          </w:p>
        </w:tc>
        <w:tc>
          <w:tcPr>
            <w:tcW w:w="851" w:type="dxa"/>
            <w:vAlign w:val="center"/>
          </w:tcPr>
          <w:p>
            <w:pPr>
              <w:tabs>
                <w:tab w:val="left" w:pos="720"/>
              </w:tabs>
              <w:spacing w:line="300" w:lineRule="auto"/>
              <w:jc w:val="center"/>
              <w:rPr>
                <w:rFonts w:ascii="Arial" w:hAnsi="Arial" w:cs="Arial"/>
              </w:rPr>
            </w:pPr>
          </w:p>
        </w:tc>
        <w:tc>
          <w:tcPr>
            <w:tcW w:w="2126" w:type="dxa"/>
            <w:vAlign w:val="center"/>
          </w:tcPr>
          <w:p>
            <w:pPr>
              <w:tabs>
                <w:tab w:val="left" w:pos="720"/>
              </w:tabs>
              <w:spacing w:line="300" w:lineRule="auto"/>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67" w:type="dxa"/>
            <w:vAlign w:val="center"/>
          </w:tcPr>
          <w:p>
            <w:pPr>
              <w:tabs>
                <w:tab w:val="left" w:pos="720"/>
              </w:tabs>
              <w:spacing w:line="300" w:lineRule="auto"/>
              <w:jc w:val="center"/>
              <w:rPr>
                <w:rFonts w:ascii="Arial" w:hAnsi="Arial" w:cs="Arial"/>
              </w:rPr>
            </w:pPr>
          </w:p>
        </w:tc>
        <w:tc>
          <w:tcPr>
            <w:tcW w:w="851" w:type="dxa"/>
            <w:vAlign w:val="center"/>
          </w:tcPr>
          <w:p>
            <w:pPr>
              <w:tabs>
                <w:tab w:val="left" w:pos="720"/>
              </w:tabs>
              <w:spacing w:line="300" w:lineRule="auto"/>
              <w:jc w:val="center"/>
              <w:rPr>
                <w:rFonts w:ascii="Arial" w:hAnsi="Arial" w:cs="Arial"/>
              </w:rPr>
            </w:pPr>
          </w:p>
        </w:tc>
        <w:tc>
          <w:tcPr>
            <w:tcW w:w="2126" w:type="dxa"/>
            <w:vAlign w:val="center"/>
          </w:tcPr>
          <w:p>
            <w:pPr>
              <w:tabs>
                <w:tab w:val="left" w:pos="720"/>
              </w:tabs>
              <w:spacing w:line="300" w:lineRule="auto"/>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954" w:type="dxa"/>
            <w:gridSpan w:val="5"/>
            <w:vAlign w:val="center"/>
          </w:tcPr>
          <w:p>
            <w:pPr>
              <w:tabs>
                <w:tab w:val="left" w:pos="720"/>
              </w:tabs>
              <w:spacing w:line="300" w:lineRule="auto"/>
              <w:jc w:val="center"/>
              <w:rPr>
                <w:rFonts w:ascii="Arial" w:hAnsi="Arial" w:cs="Arial"/>
              </w:rPr>
            </w:pPr>
          </w:p>
          <w:p>
            <w:pPr>
              <w:tabs>
                <w:tab w:val="left" w:pos="720"/>
              </w:tabs>
              <w:spacing w:line="300" w:lineRule="auto"/>
              <w:jc w:val="center"/>
              <w:rPr>
                <w:rFonts w:ascii="Arial" w:hAnsi="Arial" w:cs="Arial"/>
              </w:rPr>
            </w:pPr>
            <w:r>
              <w:rPr>
                <w:rFonts w:hint="eastAsia" w:ascii="Arial" w:hAnsi="Arial" w:cs="Arial"/>
              </w:rPr>
              <w:t>合计</w:t>
            </w:r>
          </w:p>
        </w:tc>
        <w:tc>
          <w:tcPr>
            <w:tcW w:w="1276"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r>
    </w:tbl>
    <w:p>
      <w:pPr>
        <w:tabs>
          <w:tab w:val="left" w:pos="720"/>
        </w:tabs>
        <w:spacing w:line="300" w:lineRule="auto"/>
        <w:ind w:right="28"/>
        <w:rPr>
          <w:rFonts w:ascii="黑体" w:hAnsi="Arial" w:eastAsia="黑体" w:cs="Arial"/>
          <w:szCs w:val="21"/>
        </w:rPr>
      </w:pPr>
    </w:p>
    <w:p>
      <w:pPr>
        <w:tabs>
          <w:tab w:val="left" w:pos="993"/>
        </w:tabs>
        <w:spacing w:line="300" w:lineRule="auto"/>
        <w:ind w:left="1038" w:leftChars="118" w:right="28" w:hanging="778" w:hangingChars="354"/>
        <w:rPr>
          <w:rFonts w:ascii="Arial" w:hAnsi="Arial" w:cs="Arial"/>
          <w:szCs w:val="21"/>
        </w:rPr>
      </w:pPr>
      <w:r>
        <w:rPr>
          <w:rFonts w:hint="eastAsia" w:ascii="黑体" w:hAnsi="Arial" w:eastAsia="黑体" w:cs="Arial"/>
          <w:szCs w:val="21"/>
        </w:rPr>
        <w:t>注：</w:t>
      </w:r>
      <w:r>
        <w:rPr>
          <w:rFonts w:ascii="Arial" w:hAnsi="Arial" w:cs="Arial"/>
          <w:szCs w:val="21"/>
        </w:rPr>
        <w:t xml:space="preserve">1. </w:t>
      </w:r>
      <w:r>
        <w:rPr>
          <w:rFonts w:hint="eastAsia" w:ascii="Arial" w:hAnsi="Arial" w:cs="Arial"/>
          <w:szCs w:val="21"/>
        </w:rPr>
        <w:t>“计价基础”中安全文明施工费可为“定额基价”、“定额人工费”或“定额人工费</w:t>
      </w:r>
      <w:r>
        <w:rPr>
          <w:rFonts w:ascii="Arial" w:hAnsi="Arial" w:cs="Arial"/>
          <w:szCs w:val="21"/>
        </w:rPr>
        <w:t>+</w:t>
      </w:r>
      <w:r>
        <w:rPr>
          <w:rFonts w:hint="eastAsia" w:ascii="Arial" w:hAnsi="Arial" w:cs="Arial"/>
          <w:szCs w:val="21"/>
        </w:rPr>
        <w:t>定额机械费”，其他项目可为“定额人工费”或“定额人工费</w:t>
      </w:r>
      <w:r>
        <w:rPr>
          <w:rFonts w:ascii="Arial" w:hAnsi="Arial" w:cs="Arial"/>
          <w:szCs w:val="21"/>
        </w:rPr>
        <w:t>+</w:t>
      </w:r>
      <w:r>
        <w:rPr>
          <w:rFonts w:hint="eastAsia" w:ascii="Arial" w:hAnsi="Arial" w:cs="Arial"/>
          <w:szCs w:val="21"/>
        </w:rPr>
        <w:t>定额机械费”。</w:t>
      </w:r>
    </w:p>
    <w:p>
      <w:pPr>
        <w:ind w:left="1035" w:leftChars="337" w:hanging="294" w:hangingChars="134"/>
        <w:rPr>
          <w:rFonts w:ascii="Arial" w:hAnsi="Arial" w:cs="Arial"/>
          <w:szCs w:val="21"/>
        </w:rPr>
      </w:pPr>
      <w:r>
        <w:rPr>
          <w:rFonts w:ascii="Arial" w:hAnsi="Arial" w:cs="Arial"/>
          <w:szCs w:val="21"/>
        </w:rPr>
        <w:t xml:space="preserve">2. </w:t>
      </w:r>
      <w:r>
        <w:rPr>
          <w:rFonts w:hint="eastAsia" w:ascii="Arial" w:hAnsi="Arial" w:cs="Arial"/>
          <w:szCs w:val="21"/>
        </w:rPr>
        <w:t>按施工方案计算的措施费，若无“计算基础”和“费率”的数值，也可只填“金额”数值，但应在表“</w:t>
      </w:r>
      <w:r>
        <w:rPr>
          <w:rFonts w:ascii="Arial" w:hAnsi="Arial" w:cs="Arial"/>
          <w:szCs w:val="21"/>
        </w:rPr>
        <w:t>4.12</w:t>
      </w:r>
      <w:r>
        <w:rPr>
          <w:rFonts w:hint="eastAsia" w:ascii="Arial" w:hAnsi="Arial" w:cs="Arial"/>
          <w:szCs w:val="21"/>
        </w:rPr>
        <w:t>措施项目报价组成分析表”中列明施工方案出处及计算方法。</w:t>
      </w:r>
    </w:p>
    <w:p>
      <w:pPr>
        <w:jc w:val="center"/>
        <w:rPr>
          <w:rFonts w:ascii="Arial" w:hAnsi="Arial" w:eastAsia="黑体" w:cs="Arial"/>
          <w:bCs/>
          <w:sz w:val="30"/>
          <w:szCs w:val="30"/>
        </w:rPr>
      </w:pPr>
      <w:r>
        <w:rPr>
          <w:rFonts w:ascii="Arial" w:hAnsi="Arial" w:cs="Arial"/>
          <w:b/>
          <w:szCs w:val="44"/>
        </w:rPr>
        <w:br w:type="page"/>
      </w:r>
      <w:r>
        <w:rPr>
          <w:rFonts w:hint="eastAsia" w:ascii="Arial" w:hAnsi="Arial" w:eastAsia="黑体" w:cs="Arial"/>
          <w:bCs/>
          <w:sz w:val="30"/>
          <w:szCs w:val="30"/>
        </w:rPr>
        <w:t>其他项目清单与计价汇总表</w:t>
      </w:r>
    </w:p>
    <w:p>
      <w:pPr>
        <w:tabs>
          <w:tab w:val="left" w:pos="720"/>
        </w:tabs>
        <w:spacing w:afterLines="50" w:line="300" w:lineRule="auto"/>
        <w:rPr>
          <w:rFonts w:ascii="Arial" w:hAnsi="Arial" w:cs="Arial"/>
        </w:rPr>
      </w:pPr>
      <w:r>
        <w:rPr>
          <w:rFonts w:hint="eastAsia" w:ascii="Arial" w:hAnsi="Arial" w:cs="Arial"/>
        </w:rPr>
        <w:t>工程名称：</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240"/>
        <w:gridCol w:w="1440"/>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00" w:type="dxa"/>
            <w:vAlign w:val="center"/>
          </w:tcPr>
          <w:p>
            <w:pPr>
              <w:tabs>
                <w:tab w:val="left" w:pos="720"/>
              </w:tabs>
              <w:spacing w:line="300" w:lineRule="auto"/>
              <w:jc w:val="center"/>
              <w:rPr>
                <w:rFonts w:ascii="Arial" w:hAnsi="Arial" w:cs="Arial"/>
              </w:rPr>
            </w:pPr>
            <w:r>
              <w:rPr>
                <w:rFonts w:hint="eastAsia" w:ascii="Arial" w:hAnsi="Arial" w:cs="Arial"/>
              </w:rPr>
              <w:t>序号</w:t>
            </w:r>
          </w:p>
        </w:tc>
        <w:tc>
          <w:tcPr>
            <w:tcW w:w="3240" w:type="dxa"/>
            <w:vAlign w:val="center"/>
          </w:tcPr>
          <w:p>
            <w:pPr>
              <w:tabs>
                <w:tab w:val="left" w:pos="720"/>
              </w:tabs>
              <w:spacing w:line="300" w:lineRule="auto"/>
              <w:jc w:val="center"/>
              <w:rPr>
                <w:rFonts w:ascii="Arial" w:hAnsi="Arial" w:cs="Arial"/>
              </w:rPr>
            </w:pPr>
            <w:r>
              <w:rPr>
                <w:rFonts w:hint="eastAsia" w:ascii="Arial" w:hAnsi="Arial" w:cs="Arial"/>
              </w:rPr>
              <w:t>子目名称</w:t>
            </w:r>
          </w:p>
        </w:tc>
        <w:tc>
          <w:tcPr>
            <w:tcW w:w="1440" w:type="dxa"/>
            <w:vAlign w:val="center"/>
          </w:tcPr>
          <w:p>
            <w:pPr>
              <w:tabs>
                <w:tab w:val="left" w:pos="720"/>
              </w:tabs>
              <w:spacing w:line="300" w:lineRule="auto"/>
              <w:jc w:val="center"/>
              <w:rPr>
                <w:rFonts w:ascii="Arial" w:hAnsi="Arial" w:cs="Arial"/>
              </w:rPr>
            </w:pPr>
            <w:r>
              <w:rPr>
                <w:rFonts w:hint="eastAsia" w:ascii="Arial" w:hAnsi="Arial" w:cs="Arial"/>
              </w:rPr>
              <w:t>计量单位</w:t>
            </w:r>
          </w:p>
        </w:tc>
        <w:tc>
          <w:tcPr>
            <w:tcW w:w="1440" w:type="dxa"/>
            <w:vAlign w:val="center"/>
          </w:tcPr>
          <w:p>
            <w:pPr>
              <w:tabs>
                <w:tab w:val="left" w:pos="720"/>
              </w:tabs>
              <w:spacing w:line="300" w:lineRule="auto"/>
              <w:jc w:val="center"/>
              <w:rPr>
                <w:rFonts w:ascii="Arial" w:hAnsi="Arial" w:cs="Arial"/>
              </w:rPr>
            </w:pPr>
            <w:r>
              <w:rPr>
                <w:rFonts w:hint="eastAsia" w:ascii="Arial" w:hAnsi="Arial" w:cs="Arial"/>
              </w:rPr>
              <w:t>金额（元）</w:t>
            </w:r>
          </w:p>
        </w:tc>
        <w:tc>
          <w:tcPr>
            <w:tcW w:w="1260" w:type="dxa"/>
            <w:vAlign w:val="center"/>
          </w:tcPr>
          <w:p>
            <w:pPr>
              <w:tabs>
                <w:tab w:val="left" w:pos="720"/>
              </w:tabs>
              <w:spacing w:line="300" w:lineRule="auto"/>
              <w:jc w:val="center"/>
              <w:rPr>
                <w:rFonts w:ascii="Arial" w:hAnsi="Arial" w:cs="Arial"/>
              </w:rPr>
            </w:pPr>
            <w:r>
              <w:rPr>
                <w:rFonts w:hint="eastAsia" w:ascii="Arial" w:hAnsi="Arial" w:cs="Aria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00" w:type="dxa"/>
            <w:vAlign w:val="center"/>
          </w:tcPr>
          <w:p>
            <w:pPr>
              <w:tabs>
                <w:tab w:val="left" w:pos="720"/>
              </w:tabs>
              <w:spacing w:line="300" w:lineRule="auto"/>
              <w:jc w:val="center"/>
              <w:rPr>
                <w:rFonts w:ascii="Arial" w:hAnsi="Arial" w:cs="Arial"/>
              </w:rPr>
            </w:pPr>
            <w:r>
              <w:rPr>
                <w:rFonts w:ascii="Arial" w:hAnsi="Arial" w:cs="Arial"/>
              </w:rPr>
              <w:t>1</w:t>
            </w:r>
          </w:p>
        </w:tc>
        <w:tc>
          <w:tcPr>
            <w:tcW w:w="3240" w:type="dxa"/>
            <w:vAlign w:val="center"/>
          </w:tcPr>
          <w:p>
            <w:pPr>
              <w:tabs>
                <w:tab w:val="left" w:pos="720"/>
              </w:tabs>
              <w:spacing w:line="300" w:lineRule="auto"/>
              <w:rPr>
                <w:rFonts w:ascii="Arial" w:hAnsi="Arial" w:cs="Arial"/>
              </w:rPr>
            </w:pPr>
            <w:r>
              <w:rPr>
                <w:rFonts w:hint="eastAsia" w:ascii="Arial" w:hAnsi="Arial" w:cs="Arial"/>
              </w:rPr>
              <w:t>暂列金额（不包括计日工）</w:t>
            </w:r>
          </w:p>
        </w:tc>
        <w:tc>
          <w:tcPr>
            <w:tcW w:w="1440" w:type="dxa"/>
            <w:vAlign w:val="center"/>
          </w:tcPr>
          <w:p>
            <w:pPr>
              <w:tabs>
                <w:tab w:val="left" w:pos="720"/>
              </w:tabs>
              <w:spacing w:line="300" w:lineRule="auto"/>
              <w:jc w:val="center"/>
              <w:rPr>
                <w:rFonts w:ascii="Arial" w:hAnsi="Arial" w:cs="Arial"/>
              </w:rPr>
            </w:pPr>
            <w:r>
              <w:rPr>
                <w:rFonts w:hint="eastAsia" w:ascii="Arial" w:hAnsi="Arial" w:cs="Arial"/>
              </w:rPr>
              <w:t>项</w:t>
            </w:r>
          </w:p>
        </w:tc>
        <w:tc>
          <w:tcPr>
            <w:tcW w:w="144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r>
              <w:rPr>
                <w:rFonts w:hint="eastAsia" w:ascii="Arial" w:hAnsi="Arial" w:cs="Arial"/>
              </w:rPr>
              <w:t>明细详见表</w:t>
            </w:r>
            <w:r>
              <w:rPr>
                <w:rFonts w:ascii="Arial" w:hAnsi="Arial" w:cs="Arial"/>
              </w:rPr>
              <w:t>4.10-1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00" w:type="dxa"/>
            <w:vAlign w:val="center"/>
          </w:tcPr>
          <w:p>
            <w:pPr>
              <w:tabs>
                <w:tab w:val="left" w:pos="720"/>
              </w:tabs>
              <w:spacing w:line="300" w:lineRule="auto"/>
              <w:jc w:val="center"/>
              <w:rPr>
                <w:rFonts w:ascii="Arial" w:hAnsi="Arial" w:cs="Arial"/>
              </w:rPr>
            </w:pPr>
            <w:r>
              <w:rPr>
                <w:rFonts w:ascii="Arial" w:hAnsi="Arial" w:cs="Arial"/>
              </w:rPr>
              <w:t>2</w:t>
            </w:r>
          </w:p>
        </w:tc>
        <w:tc>
          <w:tcPr>
            <w:tcW w:w="3240" w:type="dxa"/>
            <w:vAlign w:val="center"/>
          </w:tcPr>
          <w:p>
            <w:pPr>
              <w:tabs>
                <w:tab w:val="left" w:pos="720"/>
              </w:tabs>
              <w:spacing w:line="300" w:lineRule="auto"/>
              <w:rPr>
                <w:rFonts w:ascii="Arial" w:hAnsi="Arial" w:cs="Arial"/>
              </w:rPr>
            </w:pPr>
            <w:r>
              <w:rPr>
                <w:rFonts w:hint="eastAsia" w:ascii="Arial" w:hAnsi="Arial" w:cs="Arial"/>
              </w:rPr>
              <w:t>暂估价</w:t>
            </w:r>
          </w:p>
        </w:tc>
        <w:tc>
          <w:tcPr>
            <w:tcW w:w="1440" w:type="dxa"/>
            <w:vAlign w:val="center"/>
          </w:tcPr>
          <w:p>
            <w:pPr>
              <w:tabs>
                <w:tab w:val="left" w:pos="720"/>
              </w:tabs>
              <w:spacing w:line="300" w:lineRule="auto"/>
              <w:jc w:val="center"/>
              <w:rPr>
                <w:rFonts w:ascii="Arial" w:hAnsi="Arial" w:cs="Arial"/>
              </w:rPr>
            </w:pPr>
          </w:p>
        </w:tc>
        <w:tc>
          <w:tcPr>
            <w:tcW w:w="144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00" w:type="dxa"/>
            <w:vAlign w:val="center"/>
          </w:tcPr>
          <w:p>
            <w:pPr>
              <w:tabs>
                <w:tab w:val="left" w:pos="720"/>
              </w:tabs>
              <w:spacing w:line="300" w:lineRule="auto"/>
              <w:jc w:val="center"/>
              <w:rPr>
                <w:rFonts w:ascii="Arial" w:hAnsi="Arial" w:cs="Arial"/>
              </w:rPr>
            </w:pPr>
            <w:r>
              <w:rPr>
                <w:rFonts w:ascii="Arial" w:hAnsi="Arial" w:cs="Arial"/>
              </w:rPr>
              <w:t>2.1</w:t>
            </w:r>
          </w:p>
        </w:tc>
        <w:tc>
          <w:tcPr>
            <w:tcW w:w="3240" w:type="dxa"/>
            <w:vAlign w:val="center"/>
          </w:tcPr>
          <w:p>
            <w:pPr>
              <w:tabs>
                <w:tab w:val="left" w:pos="720"/>
              </w:tabs>
              <w:spacing w:line="300" w:lineRule="auto"/>
              <w:rPr>
                <w:rFonts w:ascii="Arial" w:hAnsi="Arial" w:cs="Arial"/>
              </w:rPr>
            </w:pPr>
            <w:r>
              <w:rPr>
                <w:rFonts w:hint="eastAsia" w:ascii="Arial" w:hAnsi="Arial" w:cs="Arial"/>
              </w:rPr>
              <w:t>材料和工程设备暂估价</w:t>
            </w:r>
          </w:p>
        </w:tc>
        <w:tc>
          <w:tcPr>
            <w:tcW w:w="1440" w:type="dxa"/>
            <w:vAlign w:val="center"/>
          </w:tcPr>
          <w:p>
            <w:pPr>
              <w:tabs>
                <w:tab w:val="left" w:pos="720"/>
              </w:tabs>
              <w:spacing w:line="300" w:lineRule="auto"/>
              <w:jc w:val="center"/>
              <w:rPr>
                <w:rFonts w:ascii="Arial" w:hAnsi="Arial" w:cs="Arial"/>
              </w:rPr>
            </w:pPr>
            <w:r>
              <w:rPr>
                <w:rFonts w:ascii="Arial" w:hAnsi="Arial" w:cs="Arial"/>
              </w:rPr>
              <w:t>—</w:t>
            </w:r>
          </w:p>
        </w:tc>
        <w:tc>
          <w:tcPr>
            <w:tcW w:w="144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r>
              <w:rPr>
                <w:rFonts w:hint="eastAsia" w:ascii="Arial" w:hAnsi="Arial" w:cs="Arial"/>
              </w:rPr>
              <w:t>明细详见表</w:t>
            </w:r>
            <w:r>
              <w:rPr>
                <w:rFonts w:ascii="Arial" w:hAnsi="Arial" w:cs="Arial"/>
              </w:rPr>
              <w:t>4.10-2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00" w:type="dxa"/>
            <w:vAlign w:val="center"/>
          </w:tcPr>
          <w:p>
            <w:pPr>
              <w:tabs>
                <w:tab w:val="left" w:pos="720"/>
              </w:tabs>
              <w:spacing w:line="300" w:lineRule="auto"/>
              <w:jc w:val="center"/>
              <w:rPr>
                <w:rFonts w:ascii="Arial" w:hAnsi="Arial" w:cs="Arial"/>
              </w:rPr>
            </w:pPr>
            <w:r>
              <w:rPr>
                <w:rFonts w:ascii="Arial" w:hAnsi="Arial" w:cs="Arial"/>
              </w:rPr>
              <w:t>2.2</w:t>
            </w:r>
          </w:p>
        </w:tc>
        <w:tc>
          <w:tcPr>
            <w:tcW w:w="3240" w:type="dxa"/>
            <w:vAlign w:val="center"/>
          </w:tcPr>
          <w:p>
            <w:pPr>
              <w:tabs>
                <w:tab w:val="left" w:pos="720"/>
              </w:tabs>
              <w:spacing w:line="300" w:lineRule="auto"/>
              <w:rPr>
                <w:rFonts w:ascii="Arial" w:hAnsi="Arial" w:cs="Arial"/>
              </w:rPr>
            </w:pPr>
            <w:r>
              <w:rPr>
                <w:rFonts w:hint="eastAsia" w:ascii="Arial" w:hAnsi="Arial" w:cs="Arial"/>
              </w:rPr>
              <w:t>专业工程暂估价</w:t>
            </w:r>
          </w:p>
        </w:tc>
        <w:tc>
          <w:tcPr>
            <w:tcW w:w="1440" w:type="dxa"/>
            <w:vAlign w:val="center"/>
          </w:tcPr>
          <w:p>
            <w:pPr>
              <w:tabs>
                <w:tab w:val="left" w:pos="720"/>
              </w:tabs>
              <w:spacing w:line="300" w:lineRule="auto"/>
              <w:jc w:val="center"/>
              <w:rPr>
                <w:rFonts w:ascii="Arial" w:hAnsi="Arial" w:cs="Arial"/>
              </w:rPr>
            </w:pPr>
          </w:p>
        </w:tc>
        <w:tc>
          <w:tcPr>
            <w:tcW w:w="144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r>
              <w:rPr>
                <w:rFonts w:hint="eastAsia" w:ascii="Arial" w:hAnsi="Arial" w:cs="Arial"/>
              </w:rPr>
              <w:t>明细详见表</w:t>
            </w:r>
            <w:r>
              <w:rPr>
                <w:rFonts w:ascii="Arial" w:hAnsi="Arial" w:cs="Arial"/>
              </w:rPr>
              <w:t>4.10-3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00" w:type="dxa"/>
            <w:vAlign w:val="center"/>
          </w:tcPr>
          <w:p>
            <w:pPr>
              <w:tabs>
                <w:tab w:val="left" w:pos="720"/>
              </w:tabs>
              <w:spacing w:line="300" w:lineRule="auto"/>
              <w:jc w:val="center"/>
              <w:rPr>
                <w:rFonts w:ascii="Arial" w:hAnsi="Arial" w:cs="Arial"/>
              </w:rPr>
            </w:pPr>
            <w:r>
              <w:rPr>
                <w:rFonts w:ascii="Arial" w:hAnsi="Arial" w:cs="Arial"/>
              </w:rPr>
              <w:t>3</w:t>
            </w:r>
          </w:p>
        </w:tc>
        <w:tc>
          <w:tcPr>
            <w:tcW w:w="3240" w:type="dxa"/>
            <w:vAlign w:val="center"/>
          </w:tcPr>
          <w:p>
            <w:pPr>
              <w:tabs>
                <w:tab w:val="left" w:pos="720"/>
              </w:tabs>
              <w:spacing w:line="300" w:lineRule="auto"/>
              <w:rPr>
                <w:rFonts w:ascii="Arial" w:hAnsi="Arial" w:cs="Arial"/>
              </w:rPr>
            </w:pPr>
            <w:r>
              <w:rPr>
                <w:rFonts w:hint="eastAsia" w:ascii="Arial" w:hAnsi="Arial" w:cs="Arial"/>
              </w:rPr>
              <w:t>计日工</w:t>
            </w:r>
          </w:p>
        </w:tc>
        <w:tc>
          <w:tcPr>
            <w:tcW w:w="1440" w:type="dxa"/>
            <w:vAlign w:val="center"/>
          </w:tcPr>
          <w:p>
            <w:pPr>
              <w:tabs>
                <w:tab w:val="left" w:pos="720"/>
              </w:tabs>
              <w:spacing w:line="300" w:lineRule="auto"/>
              <w:jc w:val="center"/>
              <w:rPr>
                <w:rFonts w:ascii="Arial" w:hAnsi="Arial" w:cs="Arial"/>
              </w:rPr>
            </w:pPr>
          </w:p>
        </w:tc>
        <w:tc>
          <w:tcPr>
            <w:tcW w:w="144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r>
              <w:rPr>
                <w:rFonts w:hint="eastAsia" w:ascii="Arial" w:hAnsi="Arial" w:cs="Arial"/>
              </w:rPr>
              <w:t>明细详见表</w:t>
            </w:r>
            <w:r>
              <w:rPr>
                <w:rFonts w:ascii="Arial" w:hAnsi="Arial" w:cs="Arial"/>
              </w:rPr>
              <w:t>4.10-4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00" w:type="dxa"/>
            <w:vAlign w:val="center"/>
          </w:tcPr>
          <w:p>
            <w:pPr>
              <w:tabs>
                <w:tab w:val="left" w:pos="720"/>
              </w:tabs>
              <w:spacing w:line="300" w:lineRule="auto"/>
              <w:jc w:val="center"/>
              <w:rPr>
                <w:rFonts w:ascii="Arial" w:hAnsi="Arial" w:cs="Arial"/>
              </w:rPr>
            </w:pPr>
            <w:r>
              <w:rPr>
                <w:rFonts w:ascii="Arial" w:hAnsi="Arial" w:cs="Arial"/>
              </w:rPr>
              <w:t>4</w:t>
            </w:r>
          </w:p>
        </w:tc>
        <w:tc>
          <w:tcPr>
            <w:tcW w:w="3240" w:type="dxa"/>
            <w:vAlign w:val="center"/>
          </w:tcPr>
          <w:p>
            <w:pPr>
              <w:tabs>
                <w:tab w:val="left" w:pos="720"/>
              </w:tabs>
              <w:spacing w:line="300" w:lineRule="auto"/>
              <w:rPr>
                <w:rFonts w:ascii="Arial" w:hAnsi="Arial" w:cs="Arial"/>
              </w:rPr>
            </w:pPr>
            <w:r>
              <w:rPr>
                <w:rFonts w:hint="eastAsia" w:ascii="Arial" w:hAnsi="Arial" w:cs="Arial"/>
              </w:rPr>
              <w:t>总承包服务费</w:t>
            </w:r>
          </w:p>
        </w:tc>
        <w:tc>
          <w:tcPr>
            <w:tcW w:w="1440" w:type="dxa"/>
            <w:vAlign w:val="center"/>
          </w:tcPr>
          <w:p>
            <w:pPr>
              <w:tabs>
                <w:tab w:val="left" w:pos="720"/>
              </w:tabs>
              <w:spacing w:line="300" w:lineRule="auto"/>
              <w:jc w:val="center"/>
              <w:rPr>
                <w:rFonts w:ascii="Arial" w:hAnsi="Arial" w:cs="Arial"/>
              </w:rPr>
            </w:pPr>
          </w:p>
        </w:tc>
        <w:tc>
          <w:tcPr>
            <w:tcW w:w="144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r>
              <w:rPr>
                <w:rFonts w:hint="eastAsia" w:ascii="Arial" w:hAnsi="Arial" w:cs="Arial"/>
              </w:rPr>
              <w:t>明细详见表</w:t>
            </w:r>
            <w:r>
              <w:rPr>
                <w:rFonts w:ascii="Arial" w:hAnsi="Arial" w:cs="Arial"/>
              </w:rPr>
              <w:t>4.10-5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00" w:type="dxa"/>
            <w:vAlign w:val="center"/>
          </w:tcPr>
          <w:p>
            <w:pPr>
              <w:tabs>
                <w:tab w:val="left" w:pos="720"/>
              </w:tabs>
              <w:spacing w:line="300" w:lineRule="auto"/>
              <w:jc w:val="center"/>
              <w:rPr>
                <w:rFonts w:ascii="Arial" w:hAnsi="Arial" w:cs="Arial"/>
              </w:rPr>
            </w:pPr>
          </w:p>
        </w:tc>
        <w:tc>
          <w:tcPr>
            <w:tcW w:w="3240" w:type="dxa"/>
            <w:vAlign w:val="center"/>
          </w:tcPr>
          <w:p>
            <w:pPr>
              <w:tabs>
                <w:tab w:val="left" w:pos="720"/>
              </w:tabs>
              <w:spacing w:line="300" w:lineRule="auto"/>
              <w:rPr>
                <w:rFonts w:ascii="Arial" w:hAnsi="Arial" w:cs="Arial"/>
              </w:rPr>
            </w:pPr>
          </w:p>
        </w:tc>
        <w:tc>
          <w:tcPr>
            <w:tcW w:w="1440" w:type="dxa"/>
            <w:vAlign w:val="center"/>
          </w:tcPr>
          <w:p>
            <w:pPr>
              <w:tabs>
                <w:tab w:val="left" w:pos="720"/>
              </w:tabs>
              <w:spacing w:line="300" w:lineRule="auto"/>
              <w:jc w:val="center"/>
              <w:rPr>
                <w:rFonts w:ascii="Arial" w:hAnsi="Arial" w:cs="Arial"/>
              </w:rPr>
            </w:pPr>
          </w:p>
        </w:tc>
        <w:tc>
          <w:tcPr>
            <w:tcW w:w="144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00" w:type="dxa"/>
            <w:vAlign w:val="center"/>
          </w:tcPr>
          <w:p>
            <w:pPr>
              <w:tabs>
                <w:tab w:val="left" w:pos="720"/>
              </w:tabs>
              <w:spacing w:line="300" w:lineRule="auto"/>
              <w:jc w:val="center"/>
              <w:rPr>
                <w:rFonts w:ascii="Arial" w:hAnsi="Arial" w:cs="Arial"/>
              </w:rPr>
            </w:pPr>
          </w:p>
        </w:tc>
        <w:tc>
          <w:tcPr>
            <w:tcW w:w="3240" w:type="dxa"/>
            <w:vAlign w:val="center"/>
          </w:tcPr>
          <w:p>
            <w:pPr>
              <w:tabs>
                <w:tab w:val="left" w:pos="720"/>
              </w:tabs>
              <w:spacing w:line="300" w:lineRule="auto"/>
              <w:jc w:val="center"/>
              <w:rPr>
                <w:rFonts w:ascii="Arial" w:hAnsi="Arial" w:cs="Arial"/>
              </w:rPr>
            </w:pPr>
          </w:p>
        </w:tc>
        <w:tc>
          <w:tcPr>
            <w:tcW w:w="1440" w:type="dxa"/>
            <w:vAlign w:val="center"/>
          </w:tcPr>
          <w:p>
            <w:pPr>
              <w:tabs>
                <w:tab w:val="left" w:pos="720"/>
              </w:tabs>
              <w:spacing w:line="300" w:lineRule="auto"/>
              <w:jc w:val="center"/>
              <w:rPr>
                <w:rFonts w:ascii="Arial" w:hAnsi="Arial" w:cs="Arial"/>
              </w:rPr>
            </w:pPr>
          </w:p>
        </w:tc>
        <w:tc>
          <w:tcPr>
            <w:tcW w:w="144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00" w:type="dxa"/>
            <w:vAlign w:val="center"/>
          </w:tcPr>
          <w:p>
            <w:pPr>
              <w:tabs>
                <w:tab w:val="left" w:pos="720"/>
              </w:tabs>
              <w:spacing w:line="300" w:lineRule="auto"/>
              <w:jc w:val="center"/>
              <w:rPr>
                <w:rFonts w:ascii="Arial" w:hAnsi="Arial" w:cs="Arial"/>
              </w:rPr>
            </w:pPr>
          </w:p>
        </w:tc>
        <w:tc>
          <w:tcPr>
            <w:tcW w:w="3240" w:type="dxa"/>
            <w:vAlign w:val="center"/>
          </w:tcPr>
          <w:p>
            <w:pPr>
              <w:tabs>
                <w:tab w:val="left" w:pos="720"/>
              </w:tabs>
              <w:spacing w:line="300" w:lineRule="auto"/>
              <w:jc w:val="center"/>
              <w:rPr>
                <w:rFonts w:ascii="Arial" w:hAnsi="Arial" w:cs="Arial"/>
              </w:rPr>
            </w:pPr>
          </w:p>
        </w:tc>
        <w:tc>
          <w:tcPr>
            <w:tcW w:w="1440" w:type="dxa"/>
            <w:vAlign w:val="center"/>
          </w:tcPr>
          <w:p>
            <w:pPr>
              <w:tabs>
                <w:tab w:val="left" w:pos="720"/>
              </w:tabs>
              <w:spacing w:line="300" w:lineRule="auto"/>
              <w:jc w:val="center"/>
              <w:rPr>
                <w:rFonts w:ascii="Arial" w:hAnsi="Arial" w:cs="Arial"/>
              </w:rPr>
            </w:pPr>
          </w:p>
        </w:tc>
        <w:tc>
          <w:tcPr>
            <w:tcW w:w="144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5580" w:type="dxa"/>
            <w:gridSpan w:val="3"/>
            <w:vAlign w:val="center"/>
          </w:tcPr>
          <w:p>
            <w:pPr>
              <w:tabs>
                <w:tab w:val="left" w:pos="720"/>
              </w:tabs>
              <w:spacing w:line="300" w:lineRule="auto"/>
              <w:jc w:val="center"/>
              <w:rPr>
                <w:rFonts w:ascii="Arial" w:hAnsi="Arial" w:cs="Arial"/>
              </w:rPr>
            </w:pPr>
            <w:r>
              <w:rPr>
                <w:rFonts w:hint="eastAsia" w:ascii="Arial" w:hAnsi="Arial" w:cs="Arial"/>
              </w:rPr>
              <w:t>合计</w:t>
            </w:r>
          </w:p>
        </w:tc>
        <w:tc>
          <w:tcPr>
            <w:tcW w:w="1440" w:type="dxa"/>
            <w:vAlign w:val="center"/>
          </w:tcPr>
          <w:p>
            <w:pPr>
              <w:tabs>
                <w:tab w:val="left" w:pos="720"/>
              </w:tabs>
              <w:spacing w:line="300" w:lineRule="auto"/>
              <w:jc w:val="center"/>
              <w:rPr>
                <w:rFonts w:ascii="Arial" w:hAnsi="Arial" w:cs="Arial"/>
              </w:rPr>
            </w:pPr>
          </w:p>
        </w:tc>
        <w:tc>
          <w:tcPr>
            <w:tcW w:w="1260" w:type="dxa"/>
            <w:vAlign w:val="center"/>
          </w:tcPr>
          <w:p>
            <w:pPr>
              <w:tabs>
                <w:tab w:val="left" w:pos="720"/>
              </w:tabs>
              <w:spacing w:line="300" w:lineRule="auto"/>
              <w:jc w:val="center"/>
              <w:rPr>
                <w:rFonts w:ascii="Arial" w:hAnsi="Arial" w:cs="Arial"/>
              </w:rPr>
            </w:pPr>
            <w:r>
              <w:rPr>
                <w:rFonts w:ascii="Arial" w:hAnsi="Arial" w:cs="Arial"/>
              </w:rPr>
              <w:t>--</w:t>
            </w:r>
          </w:p>
        </w:tc>
      </w:tr>
    </w:tbl>
    <w:p>
      <w:pPr>
        <w:tabs>
          <w:tab w:val="left" w:pos="720"/>
        </w:tabs>
        <w:spacing w:afterLines="50" w:line="300" w:lineRule="auto"/>
        <w:rPr>
          <w:rFonts w:ascii="Arial" w:hAnsi="Arial" w:cs="Arial"/>
        </w:rPr>
      </w:pPr>
      <w:r>
        <w:rPr>
          <w:rFonts w:hint="eastAsia" w:ascii="黑体" w:hAnsi="Arial" w:eastAsia="黑体" w:cs="Arial"/>
          <w:szCs w:val="21"/>
        </w:rPr>
        <w:t>注：</w:t>
      </w:r>
      <w:r>
        <w:rPr>
          <w:rFonts w:hint="eastAsia" w:ascii="Arial" w:hAnsi="Arial" w:cs="Arial"/>
          <w:szCs w:val="21"/>
        </w:rPr>
        <w:t>材料和工程设备暂估单价进入清单子目综合单价，此处不汇总。</w:t>
      </w:r>
    </w:p>
    <w:p>
      <w:pPr>
        <w:jc w:val="center"/>
        <w:rPr>
          <w:rFonts w:ascii="Arial" w:hAnsi="Arial" w:eastAsia="黑体" w:cs="Arial"/>
          <w:bCs/>
          <w:sz w:val="30"/>
          <w:szCs w:val="30"/>
        </w:rPr>
      </w:pPr>
      <w:r>
        <w:rPr>
          <w:rFonts w:cs="Arial"/>
          <w:b/>
          <w:szCs w:val="44"/>
        </w:rPr>
        <w:br w:type="page"/>
      </w:r>
      <w:r>
        <w:rPr>
          <w:rFonts w:hint="eastAsia" w:ascii="Arial" w:hAnsi="Arial" w:eastAsia="黑体" w:cs="Arial"/>
          <w:bCs/>
          <w:sz w:val="30"/>
          <w:szCs w:val="30"/>
        </w:rPr>
        <w:t>暂列金额明细表</w:t>
      </w:r>
    </w:p>
    <w:p>
      <w:pPr>
        <w:tabs>
          <w:tab w:val="left" w:pos="720"/>
        </w:tabs>
        <w:spacing w:afterLines="50" w:line="300" w:lineRule="auto"/>
        <w:rPr>
          <w:rFonts w:ascii="Arial" w:hAnsi="Arial" w:cs="Arial"/>
        </w:rPr>
      </w:pPr>
    </w:p>
    <w:p>
      <w:pPr>
        <w:tabs>
          <w:tab w:val="left" w:pos="720"/>
        </w:tabs>
        <w:spacing w:afterLines="50" w:line="300" w:lineRule="auto"/>
        <w:rPr>
          <w:rFonts w:ascii="Arial" w:hAnsi="Arial" w:cs="Arial"/>
        </w:rPr>
      </w:pPr>
      <w:r>
        <w:rPr>
          <w:rFonts w:hint="eastAsia" w:ascii="Arial" w:hAnsi="Arial" w:cs="Arial"/>
        </w:rPr>
        <w:t>工程名称：</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880"/>
        <w:gridCol w:w="1356"/>
        <w:gridCol w:w="1344"/>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00" w:type="dxa"/>
            <w:vAlign w:val="center"/>
          </w:tcPr>
          <w:p>
            <w:pPr>
              <w:tabs>
                <w:tab w:val="left" w:pos="720"/>
              </w:tabs>
              <w:spacing w:line="300" w:lineRule="auto"/>
              <w:jc w:val="center"/>
              <w:rPr>
                <w:rFonts w:ascii="Arial" w:hAnsi="Arial" w:cs="Arial"/>
              </w:rPr>
            </w:pPr>
            <w:r>
              <w:rPr>
                <w:rFonts w:hint="eastAsia" w:ascii="Arial" w:hAnsi="Arial" w:cs="Arial"/>
              </w:rPr>
              <w:t>序号</w:t>
            </w:r>
          </w:p>
        </w:tc>
        <w:tc>
          <w:tcPr>
            <w:tcW w:w="2880" w:type="dxa"/>
            <w:vAlign w:val="center"/>
          </w:tcPr>
          <w:p>
            <w:pPr>
              <w:tabs>
                <w:tab w:val="left" w:pos="720"/>
              </w:tabs>
              <w:spacing w:line="300" w:lineRule="auto"/>
              <w:jc w:val="center"/>
              <w:rPr>
                <w:rFonts w:ascii="Arial" w:hAnsi="Arial" w:cs="Arial"/>
              </w:rPr>
            </w:pPr>
            <w:r>
              <w:rPr>
                <w:rFonts w:hint="eastAsia" w:ascii="Arial" w:hAnsi="Arial" w:cs="Arial"/>
              </w:rPr>
              <w:t>子目名称</w:t>
            </w:r>
          </w:p>
        </w:tc>
        <w:tc>
          <w:tcPr>
            <w:tcW w:w="1356" w:type="dxa"/>
            <w:vAlign w:val="center"/>
          </w:tcPr>
          <w:p>
            <w:pPr>
              <w:tabs>
                <w:tab w:val="left" w:pos="720"/>
              </w:tabs>
              <w:spacing w:line="300" w:lineRule="auto"/>
              <w:jc w:val="center"/>
              <w:rPr>
                <w:rFonts w:ascii="Arial" w:hAnsi="Arial" w:cs="Arial"/>
              </w:rPr>
            </w:pPr>
            <w:r>
              <w:rPr>
                <w:rFonts w:hint="eastAsia" w:ascii="Arial" w:hAnsi="Arial" w:cs="Arial"/>
              </w:rPr>
              <w:t>计量单位</w:t>
            </w:r>
          </w:p>
        </w:tc>
        <w:tc>
          <w:tcPr>
            <w:tcW w:w="1344" w:type="dxa"/>
            <w:vAlign w:val="center"/>
          </w:tcPr>
          <w:p>
            <w:pPr>
              <w:tabs>
                <w:tab w:val="left" w:pos="720"/>
              </w:tabs>
              <w:spacing w:line="300" w:lineRule="auto"/>
              <w:jc w:val="center"/>
              <w:rPr>
                <w:rFonts w:ascii="Arial" w:hAnsi="Arial" w:cs="Arial"/>
              </w:rPr>
            </w:pPr>
            <w:r>
              <w:rPr>
                <w:rFonts w:hint="eastAsia" w:ascii="Arial" w:hAnsi="Arial" w:cs="Arial"/>
              </w:rPr>
              <w:t>暂列金额（元）</w:t>
            </w:r>
          </w:p>
        </w:tc>
        <w:tc>
          <w:tcPr>
            <w:tcW w:w="1934" w:type="dxa"/>
            <w:vAlign w:val="center"/>
          </w:tcPr>
          <w:p>
            <w:pPr>
              <w:tabs>
                <w:tab w:val="left" w:pos="720"/>
              </w:tabs>
              <w:spacing w:line="300" w:lineRule="auto"/>
              <w:jc w:val="center"/>
              <w:rPr>
                <w:rFonts w:ascii="Arial" w:hAnsi="Arial" w:cs="Arial"/>
              </w:rPr>
            </w:pPr>
            <w:r>
              <w:rPr>
                <w:rFonts w:hint="eastAsia" w:ascii="Arial" w:hAnsi="Arial" w:cs="Aria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00" w:type="dxa"/>
            <w:vAlign w:val="center"/>
          </w:tcPr>
          <w:p>
            <w:pPr>
              <w:tabs>
                <w:tab w:val="left" w:pos="720"/>
              </w:tabs>
              <w:spacing w:line="300" w:lineRule="auto"/>
              <w:jc w:val="center"/>
              <w:rPr>
                <w:rFonts w:ascii="Arial" w:hAnsi="Arial" w:cs="Arial"/>
              </w:rPr>
            </w:pPr>
          </w:p>
        </w:tc>
        <w:tc>
          <w:tcPr>
            <w:tcW w:w="2880" w:type="dxa"/>
            <w:vAlign w:val="center"/>
          </w:tcPr>
          <w:p>
            <w:pPr>
              <w:tabs>
                <w:tab w:val="left" w:pos="720"/>
              </w:tabs>
              <w:spacing w:line="300" w:lineRule="auto"/>
              <w:jc w:val="center"/>
              <w:rPr>
                <w:rFonts w:ascii="Arial" w:hAnsi="Arial" w:cs="Arial"/>
              </w:rPr>
            </w:pPr>
          </w:p>
        </w:tc>
        <w:tc>
          <w:tcPr>
            <w:tcW w:w="1356" w:type="dxa"/>
            <w:vAlign w:val="center"/>
          </w:tcPr>
          <w:p>
            <w:pPr>
              <w:tabs>
                <w:tab w:val="left" w:pos="720"/>
              </w:tabs>
              <w:spacing w:line="300" w:lineRule="auto"/>
              <w:jc w:val="center"/>
              <w:rPr>
                <w:rFonts w:ascii="Arial" w:hAnsi="Arial" w:cs="Arial"/>
              </w:rPr>
            </w:pPr>
          </w:p>
        </w:tc>
        <w:tc>
          <w:tcPr>
            <w:tcW w:w="1344" w:type="dxa"/>
            <w:vAlign w:val="center"/>
          </w:tcPr>
          <w:p>
            <w:pPr>
              <w:tabs>
                <w:tab w:val="left" w:pos="720"/>
              </w:tabs>
              <w:spacing w:line="300" w:lineRule="auto"/>
              <w:jc w:val="center"/>
              <w:rPr>
                <w:rFonts w:ascii="Arial" w:hAnsi="Arial" w:cs="Arial"/>
              </w:rPr>
            </w:pPr>
          </w:p>
        </w:tc>
        <w:tc>
          <w:tcPr>
            <w:tcW w:w="1934"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00" w:type="dxa"/>
            <w:vAlign w:val="center"/>
          </w:tcPr>
          <w:p>
            <w:pPr>
              <w:tabs>
                <w:tab w:val="left" w:pos="720"/>
              </w:tabs>
              <w:spacing w:line="300" w:lineRule="auto"/>
              <w:jc w:val="center"/>
              <w:rPr>
                <w:rFonts w:ascii="Arial" w:hAnsi="Arial" w:cs="Arial"/>
              </w:rPr>
            </w:pPr>
          </w:p>
        </w:tc>
        <w:tc>
          <w:tcPr>
            <w:tcW w:w="2880" w:type="dxa"/>
            <w:vAlign w:val="center"/>
          </w:tcPr>
          <w:p>
            <w:pPr>
              <w:tabs>
                <w:tab w:val="left" w:pos="720"/>
              </w:tabs>
              <w:spacing w:line="300" w:lineRule="auto"/>
              <w:jc w:val="center"/>
              <w:rPr>
                <w:rFonts w:ascii="Arial" w:hAnsi="Arial" w:cs="Arial"/>
              </w:rPr>
            </w:pPr>
          </w:p>
        </w:tc>
        <w:tc>
          <w:tcPr>
            <w:tcW w:w="1356" w:type="dxa"/>
            <w:vAlign w:val="center"/>
          </w:tcPr>
          <w:p>
            <w:pPr>
              <w:tabs>
                <w:tab w:val="left" w:pos="720"/>
              </w:tabs>
              <w:spacing w:line="300" w:lineRule="auto"/>
              <w:jc w:val="center"/>
              <w:rPr>
                <w:rFonts w:ascii="Arial" w:hAnsi="Arial" w:cs="Arial"/>
              </w:rPr>
            </w:pPr>
          </w:p>
        </w:tc>
        <w:tc>
          <w:tcPr>
            <w:tcW w:w="1344" w:type="dxa"/>
            <w:vAlign w:val="center"/>
          </w:tcPr>
          <w:p>
            <w:pPr>
              <w:tabs>
                <w:tab w:val="left" w:pos="720"/>
              </w:tabs>
              <w:spacing w:line="300" w:lineRule="auto"/>
              <w:jc w:val="center"/>
              <w:rPr>
                <w:rFonts w:ascii="Arial" w:hAnsi="Arial" w:cs="Arial"/>
              </w:rPr>
            </w:pPr>
          </w:p>
        </w:tc>
        <w:tc>
          <w:tcPr>
            <w:tcW w:w="1934"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00" w:type="dxa"/>
            <w:vAlign w:val="center"/>
          </w:tcPr>
          <w:p>
            <w:pPr>
              <w:tabs>
                <w:tab w:val="left" w:pos="720"/>
              </w:tabs>
              <w:spacing w:line="300" w:lineRule="auto"/>
              <w:jc w:val="center"/>
              <w:rPr>
                <w:rFonts w:ascii="Arial" w:hAnsi="Arial" w:cs="Arial"/>
              </w:rPr>
            </w:pPr>
          </w:p>
        </w:tc>
        <w:tc>
          <w:tcPr>
            <w:tcW w:w="2880" w:type="dxa"/>
            <w:vAlign w:val="center"/>
          </w:tcPr>
          <w:p>
            <w:pPr>
              <w:tabs>
                <w:tab w:val="left" w:pos="720"/>
              </w:tabs>
              <w:spacing w:line="300" w:lineRule="auto"/>
              <w:jc w:val="center"/>
              <w:rPr>
                <w:rFonts w:ascii="Arial" w:hAnsi="Arial" w:cs="Arial"/>
              </w:rPr>
            </w:pPr>
          </w:p>
        </w:tc>
        <w:tc>
          <w:tcPr>
            <w:tcW w:w="1356" w:type="dxa"/>
            <w:vAlign w:val="center"/>
          </w:tcPr>
          <w:p>
            <w:pPr>
              <w:tabs>
                <w:tab w:val="left" w:pos="720"/>
              </w:tabs>
              <w:spacing w:line="300" w:lineRule="auto"/>
              <w:jc w:val="center"/>
              <w:rPr>
                <w:rFonts w:ascii="Arial" w:hAnsi="Arial" w:cs="Arial"/>
              </w:rPr>
            </w:pPr>
          </w:p>
        </w:tc>
        <w:tc>
          <w:tcPr>
            <w:tcW w:w="1344" w:type="dxa"/>
            <w:vAlign w:val="center"/>
          </w:tcPr>
          <w:p>
            <w:pPr>
              <w:tabs>
                <w:tab w:val="left" w:pos="720"/>
              </w:tabs>
              <w:spacing w:line="300" w:lineRule="auto"/>
              <w:jc w:val="center"/>
              <w:rPr>
                <w:rFonts w:ascii="Arial" w:hAnsi="Arial" w:cs="Arial"/>
              </w:rPr>
            </w:pPr>
          </w:p>
        </w:tc>
        <w:tc>
          <w:tcPr>
            <w:tcW w:w="1934"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00" w:type="dxa"/>
            <w:vAlign w:val="center"/>
          </w:tcPr>
          <w:p>
            <w:pPr>
              <w:tabs>
                <w:tab w:val="left" w:pos="720"/>
              </w:tabs>
              <w:spacing w:line="300" w:lineRule="auto"/>
              <w:jc w:val="center"/>
              <w:rPr>
                <w:rFonts w:ascii="Arial" w:hAnsi="Arial" w:cs="Arial"/>
              </w:rPr>
            </w:pPr>
          </w:p>
        </w:tc>
        <w:tc>
          <w:tcPr>
            <w:tcW w:w="2880" w:type="dxa"/>
            <w:vAlign w:val="center"/>
          </w:tcPr>
          <w:p>
            <w:pPr>
              <w:tabs>
                <w:tab w:val="left" w:pos="720"/>
              </w:tabs>
              <w:spacing w:line="300" w:lineRule="auto"/>
              <w:jc w:val="center"/>
              <w:rPr>
                <w:rFonts w:ascii="Arial" w:hAnsi="Arial" w:cs="Arial"/>
              </w:rPr>
            </w:pPr>
          </w:p>
        </w:tc>
        <w:tc>
          <w:tcPr>
            <w:tcW w:w="1356" w:type="dxa"/>
            <w:vAlign w:val="center"/>
          </w:tcPr>
          <w:p>
            <w:pPr>
              <w:tabs>
                <w:tab w:val="left" w:pos="720"/>
              </w:tabs>
              <w:spacing w:line="300" w:lineRule="auto"/>
              <w:jc w:val="center"/>
              <w:rPr>
                <w:rFonts w:ascii="Arial" w:hAnsi="Arial" w:cs="Arial"/>
              </w:rPr>
            </w:pPr>
          </w:p>
        </w:tc>
        <w:tc>
          <w:tcPr>
            <w:tcW w:w="1344" w:type="dxa"/>
            <w:vAlign w:val="center"/>
          </w:tcPr>
          <w:p>
            <w:pPr>
              <w:tabs>
                <w:tab w:val="left" w:pos="720"/>
              </w:tabs>
              <w:spacing w:line="300" w:lineRule="auto"/>
              <w:jc w:val="center"/>
              <w:rPr>
                <w:rFonts w:ascii="Arial" w:hAnsi="Arial" w:cs="Arial"/>
              </w:rPr>
            </w:pPr>
          </w:p>
        </w:tc>
        <w:tc>
          <w:tcPr>
            <w:tcW w:w="1934"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00" w:type="dxa"/>
            <w:vAlign w:val="center"/>
          </w:tcPr>
          <w:p>
            <w:pPr>
              <w:tabs>
                <w:tab w:val="left" w:pos="720"/>
              </w:tabs>
              <w:spacing w:line="300" w:lineRule="auto"/>
              <w:jc w:val="center"/>
              <w:rPr>
                <w:rFonts w:ascii="Arial" w:hAnsi="Arial" w:cs="Arial"/>
              </w:rPr>
            </w:pPr>
          </w:p>
        </w:tc>
        <w:tc>
          <w:tcPr>
            <w:tcW w:w="2880" w:type="dxa"/>
            <w:vAlign w:val="center"/>
          </w:tcPr>
          <w:p>
            <w:pPr>
              <w:tabs>
                <w:tab w:val="left" w:pos="720"/>
              </w:tabs>
              <w:spacing w:line="300" w:lineRule="auto"/>
              <w:jc w:val="center"/>
              <w:rPr>
                <w:rFonts w:ascii="Arial" w:hAnsi="Arial" w:cs="Arial"/>
              </w:rPr>
            </w:pPr>
          </w:p>
        </w:tc>
        <w:tc>
          <w:tcPr>
            <w:tcW w:w="1356" w:type="dxa"/>
            <w:vAlign w:val="center"/>
          </w:tcPr>
          <w:p>
            <w:pPr>
              <w:tabs>
                <w:tab w:val="left" w:pos="720"/>
              </w:tabs>
              <w:spacing w:line="300" w:lineRule="auto"/>
              <w:jc w:val="center"/>
              <w:rPr>
                <w:rFonts w:ascii="Arial" w:hAnsi="Arial" w:cs="Arial"/>
              </w:rPr>
            </w:pPr>
          </w:p>
        </w:tc>
        <w:tc>
          <w:tcPr>
            <w:tcW w:w="1344" w:type="dxa"/>
            <w:vAlign w:val="center"/>
          </w:tcPr>
          <w:p>
            <w:pPr>
              <w:tabs>
                <w:tab w:val="left" w:pos="720"/>
              </w:tabs>
              <w:spacing w:line="300" w:lineRule="auto"/>
              <w:jc w:val="center"/>
              <w:rPr>
                <w:rFonts w:ascii="Arial" w:hAnsi="Arial" w:cs="Arial"/>
              </w:rPr>
            </w:pPr>
          </w:p>
        </w:tc>
        <w:tc>
          <w:tcPr>
            <w:tcW w:w="1934"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00" w:type="dxa"/>
            <w:vAlign w:val="center"/>
          </w:tcPr>
          <w:p>
            <w:pPr>
              <w:tabs>
                <w:tab w:val="left" w:pos="720"/>
              </w:tabs>
              <w:spacing w:line="300" w:lineRule="auto"/>
              <w:jc w:val="center"/>
              <w:rPr>
                <w:rFonts w:ascii="Arial" w:hAnsi="Arial" w:cs="Arial"/>
              </w:rPr>
            </w:pPr>
          </w:p>
        </w:tc>
        <w:tc>
          <w:tcPr>
            <w:tcW w:w="2880" w:type="dxa"/>
            <w:vAlign w:val="center"/>
          </w:tcPr>
          <w:p>
            <w:pPr>
              <w:tabs>
                <w:tab w:val="left" w:pos="720"/>
              </w:tabs>
              <w:spacing w:line="300" w:lineRule="auto"/>
              <w:jc w:val="center"/>
              <w:rPr>
                <w:rFonts w:ascii="Arial" w:hAnsi="Arial" w:cs="Arial"/>
              </w:rPr>
            </w:pPr>
          </w:p>
        </w:tc>
        <w:tc>
          <w:tcPr>
            <w:tcW w:w="1356" w:type="dxa"/>
            <w:vAlign w:val="center"/>
          </w:tcPr>
          <w:p>
            <w:pPr>
              <w:tabs>
                <w:tab w:val="left" w:pos="720"/>
              </w:tabs>
              <w:spacing w:line="300" w:lineRule="auto"/>
              <w:jc w:val="center"/>
              <w:rPr>
                <w:rFonts w:ascii="Arial" w:hAnsi="Arial" w:cs="Arial"/>
              </w:rPr>
            </w:pPr>
          </w:p>
        </w:tc>
        <w:tc>
          <w:tcPr>
            <w:tcW w:w="1344" w:type="dxa"/>
            <w:vAlign w:val="center"/>
          </w:tcPr>
          <w:p>
            <w:pPr>
              <w:tabs>
                <w:tab w:val="left" w:pos="720"/>
              </w:tabs>
              <w:spacing w:line="300" w:lineRule="auto"/>
              <w:jc w:val="center"/>
              <w:rPr>
                <w:rFonts w:ascii="Arial" w:hAnsi="Arial" w:cs="Arial"/>
              </w:rPr>
            </w:pPr>
          </w:p>
        </w:tc>
        <w:tc>
          <w:tcPr>
            <w:tcW w:w="1934"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00" w:type="dxa"/>
            <w:vAlign w:val="center"/>
          </w:tcPr>
          <w:p>
            <w:pPr>
              <w:tabs>
                <w:tab w:val="left" w:pos="720"/>
              </w:tabs>
              <w:spacing w:line="300" w:lineRule="auto"/>
              <w:jc w:val="center"/>
              <w:rPr>
                <w:rFonts w:ascii="Arial" w:hAnsi="Arial" w:cs="Arial"/>
              </w:rPr>
            </w:pPr>
          </w:p>
        </w:tc>
        <w:tc>
          <w:tcPr>
            <w:tcW w:w="2880" w:type="dxa"/>
            <w:vAlign w:val="center"/>
          </w:tcPr>
          <w:p>
            <w:pPr>
              <w:tabs>
                <w:tab w:val="left" w:pos="720"/>
              </w:tabs>
              <w:spacing w:line="300" w:lineRule="auto"/>
              <w:jc w:val="center"/>
              <w:rPr>
                <w:rFonts w:ascii="Arial" w:hAnsi="Arial" w:cs="Arial"/>
              </w:rPr>
            </w:pPr>
          </w:p>
        </w:tc>
        <w:tc>
          <w:tcPr>
            <w:tcW w:w="1356" w:type="dxa"/>
            <w:vAlign w:val="center"/>
          </w:tcPr>
          <w:p>
            <w:pPr>
              <w:tabs>
                <w:tab w:val="left" w:pos="720"/>
              </w:tabs>
              <w:spacing w:line="300" w:lineRule="auto"/>
              <w:jc w:val="center"/>
              <w:rPr>
                <w:rFonts w:ascii="Arial" w:hAnsi="Arial" w:cs="Arial"/>
              </w:rPr>
            </w:pPr>
          </w:p>
        </w:tc>
        <w:tc>
          <w:tcPr>
            <w:tcW w:w="1344" w:type="dxa"/>
            <w:vAlign w:val="center"/>
          </w:tcPr>
          <w:p>
            <w:pPr>
              <w:tabs>
                <w:tab w:val="left" w:pos="720"/>
              </w:tabs>
              <w:spacing w:line="300" w:lineRule="auto"/>
              <w:jc w:val="center"/>
              <w:rPr>
                <w:rFonts w:ascii="Arial" w:hAnsi="Arial" w:cs="Arial"/>
              </w:rPr>
            </w:pPr>
          </w:p>
        </w:tc>
        <w:tc>
          <w:tcPr>
            <w:tcW w:w="1934"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00" w:type="dxa"/>
            <w:vAlign w:val="center"/>
          </w:tcPr>
          <w:p>
            <w:pPr>
              <w:tabs>
                <w:tab w:val="left" w:pos="720"/>
              </w:tabs>
              <w:spacing w:line="300" w:lineRule="auto"/>
              <w:jc w:val="center"/>
              <w:rPr>
                <w:rFonts w:ascii="Arial" w:hAnsi="Arial" w:cs="Arial"/>
              </w:rPr>
            </w:pPr>
          </w:p>
        </w:tc>
        <w:tc>
          <w:tcPr>
            <w:tcW w:w="2880" w:type="dxa"/>
            <w:vAlign w:val="center"/>
          </w:tcPr>
          <w:p>
            <w:pPr>
              <w:tabs>
                <w:tab w:val="left" w:pos="720"/>
              </w:tabs>
              <w:spacing w:line="300" w:lineRule="auto"/>
              <w:jc w:val="center"/>
              <w:rPr>
                <w:rFonts w:ascii="Arial" w:hAnsi="Arial" w:cs="Arial"/>
              </w:rPr>
            </w:pPr>
          </w:p>
        </w:tc>
        <w:tc>
          <w:tcPr>
            <w:tcW w:w="1356" w:type="dxa"/>
            <w:vAlign w:val="center"/>
          </w:tcPr>
          <w:p>
            <w:pPr>
              <w:tabs>
                <w:tab w:val="left" w:pos="720"/>
              </w:tabs>
              <w:spacing w:line="300" w:lineRule="auto"/>
              <w:jc w:val="center"/>
              <w:rPr>
                <w:rFonts w:ascii="Arial" w:hAnsi="Arial" w:cs="Arial"/>
              </w:rPr>
            </w:pPr>
          </w:p>
        </w:tc>
        <w:tc>
          <w:tcPr>
            <w:tcW w:w="1344" w:type="dxa"/>
            <w:vAlign w:val="center"/>
          </w:tcPr>
          <w:p>
            <w:pPr>
              <w:tabs>
                <w:tab w:val="left" w:pos="720"/>
              </w:tabs>
              <w:spacing w:line="300" w:lineRule="auto"/>
              <w:jc w:val="center"/>
              <w:rPr>
                <w:rFonts w:ascii="Arial" w:hAnsi="Arial" w:cs="Arial"/>
              </w:rPr>
            </w:pPr>
          </w:p>
        </w:tc>
        <w:tc>
          <w:tcPr>
            <w:tcW w:w="1934"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00" w:type="dxa"/>
            <w:vAlign w:val="center"/>
          </w:tcPr>
          <w:p>
            <w:pPr>
              <w:tabs>
                <w:tab w:val="left" w:pos="720"/>
              </w:tabs>
              <w:spacing w:line="300" w:lineRule="auto"/>
              <w:jc w:val="center"/>
              <w:rPr>
                <w:rFonts w:ascii="Arial" w:hAnsi="Arial" w:cs="Arial"/>
              </w:rPr>
            </w:pPr>
          </w:p>
        </w:tc>
        <w:tc>
          <w:tcPr>
            <w:tcW w:w="2880" w:type="dxa"/>
            <w:vAlign w:val="center"/>
          </w:tcPr>
          <w:p>
            <w:pPr>
              <w:tabs>
                <w:tab w:val="left" w:pos="720"/>
              </w:tabs>
              <w:spacing w:line="300" w:lineRule="auto"/>
              <w:jc w:val="center"/>
              <w:rPr>
                <w:rFonts w:ascii="Arial" w:hAnsi="Arial" w:cs="Arial"/>
              </w:rPr>
            </w:pPr>
          </w:p>
        </w:tc>
        <w:tc>
          <w:tcPr>
            <w:tcW w:w="1356" w:type="dxa"/>
            <w:vAlign w:val="center"/>
          </w:tcPr>
          <w:p>
            <w:pPr>
              <w:tabs>
                <w:tab w:val="left" w:pos="720"/>
              </w:tabs>
              <w:spacing w:line="300" w:lineRule="auto"/>
              <w:jc w:val="center"/>
              <w:rPr>
                <w:rFonts w:ascii="Arial" w:hAnsi="Arial" w:cs="Arial"/>
              </w:rPr>
            </w:pPr>
          </w:p>
        </w:tc>
        <w:tc>
          <w:tcPr>
            <w:tcW w:w="1344" w:type="dxa"/>
            <w:vAlign w:val="center"/>
          </w:tcPr>
          <w:p>
            <w:pPr>
              <w:tabs>
                <w:tab w:val="left" w:pos="720"/>
              </w:tabs>
              <w:spacing w:line="300" w:lineRule="auto"/>
              <w:jc w:val="center"/>
              <w:rPr>
                <w:rFonts w:ascii="Arial" w:hAnsi="Arial" w:cs="Arial"/>
              </w:rPr>
            </w:pPr>
          </w:p>
        </w:tc>
        <w:tc>
          <w:tcPr>
            <w:tcW w:w="1934"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00" w:type="dxa"/>
            <w:vAlign w:val="center"/>
          </w:tcPr>
          <w:p>
            <w:pPr>
              <w:tabs>
                <w:tab w:val="left" w:pos="720"/>
              </w:tabs>
              <w:spacing w:line="300" w:lineRule="auto"/>
              <w:jc w:val="center"/>
              <w:rPr>
                <w:rFonts w:ascii="Arial" w:hAnsi="Arial" w:cs="Arial"/>
              </w:rPr>
            </w:pPr>
          </w:p>
        </w:tc>
        <w:tc>
          <w:tcPr>
            <w:tcW w:w="2880" w:type="dxa"/>
            <w:vAlign w:val="center"/>
          </w:tcPr>
          <w:p>
            <w:pPr>
              <w:tabs>
                <w:tab w:val="left" w:pos="720"/>
              </w:tabs>
              <w:spacing w:line="300" w:lineRule="auto"/>
              <w:jc w:val="center"/>
              <w:rPr>
                <w:rFonts w:ascii="Arial" w:hAnsi="Arial" w:cs="Arial"/>
              </w:rPr>
            </w:pPr>
          </w:p>
        </w:tc>
        <w:tc>
          <w:tcPr>
            <w:tcW w:w="1356" w:type="dxa"/>
            <w:vAlign w:val="center"/>
          </w:tcPr>
          <w:p>
            <w:pPr>
              <w:tabs>
                <w:tab w:val="left" w:pos="720"/>
              </w:tabs>
              <w:spacing w:line="300" w:lineRule="auto"/>
              <w:jc w:val="center"/>
              <w:rPr>
                <w:rFonts w:ascii="Arial" w:hAnsi="Arial" w:cs="Arial"/>
              </w:rPr>
            </w:pPr>
          </w:p>
        </w:tc>
        <w:tc>
          <w:tcPr>
            <w:tcW w:w="1344" w:type="dxa"/>
            <w:vAlign w:val="center"/>
          </w:tcPr>
          <w:p>
            <w:pPr>
              <w:tabs>
                <w:tab w:val="left" w:pos="720"/>
              </w:tabs>
              <w:spacing w:line="300" w:lineRule="auto"/>
              <w:jc w:val="center"/>
              <w:rPr>
                <w:rFonts w:ascii="Arial" w:hAnsi="Arial" w:cs="Arial"/>
              </w:rPr>
            </w:pPr>
          </w:p>
        </w:tc>
        <w:tc>
          <w:tcPr>
            <w:tcW w:w="1934"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136" w:type="dxa"/>
            <w:gridSpan w:val="3"/>
            <w:vAlign w:val="center"/>
          </w:tcPr>
          <w:p>
            <w:pPr>
              <w:tabs>
                <w:tab w:val="left" w:pos="720"/>
              </w:tabs>
              <w:spacing w:line="300" w:lineRule="auto"/>
              <w:jc w:val="center"/>
              <w:rPr>
                <w:rFonts w:ascii="Arial" w:hAnsi="Arial" w:cs="Arial"/>
              </w:rPr>
            </w:pPr>
            <w:r>
              <w:rPr>
                <w:rFonts w:hint="eastAsia" w:ascii="Arial" w:hAnsi="Arial" w:cs="Arial"/>
              </w:rPr>
              <w:t>合计</w:t>
            </w:r>
          </w:p>
        </w:tc>
        <w:tc>
          <w:tcPr>
            <w:tcW w:w="1344" w:type="dxa"/>
            <w:vAlign w:val="center"/>
          </w:tcPr>
          <w:p>
            <w:pPr>
              <w:tabs>
                <w:tab w:val="left" w:pos="720"/>
              </w:tabs>
              <w:spacing w:line="300" w:lineRule="auto"/>
              <w:jc w:val="center"/>
              <w:rPr>
                <w:rFonts w:ascii="Arial" w:hAnsi="Arial" w:cs="Arial"/>
              </w:rPr>
            </w:pPr>
          </w:p>
        </w:tc>
        <w:tc>
          <w:tcPr>
            <w:tcW w:w="1934" w:type="dxa"/>
            <w:vAlign w:val="center"/>
          </w:tcPr>
          <w:p>
            <w:pPr>
              <w:tabs>
                <w:tab w:val="left" w:pos="720"/>
              </w:tabs>
              <w:spacing w:line="300" w:lineRule="auto"/>
              <w:jc w:val="center"/>
              <w:rPr>
                <w:rFonts w:ascii="Arial" w:hAnsi="Arial" w:cs="Arial"/>
              </w:rPr>
            </w:pPr>
          </w:p>
        </w:tc>
      </w:tr>
    </w:tbl>
    <w:p>
      <w:pPr>
        <w:tabs>
          <w:tab w:val="left" w:pos="720"/>
        </w:tabs>
        <w:spacing w:afterLines="50" w:line="300" w:lineRule="auto"/>
        <w:ind w:left="444" w:right="26" w:hanging="444" w:hangingChars="202"/>
        <w:rPr>
          <w:rFonts w:ascii="Arial" w:hAnsi="Arial" w:cs="Arial"/>
          <w:szCs w:val="21"/>
        </w:rPr>
        <w:sectPr>
          <w:pgSz w:w="11906" w:h="16838"/>
          <w:pgMar w:top="1440" w:right="1797" w:bottom="1440" w:left="1418" w:header="851" w:footer="992" w:gutter="0"/>
          <w:cols w:space="720" w:num="1"/>
          <w:docGrid w:linePitch="312" w:charSpace="0"/>
        </w:sectPr>
      </w:pPr>
      <w:r>
        <w:rPr>
          <w:rFonts w:hint="eastAsia" w:ascii="黑体" w:hAnsi="Arial" w:eastAsia="黑体" w:cs="Arial"/>
          <w:szCs w:val="21"/>
        </w:rPr>
        <w:t>注：</w:t>
      </w:r>
      <w:r>
        <w:rPr>
          <w:rFonts w:hint="eastAsia" w:ascii="Arial" w:hAnsi="Arial" w:cs="Arial"/>
          <w:szCs w:val="21"/>
        </w:rPr>
        <w:t>此表由采购人填写，不包括计日工。暂列金额项目部分如不能详列明细，也可只列暂列金额项目总金额，谈判承包人应将上述暂列金额计入谈判总价中。</w:t>
      </w:r>
    </w:p>
    <w:p>
      <w:pPr>
        <w:tabs>
          <w:tab w:val="left" w:pos="720"/>
        </w:tabs>
        <w:spacing w:afterLines="50" w:line="300" w:lineRule="auto"/>
        <w:jc w:val="center"/>
        <w:rPr>
          <w:rFonts w:ascii="Arial" w:hAnsi="Arial" w:eastAsia="黑体" w:cs="Arial"/>
          <w:bCs/>
          <w:sz w:val="30"/>
          <w:szCs w:val="30"/>
        </w:rPr>
      </w:pPr>
      <w:r>
        <w:rPr>
          <w:rFonts w:hint="eastAsia" w:ascii="Arial" w:hAnsi="Arial" w:eastAsia="黑体" w:cs="Arial"/>
          <w:bCs/>
          <w:sz w:val="30"/>
          <w:szCs w:val="30"/>
        </w:rPr>
        <w:t>计日工表</w:t>
      </w:r>
    </w:p>
    <w:p>
      <w:pPr>
        <w:tabs>
          <w:tab w:val="left" w:pos="720"/>
        </w:tabs>
        <w:spacing w:afterLines="50" w:line="300" w:lineRule="auto"/>
        <w:rPr>
          <w:rFonts w:ascii="Arial" w:hAnsi="Arial" w:cs="Arial"/>
        </w:rPr>
      </w:pPr>
      <w:r>
        <w:rPr>
          <w:rFonts w:hint="eastAsia" w:ascii="Arial" w:hAnsi="Arial" w:cs="Arial"/>
        </w:rPr>
        <w:t>工程名称：</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878"/>
        <w:gridCol w:w="1134"/>
        <w:gridCol w:w="1276"/>
        <w:gridCol w:w="1559"/>
        <w:gridCol w:w="2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674" w:type="dxa"/>
            <w:vAlign w:val="center"/>
          </w:tcPr>
          <w:p>
            <w:pPr>
              <w:tabs>
                <w:tab w:val="left" w:pos="720"/>
              </w:tabs>
              <w:spacing w:line="300" w:lineRule="auto"/>
              <w:jc w:val="center"/>
              <w:rPr>
                <w:rFonts w:ascii="Arial" w:hAnsi="Arial" w:cs="Arial"/>
              </w:rPr>
            </w:pPr>
            <w:r>
              <w:rPr>
                <w:rFonts w:hint="eastAsia" w:ascii="Arial" w:hAnsi="Arial" w:cs="Arial"/>
              </w:rPr>
              <w:t>编号</w:t>
            </w:r>
          </w:p>
        </w:tc>
        <w:tc>
          <w:tcPr>
            <w:tcW w:w="1878" w:type="dxa"/>
            <w:vAlign w:val="center"/>
          </w:tcPr>
          <w:p>
            <w:pPr>
              <w:tabs>
                <w:tab w:val="left" w:pos="720"/>
              </w:tabs>
              <w:spacing w:line="300" w:lineRule="auto"/>
              <w:jc w:val="center"/>
              <w:rPr>
                <w:rFonts w:ascii="Arial" w:hAnsi="Arial" w:cs="Arial"/>
              </w:rPr>
            </w:pPr>
            <w:r>
              <w:rPr>
                <w:rFonts w:hint="eastAsia" w:ascii="Arial" w:hAnsi="Arial" w:cs="Arial"/>
              </w:rPr>
              <w:t>子目名称</w:t>
            </w:r>
          </w:p>
        </w:tc>
        <w:tc>
          <w:tcPr>
            <w:tcW w:w="1134" w:type="dxa"/>
            <w:vAlign w:val="center"/>
          </w:tcPr>
          <w:p>
            <w:pPr>
              <w:tabs>
                <w:tab w:val="left" w:pos="720"/>
              </w:tabs>
              <w:spacing w:line="300" w:lineRule="auto"/>
              <w:jc w:val="center"/>
              <w:rPr>
                <w:rFonts w:ascii="Arial" w:hAnsi="Arial" w:cs="Arial"/>
              </w:rPr>
            </w:pPr>
            <w:r>
              <w:rPr>
                <w:rFonts w:hint="eastAsia" w:ascii="Arial" w:hAnsi="Arial" w:cs="Arial"/>
              </w:rPr>
              <w:t>单位</w:t>
            </w:r>
          </w:p>
        </w:tc>
        <w:tc>
          <w:tcPr>
            <w:tcW w:w="1276" w:type="dxa"/>
            <w:vAlign w:val="center"/>
          </w:tcPr>
          <w:p>
            <w:pPr>
              <w:tabs>
                <w:tab w:val="left" w:pos="720"/>
              </w:tabs>
              <w:spacing w:line="300" w:lineRule="auto"/>
              <w:jc w:val="center"/>
              <w:rPr>
                <w:rFonts w:ascii="Arial" w:hAnsi="Arial" w:cs="Arial"/>
              </w:rPr>
            </w:pPr>
            <w:r>
              <w:rPr>
                <w:rFonts w:hint="eastAsia" w:ascii="Arial" w:hAnsi="Arial" w:cs="Arial"/>
              </w:rPr>
              <w:t>暂定数量</w:t>
            </w:r>
          </w:p>
        </w:tc>
        <w:tc>
          <w:tcPr>
            <w:tcW w:w="1559" w:type="dxa"/>
            <w:vAlign w:val="center"/>
          </w:tcPr>
          <w:p>
            <w:pPr>
              <w:tabs>
                <w:tab w:val="left" w:pos="720"/>
              </w:tabs>
              <w:spacing w:line="300" w:lineRule="auto"/>
              <w:jc w:val="center"/>
              <w:rPr>
                <w:rFonts w:ascii="Arial" w:hAnsi="Arial" w:cs="Arial"/>
              </w:rPr>
            </w:pPr>
            <w:r>
              <w:rPr>
                <w:rFonts w:hint="eastAsia" w:ascii="Arial" w:hAnsi="Arial" w:cs="Arial"/>
              </w:rPr>
              <w:t>综合单价（元）</w:t>
            </w:r>
          </w:p>
        </w:tc>
        <w:tc>
          <w:tcPr>
            <w:tcW w:w="2839" w:type="dxa"/>
            <w:vAlign w:val="center"/>
          </w:tcPr>
          <w:p>
            <w:pPr>
              <w:tabs>
                <w:tab w:val="left" w:pos="720"/>
              </w:tabs>
              <w:spacing w:line="300" w:lineRule="auto"/>
              <w:jc w:val="center"/>
              <w:rPr>
                <w:rFonts w:ascii="Arial" w:hAnsi="Arial" w:cs="Arial"/>
              </w:rPr>
            </w:pPr>
            <w:r>
              <w:rPr>
                <w:rFonts w:hint="eastAsia" w:ascii="Arial" w:hAnsi="Arial" w:cs="Arial"/>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hint="eastAsia" w:ascii="Arial" w:hAnsi="Arial" w:cs="Arial"/>
              </w:rPr>
              <w:t>一</w:t>
            </w:r>
          </w:p>
        </w:tc>
        <w:tc>
          <w:tcPr>
            <w:tcW w:w="1878" w:type="dxa"/>
            <w:vAlign w:val="center"/>
          </w:tcPr>
          <w:p>
            <w:pPr>
              <w:tabs>
                <w:tab w:val="left" w:pos="720"/>
              </w:tabs>
              <w:spacing w:line="300" w:lineRule="auto"/>
              <w:rPr>
                <w:rFonts w:ascii="Arial" w:hAnsi="Arial" w:cs="Arial"/>
              </w:rPr>
            </w:pPr>
            <w:r>
              <w:rPr>
                <w:rFonts w:hint="eastAsia" w:ascii="Arial" w:hAnsi="Arial" w:cs="Arial"/>
              </w:rPr>
              <w:t>劳务（人工）</w:t>
            </w:r>
          </w:p>
        </w:tc>
        <w:tc>
          <w:tcPr>
            <w:tcW w:w="1134"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2839"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ascii="Arial" w:hAnsi="Arial" w:cs="Arial"/>
              </w:rPr>
              <w:t>1</w:t>
            </w:r>
          </w:p>
        </w:tc>
        <w:tc>
          <w:tcPr>
            <w:tcW w:w="1878"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2839"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ascii="Arial" w:hAnsi="Arial" w:cs="Arial"/>
              </w:rPr>
              <w:t>2</w:t>
            </w:r>
          </w:p>
        </w:tc>
        <w:tc>
          <w:tcPr>
            <w:tcW w:w="1878"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2839"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ascii="Arial" w:hAnsi="Arial" w:cs="Arial"/>
              </w:rPr>
              <w:t>3</w:t>
            </w:r>
          </w:p>
        </w:tc>
        <w:tc>
          <w:tcPr>
            <w:tcW w:w="1878" w:type="dxa"/>
            <w:vAlign w:val="center"/>
          </w:tcPr>
          <w:p>
            <w:pPr>
              <w:tabs>
                <w:tab w:val="left" w:pos="720"/>
              </w:tabs>
              <w:spacing w:line="300" w:lineRule="auto"/>
              <w:jc w:val="center"/>
              <w:rPr>
                <w:rFonts w:ascii="Arial" w:hAnsi="Arial" w:cs="Arial"/>
              </w:rPr>
            </w:pPr>
          </w:p>
        </w:tc>
        <w:tc>
          <w:tcPr>
            <w:tcW w:w="1134"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2839"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21" w:type="dxa"/>
            <w:gridSpan w:val="5"/>
            <w:vAlign w:val="center"/>
          </w:tcPr>
          <w:p>
            <w:pPr>
              <w:tabs>
                <w:tab w:val="left" w:pos="720"/>
              </w:tabs>
              <w:spacing w:line="300" w:lineRule="auto"/>
              <w:jc w:val="center"/>
              <w:rPr>
                <w:rFonts w:ascii="Arial" w:hAnsi="Arial" w:cs="Arial"/>
              </w:rPr>
            </w:pPr>
            <w:r>
              <w:rPr>
                <w:rFonts w:hint="eastAsia" w:ascii="Arial" w:hAnsi="Arial" w:cs="Arial"/>
              </w:rPr>
              <w:t>人工小计</w:t>
            </w:r>
          </w:p>
        </w:tc>
        <w:tc>
          <w:tcPr>
            <w:tcW w:w="2839"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hint="eastAsia" w:ascii="Arial" w:hAnsi="Arial" w:cs="Arial"/>
              </w:rPr>
              <w:t>二</w:t>
            </w:r>
          </w:p>
        </w:tc>
        <w:tc>
          <w:tcPr>
            <w:tcW w:w="1878" w:type="dxa"/>
            <w:vAlign w:val="center"/>
          </w:tcPr>
          <w:p>
            <w:pPr>
              <w:tabs>
                <w:tab w:val="left" w:pos="720"/>
              </w:tabs>
              <w:spacing w:line="300" w:lineRule="auto"/>
              <w:rPr>
                <w:rFonts w:ascii="Arial" w:hAnsi="Arial" w:cs="Arial"/>
              </w:rPr>
            </w:pPr>
            <w:r>
              <w:rPr>
                <w:rFonts w:hint="eastAsia" w:ascii="Arial" w:hAnsi="Arial" w:cs="Arial"/>
              </w:rPr>
              <w:t>材料</w:t>
            </w:r>
          </w:p>
        </w:tc>
        <w:tc>
          <w:tcPr>
            <w:tcW w:w="1134" w:type="dxa"/>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2839" w:type="dxa"/>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ascii="Arial" w:hAnsi="Arial" w:cs="Arial"/>
              </w:rPr>
              <w:t>1</w:t>
            </w:r>
          </w:p>
        </w:tc>
        <w:tc>
          <w:tcPr>
            <w:tcW w:w="1878" w:type="dxa"/>
            <w:vAlign w:val="center"/>
          </w:tcPr>
          <w:p>
            <w:pPr>
              <w:tabs>
                <w:tab w:val="left" w:pos="720"/>
              </w:tabs>
              <w:spacing w:line="300" w:lineRule="auto"/>
              <w:jc w:val="center"/>
              <w:rPr>
                <w:rFonts w:ascii="Arial" w:hAnsi="Arial" w:cs="Arial"/>
              </w:rPr>
            </w:pPr>
          </w:p>
        </w:tc>
        <w:tc>
          <w:tcPr>
            <w:tcW w:w="1134" w:type="dxa"/>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2839" w:type="dxa"/>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ascii="Arial" w:hAnsi="Arial" w:cs="Arial"/>
              </w:rPr>
              <w:t>2</w:t>
            </w:r>
          </w:p>
        </w:tc>
        <w:tc>
          <w:tcPr>
            <w:tcW w:w="1878" w:type="dxa"/>
            <w:vAlign w:val="center"/>
          </w:tcPr>
          <w:p>
            <w:pPr>
              <w:tabs>
                <w:tab w:val="left" w:pos="720"/>
              </w:tabs>
              <w:spacing w:line="300" w:lineRule="auto"/>
              <w:jc w:val="center"/>
              <w:rPr>
                <w:rFonts w:ascii="Arial" w:hAnsi="Arial" w:cs="Arial"/>
              </w:rPr>
            </w:pPr>
          </w:p>
        </w:tc>
        <w:tc>
          <w:tcPr>
            <w:tcW w:w="1134" w:type="dxa"/>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2839" w:type="dxa"/>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ascii="Arial" w:hAnsi="Arial" w:cs="Arial"/>
              </w:rPr>
              <w:t>3</w:t>
            </w:r>
          </w:p>
        </w:tc>
        <w:tc>
          <w:tcPr>
            <w:tcW w:w="1878" w:type="dxa"/>
            <w:vAlign w:val="center"/>
          </w:tcPr>
          <w:p>
            <w:pPr>
              <w:tabs>
                <w:tab w:val="left" w:pos="720"/>
              </w:tabs>
              <w:spacing w:line="300" w:lineRule="auto"/>
              <w:jc w:val="center"/>
              <w:rPr>
                <w:rFonts w:ascii="Arial" w:hAnsi="Arial" w:cs="Arial"/>
              </w:rPr>
            </w:pPr>
          </w:p>
        </w:tc>
        <w:tc>
          <w:tcPr>
            <w:tcW w:w="1134" w:type="dxa"/>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2839" w:type="dxa"/>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21" w:type="dxa"/>
            <w:gridSpan w:val="5"/>
            <w:vAlign w:val="center"/>
          </w:tcPr>
          <w:p>
            <w:pPr>
              <w:tabs>
                <w:tab w:val="left" w:pos="720"/>
              </w:tabs>
              <w:spacing w:line="300" w:lineRule="auto"/>
              <w:jc w:val="center"/>
              <w:rPr>
                <w:rFonts w:ascii="Arial" w:hAnsi="Arial" w:cs="Arial"/>
              </w:rPr>
            </w:pPr>
            <w:r>
              <w:rPr>
                <w:rFonts w:hint="eastAsia" w:ascii="Arial" w:hAnsi="Arial" w:cs="Arial"/>
              </w:rPr>
              <w:t>材料小计</w:t>
            </w:r>
          </w:p>
        </w:tc>
        <w:tc>
          <w:tcPr>
            <w:tcW w:w="2839" w:type="dxa"/>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21" w:type="dxa"/>
            <w:gridSpan w:val="5"/>
            <w:vAlign w:val="center"/>
          </w:tcPr>
          <w:p>
            <w:pPr>
              <w:tabs>
                <w:tab w:val="left" w:pos="720"/>
              </w:tabs>
              <w:spacing w:line="300" w:lineRule="auto"/>
              <w:ind w:firstLine="440" w:firstLineChars="200"/>
              <w:rPr>
                <w:rFonts w:ascii="Arial" w:hAnsi="Arial" w:cs="Arial"/>
              </w:rPr>
            </w:pPr>
            <w:r>
              <w:rPr>
                <w:rFonts w:hint="eastAsia" w:ascii="Arial" w:hAnsi="Arial" w:cs="Arial"/>
              </w:rPr>
              <w:t>上述材料表中未列出的材料设备，谈判承包人计取的包括企业管理费、利润（不包括规费和税金）在内的固定百分比：</w:t>
            </w:r>
          </w:p>
        </w:tc>
        <w:tc>
          <w:tcPr>
            <w:tcW w:w="2839" w:type="dxa"/>
            <w:vAlign w:val="center"/>
          </w:tcPr>
          <w:p>
            <w:pPr>
              <w:tabs>
                <w:tab w:val="left" w:pos="720"/>
              </w:tabs>
              <w:spacing w:line="300" w:lineRule="auto"/>
              <w:jc w:val="center"/>
              <w:rPr>
                <w:rFonts w:ascii="Arial" w:hAnsi="Arial" w:cs="Arial"/>
              </w:rPr>
            </w:pPr>
            <w:r>
              <w:rPr>
                <w:rFonts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hint="eastAsia" w:ascii="Arial" w:hAnsi="Arial" w:cs="Arial"/>
              </w:rPr>
              <w:t>三</w:t>
            </w:r>
          </w:p>
        </w:tc>
        <w:tc>
          <w:tcPr>
            <w:tcW w:w="1878" w:type="dxa"/>
            <w:vAlign w:val="center"/>
          </w:tcPr>
          <w:p>
            <w:pPr>
              <w:tabs>
                <w:tab w:val="left" w:pos="720"/>
              </w:tabs>
              <w:spacing w:line="300" w:lineRule="auto"/>
              <w:rPr>
                <w:rFonts w:ascii="Arial" w:hAnsi="Arial" w:cs="Arial"/>
              </w:rPr>
            </w:pPr>
            <w:r>
              <w:rPr>
                <w:rFonts w:hint="eastAsia" w:ascii="Arial" w:hAnsi="Arial" w:cs="Arial"/>
              </w:rPr>
              <w:t>施工机械</w:t>
            </w:r>
          </w:p>
        </w:tc>
        <w:tc>
          <w:tcPr>
            <w:tcW w:w="1134" w:type="dxa"/>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2839" w:type="dxa"/>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ascii="Arial" w:hAnsi="Arial" w:cs="Arial"/>
              </w:rPr>
              <w:t>1</w:t>
            </w:r>
          </w:p>
        </w:tc>
        <w:tc>
          <w:tcPr>
            <w:tcW w:w="1878" w:type="dxa"/>
            <w:vAlign w:val="center"/>
          </w:tcPr>
          <w:p>
            <w:pPr>
              <w:tabs>
                <w:tab w:val="left" w:pos="720"/>
              </w:tabs>
              <w:spacing w:line="300" w:lineRule="auto"/>
              <w:jc w:val="center"/>
              <w:rPr>
                <w:rFonts w:ascii="Arial" w:hAnsi="Arial" w:cs="Arial"/>
              </w:rPr>
            </w:pPr>
          </w:p>
        </w:tc>
        <w:tc>
          <w:tcPr>
            <w:tcW w:w="1134" w:type="dxa"/>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2839" w:type="dxa"/>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ascii="Arial" w:hAnsi="Arial" w:cs="Arial"/>
              </w:rPr>
              <w:t>2</w:t>
            </w:r>
          </w:p>
        </w:tc>
        <w:tc>
          <w:tcPr>
            <w:tcW w:w="1878" w:type="dxa"/>
            <w:vAlign w:val="center"/>
          </w:tcPr>
          <w:p>
            <w:pPr>
              <w:tabs>
                <w:tab w:val="left" w:pos="720"/>
              </w:tabs>
              <w:spacing w:line="300" w:lineRule="auto"/>
              <w:jc w:val="center"/>
              <w:rPr>
                <w:rFonts w:ascii="Arial" w:hAnsi="Arial" w:cs="Arial"/>
              </w:rPr>
            </w:pPr>
          </w:p>
        </w:tc>
        <w:tc>
          <w:tcPr>
            <w:tcW w:w="1134" w:type="dxa"/>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2839" w:type="dxa"/>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4" w:type="dxa"/>
            <w:vAlign w:val="center"/>
          </w:tcPr>
          <w:p>
            <w:pPr>
              <w:tabs>
                <w:tab w:val="left" w:pos="720"/>
              </w:tabs>
              <w:spacing w:line="300" w:lineRule="auto"/>
              <w:jc w:val="center"/>
              <w:rPr>
                <w:rFonts w:ascii="Arial" w:hAnsi="Arial" w:cs="Arial"/>
              </w:rPr>
            </w:pPr>
            <w:r>
              <w:rPr>
                <w:rFonts w:ascii="Arial" w:hAnsi="Arial" w:cs="Arial"/>
              </w:rPr>
              <w:t>3</w:t>
            </w:r>
          </w:p>
        </w:tc>
        <w:tc>
          <w:tcPr>
            <w:tcW w:w="1878" w:type="dxa"/>
            <w:vAlign w:val="center"/>
          </w:tcPr>
          <w:p>
            <w:pPr>
              <w:tabs>
                <w:tab w:val="left" w:pos="720"/>
              </w:tabs>
              <w:spacing w:line="300" w:lineRule="auto"/>
              <w:jc w:val="center"/>
              <w:rPr>
                <w:rFonts w:ascii="Arial" w:hAnsi="Arial" w:cs="Arial"/>
              </w:rPr>
            </w:pPr>
          </w:p>
        </w:tc>
        <w:tc>
          <w:tcPr>
            <w:tcW w:w="1134" w:type="dxa"/>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559" w:type="dxa"/>
            <w:vAlign w:val="center"/>
          </w:tcPr>
          <w:p>
            <w:pPr>
              <w:tabs>
                <w:tab w:val="left" w:pos="720"/>
              </w:tabs>
              <w:spacing w:line="300" w:lineRule="auto"/>
              <w:jc w:val="center"/>
              <w:rPr>
                <w:rFonts w:ascii="Arial" w:hAnsi="Arial" w:cs="Arial"/>
              </w:rPr>
            </w:pPr>
          </w:p>
        </w:tc>
        <w:tc>
          <w:tcPr>
            <w:tcW w:w="2839" w:type="dxa"/>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21" w:type="dxa"/>
            <w:gridSpan w:val="5"/>
            <w:vAlign w:val="center"/>
          </w:tcPr>
          <w:p>
            <w:pPr>
              <w:tabs>
                <w:tab w:val="left" w:pos="720"/>
              </w:tabs>
              <w:spacing w:line="300" w:lineRule="auto"/>
              <w:jc w:val="center"/>
              <w:rPr>
                <w:rFonts w:ascii="Arial" w:hAnsi="Arial" w:cs="Arial"/>
              </w:rPr>
            </w:pPr>
            <w:r>
              <w:rPr>
                <w:rFonts w:hint="eastAsia" w:ascii="Arial" w:hAnsi="Arial" w:cs="Arial"/>
              </w:rPr>
              <w:t>施工机械小计</w:t>
            </w:r>
          </w:p>
        </w:tc>
        <w:tc>
          <w:tcPr>
            <w:tcW w:w="2839" w:type="dxa"/>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21" w:type="dxa"/>
            <w:gridSpan w:val="5"/>
            <w:vAlign w:val="center"/>
          </w:tcPr>
          <w:p>
            <w:pPr>
              <w:tabs>
                <w:tab w:val="left" w:pos="720"/>
              </w:tabs>
              <w:spacing w:line="300" w:lineRule="auto"/>
              <w:jc w:val="center"/>
              <w:rPr>
                <w:rFonts w:ascii="Arial" w:hAnsi="Arial" w:cs="Arial"/>
              </w:rPr>
            </w:pPr>
            <w:r>
              <w:rPr>
                <w:rFonts w:hint="eastAsia" w:ascii="Arial" w:hAnsi="Arial" w:cs="Arial"/>
              </w:rPr>
              <w:t>总</w:t>
            </w:r>
            <w:r>
              <w:rPr>
                <w:rFonts w:ascii="Arial" w:hAnsi="Arial" w:cs="Arial"/>
              </w:rPr>
              <w:t xml:space="preserve">    </w:t>
            </w:r>
            <w:r>
              <w:rPr>
                <w:rFonts w:hint="eastAsia" w:ascii="Arial" w:hAnsi="Arial" w:cs="Arial"/>
              </w:rPr>
              <w:t>计</w:t>
            </w:r>
          </w:p>
        </w:tc>
        <w:tc>
          <w:tcPr>
            <w:tcW w:w="2839" w:type="dxa"/>
          </w:tcPr>
          <w:p>
            <w:pPr>
              <w:tabs>
                <w:tab w:val="left" w:pos="720"/>
              </w:tabs>
              <w:spacing w:line="300" w:lineRule="auto"/>
              <w:jc w:val="center"/>
              <w:rPr>
                <w:rFonts w:ascii="Arial" w:hAnsi="Arial" w:cs="Arial"/>
              </w:rPr>
            </w:pPr>
          </w:p>
        </w:tc>
      </w:tr>
    </w:tbl>
    <w:p>
      <w:pPr>
        <w:tabs>
          <w:tab w:val="left" w:pos="720"/>
        </w:tabs>
        <w:spacing w:afterLines="50" w:line="300" w:lineRule="auto"/>
        <w:ind w:left="741" w:right="26" w:hanging="741" w:hangingChars="337"/>
        <w:rPr>
          <w:rFonts w:ascii="Arial" w:hAnsi="Arial" w:cs="Arial"/>
          <w:szCs w:val="21"/>
        </w:rPr>
      </w:pPr>
      <w:r>
        <w:rPr>
          <w:rFonts w:hint="eastAsia" w:ascii="Arial" w:hAnsi="Arial" w:cs="Arial"/>
          <w:szCs w:val="21"/>
        </w:rPr>
        <w:t>注：</w:t>
      </w:r>
      <w:r>
        <w:rPr>
          <w:rFonts w:ascii="Arial" w:hAnsi="Arial" w:cs="Arial"/>
          <w:szCs w:val="21"/>
        </w:rPr>
        <w:t xml:space="preserve">1. </w:t>
      </w:r>
      <w:r>
        <w:rPr>
          <w:rFonts w:hint="eastAsia" w:ascii="Arial" w:hAnsi="Arial" w:cs="Arial"/>
          <w:szCs w:val="21"/>
        </w:rPr>
        <w:t>此表暂定项目、暂定数量由采购人填写，编制采购控制价时，单价由采购人按有关计价规定确定；</w:t>
      </w:r>
    </w:p>
    <w:p>
      <w:pPr>
        <w:tabs>
          <w:tab w:val="left" w:pos="720"/>
        </w:tabs>
        <w:spacing w:afterLines="50" w:line="300" w:lineRule="auto"/>
        <w:ind w:left="741" w:leftChars="200" w:right="26" w:hanging="301" w:hangingChars="137"/>
        <w:rPr>
          <w:rFonts w:ascii="Arial" w:hAnsi="Arial" w:cs="Arial"/>
          <w:szCs w:val="21"/>
        </w:rPr>
      </w:pPr>
      <w:r>
        <w:rPr>
          <w:rFonts w:ascii="Arial" w:hAnsi="Arial" w:cs="Arial"/>
          <w:szCs w:val="21"/>
        </w:rPr>
        <w:t xml:space="preserve">2. </w:t>
      </w:r>
      <w:r>
        <w:rPr>
          <w:rFonts w:hint="eastAsia" w:ascii="Arial" w:hAnsi="Arial" w:cs="Arial"/>
          <w:szCs w:val="21"/>
        </w:rPr>
        <w:t>谈判时，子目和数量按采购人提供数据计算，单价由谈判承包人自主报价，按暂定数量计算合价计入谈判总价中。</w:t>
      </w:r>
    </w:p>
    <w:p>
      <w:pPr>
        <w:tabs>
          <w:tab w:val="left" w:pos="720"/>
        </w:tabs>
        <w:spacing w:afterLines="50" w:line="300" w:lineRule="auto"/>
        <w:ind w:left="741" w:leftChars="200" w:right="26" w:hanging="301" w:hangingChars="137"/>
        <w:rPr>
          <w:rFonts w:ascii="Arial" w:hAnsi="Arial" w:cs="Arial"/>
          <w:szCs w:val="21"/>
        </w:rPr>
      </w:pPr>
      <w:r>
        <w:rPr>
          <w:rFonts w:ascii="Arial" w:hAnsi="Arial" w:cs="Arial"/>
          <w:szCs w:val="21"/>
        </w:rPr>
        <w:t xml:space="preserve">3. </w:t>
      </w:r>
      <w:r>
        <w:rPr>
          <w:rFonts w:hint="eastAsia" w:ascii="Arial" w:hAnsi="Arial" w:cs="Arial"/>
          <w:szCs w:val="21"/>
        </w:rPr>
        <w:t>此表总计的计日工金额应当作为暂列金额的一部分，计入表</w:t>
      </w:r>
      <w:r>
        <w:rPr>
          <w:rFonts w:ascii="Arial" w:hAnsi="Arial" w:cs="Arial"/>
          <w:szCs w:val="21"/>
        </w:rPr>
        <w:t>4.10</w:t>
      </w:r>
      <w:r>
        <w:rPr>
          <w:rFonts w:hint="eastAsia" w:ascii="Arial" w:hAnsi="Arial" w:cs="Arial"/>
          <w:szCs w:val="21"/>
        </w:rPr>
        <w:t>中。</w:t>
      </w:r>
    </w:p>
    <w:p>
      <w:pPr>
        <w:tabs>
          <w:tab w:val="left" w:pos="720"/>
        </w:tabs>
        <w:spacing w:afterLines="50" w:line="300" w:lineRule="auto"/>
        <w:ind w:left="741" w:leftChars="200" w:right="26" w:hanging="301" w:hangingChars="137"/>
        <w:rPr>
          <w:rFonts w:ascii="Arial" w:hAnsi="Arial" w:cs="Arial"/>
          <w:szCs w:val="21"/>
        </w:rPr>
      </w:pPr>
    </w:p>
    <w:p>
      <w:pPr>
        <w:tabs>
          <w:tab w:val="left" w:pos="720"/>
        </w:tabs>
        <w:spacing w:line="300" w:lineRule="auto"/>
        <w:ind w:firstLine="440" w:firstLineChars="200"/>
        <w:rPr>
          <w:rFonts w:ascii="Arial" w:hAnsi="Arial" w:cs="Arial"/>
          <w:szCs w:val="21"/>
        </w:rPr>
      </w:pPr>
    </w:p>
    <w:p>
      <w:pPr>
        <w:tabs>
          <w:tab w:val="left" w:pos="720"/>
        </w:tabs>
        <w:spacing w:afterLines="50" w:line="300" w:lineRule="auto"/>
        <w:rPr>
          <w:rFonts w:ascii="Arial" w:cs="Arial"/>
        </w:rPr>
      </w:pPr>
      <w:r>
        <w:rPr>
          <w:rFonts w:ascii="Arial" w:cs="Arial"/>
        </w:rPr>
        <w:t xml:space="preserve"> </w:t>
      </w:r>
    </w:p>
    <w:p>
      <w:pPr>
        <w:rPr>
          <w:szCs w:val="21"/>
        </w:rPr>
      </w:pPr>
    </w:p>
    <w:p>
      <w:pPr>
        <w:rPr>
          <w:szCs w:val="21"/>
        </w:rPr>
      </w:pPr>
    </w:p>
    <w:p>
      <w:pPr>
        <w:tabs>
          <w:tab w:val="left" w:pos="720"/>
        </w:tabs>
        <w:spacing w:afterLines="50" w:line="300" w:lineRule="auto"/>
        <w:jc w:val="center"/>
        <w:rPr>
          <w:rFonts w:ascii="Arial" w:hAnsi="Arial" w:eastAsia="黑体" w:cs="Arial"/>
          <w:bCs/>
          <w:sz w:val="30"/>
          <w:szCs w:val="30"/>
        </w:rPr>
      </w:pPr>
      <w:r>
        <w:rPr>
          <w:rFonts w:hint="eastAsia" w:ascii="Arial" w:hAnsi="Arial" w:eastAsia="黑体" w:cs="Arial"/>
          <w:bCs/>
          <w:sz w:val="30"/>
          <w:szCs w:val="30"/>
        </w:rPr>
        <w:t>规费、税金项目计价表</w:t>
      </w:r>
    </w:p>
    <w:p>
      <w:pPr>
        <w:tabs>
          <w:tab w:val="left" w:pos="720"/>
        </w:tabs>
        <w:spacing w:line="300" w:lineRule="auto"/>
        <w:rPr>
          <w:rFonts w:ascii="Arial" w:hAnsi="Arial" w:cs="Arial"/>
        </w:rPr>
      </w:pPr>
    </w:p>
    <w:p>
      <w:pPr>
        <w:tabs>
          <w:tab w:val="left" w:pos="720"/>
        </w:tabs>
        <w:spacing w:afterLines="50" w:line="300" w:lineRule="auto"/>
        <w:rPr>
          <w:rFonts w:ascii="Arial" w:hAnsi="Arial" w:cs="Arial"/>
        </w:rPr>
      </w:pPr>
      <w:r>
        <w:rPr>
          <w:rFonts w:hint="eastAsia" w:ascii="Arial" w:hAnsi="Arial" w:cs="Arial"/>
        </w:rPr>
        <w:t>工程名称：</w:t>
      </w:r>
      <w:r>
        <w:rPr>
          <w:rFonts w:ascii="Arial" w:hAnsi="Arial" w:cs="Arial"/>
        </w:rPr>
        <w:t xml:space="preserve">                                                     </w:t>
      </w:r>
      <w:r>
        <w:rPr>
          <w:rFonts w:hint="eastAsia" w:ascii="Arial" w:hAnsi="Arial" w:cs="Arial"/>
        </w:rPr>
        <w:t>第</w:t>
      </w:r>
      <w:r>
        <w:rPr>
          <w:rFonts w:ascii="Arial" w:hAnsi="Arial" w:cs="Arial"/>
        </w:rPr>
        <w:t xml:space="preserve">  </w:t>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t xml:space="preserve">  </w:t>
      </w:r>
      <w:r>
        <w:rPr>
          <w:rFonts w:hint="eastAsia" w:ascii="Arial" w:hAnsi="Arial" w:cs="Arial"/>
        </w:rPr>
        <w:t>页</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938"/>
        <w:gridCol w:w="1672"/>
        <w:gridCol w:w="1417"/>
        <w:gridCol w:w="1276"/>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85" w:type="dxa"/>
            <w:vAlign w:val="center"/>
          </w:tcPr>
          <w:p>
            <w:pPr>
              <w:tabs>
                <w:tab w:val="left" w:pos="720"/>
              </w:tabs>
              <w:spacing w:line="300" w:lineRule="auto"/>
              <w:jc w:val="center"/>
              <w:rPr>
                <w:rFonts w:ascii="Arial" w:hAnsi="Arial" w:cs="Arial"/>
              </w:rPr>
            </w:pPr>
            <w:r>
              <w:rPr>
                <w:rFonts w:hint="eastAsia" w:ascii="Arial" w:hAnsi="Arial" w:cs="Arial"/>
              </w:rPr>
              <w:t>序号</w:t>
            </w:r>
          </w:p>
        </w:tc>
        <w:tc>
          <w:tcPr>
            <w:tcW w:w="1938" w:type="dxa"/>
            <w:vAlign w:val="center"/>
          </w:tcPr>
          <w:p>
            <w:pPr>
              <w:tabs>
                <w:tab w:val="left" w:pos="720"/>
              </w:tabs>
              <w:spacing w:line="300" w:lineRule="auto"/>
              <w:jc w:val="center"/>
              <w:rPr>
                <w:rFonts w:ascii="Arial" w:hAnsi="Arial" w:cs="Arial"/>
              </w:rPr>
            </w:pPr>
            <w:r>
              <w:rPr>
                <w:rFonts w:hint="eastAsia" w:ascii="Arial" w:hAnsi="Arial" w:cs="Arial"/>
              </w:rPr>
              <w:t>项目名称</w:t>
            </w:r>
          </w:p>
        </w:tc>
        <w:tc>
          <w:tcPr>
            <w:tcW w:w="1672" w:type="dxa"/>
            <w:vAlign w:val="center"/>
          </w:tcPr>
          <w:p>
            <w:pPr>
              <w:tabs>
                <w:tab w:val="left" w:pos="720"/>
              </w:tabs>
              <w:spacing w:line="300" w:lineRule="auto"/>
              <w:jc w:val="center"/>
              <w:rPr>
                <w:rFonts w:ascii="Arial" w:hAnsi="Arial" w:cs="Arial"/>
              </w:rPr>
            </w:pPr>
            <w:r>
              <w:rPr>
                <w:rFonts w:hint="eastAsia" w:ascii="Arial" w:hAnsi="Arial" w:cs="Arial"/>
              </w:rPr>
              <w:t>计算基础</w:t>
            </w:r>
          </w:p>
        </w:tc>
        <w:tc>
          <w:tcPr>
            <w:tcW w:w="1417" w:type="dxa"/>
            <w:vAlign w:val="center"/>
          </w:tcPr>
          <w:p>
            <w:pPr>
              <w:tabs>
                <w:tab w:val="left" w:pos="720"/>
              </w:tabs>
              <w:spacing w:line="300" w:lineRule="auto"/>
              <w:jc w:val="center"/>
              <w:rPr>
                <w:rFonts w:ascii="Arial" w:hAnsi="Arial" w:cs="Arial"/>
              </w:rPr>
            </w:pPr>
            <w:r>
              <w:rPr>
                <w:rFonts w:hint="eastAsia" w:ascii="Arial" w:hAnsi="Arial" w:cs="Arial"/>
              </w:rPr>
              <w:t>计算基数</w:t>
            </w:r>
          </w:p>
        </w:tc>
        <w:tc>
          <w:tcPr>
            <w:tcW w:w="1276" w:type="dxa"/>
            <w:vAlign w:val="center"/>
          </w:tcPr>
          <w:p>
            <w:pPr>
              <w:tabs>
                <w:tab w:val="left" w:pos="720"/>
              </w:tabs>
              <w:spacing w:line="300" w:lineRule="auto"/>
              <w:jc w:val="center"/>
              <w:rPr>
                <w:rFonts w:ascii="Arial" w:hAnsi="Arial" w:cs="Arial"/>
              </w:rPr>
            </w:pPr>
            <w:r>
              <w:rPr>
                <w:rFonts w:hint="eastAsia" w:ascii="Arial" w:hAnsi="Arial" w:cs="Arial"/>
              </w:rPr>
              <w:t>费率（</w:t>
            </w:r>
            <w:r>
              <w:rPr>
                <w:rFonts w:ascii="Arial" w:hAnsi="Arial" w:cs="Arial"/>
              </w:rPr>
              <w:t>%</w:t>
            </w:r>
            <w:r>
              <w:rPr>
                <w:rFonts w:hint="eastAsia" w:ascii="Arial" w:hAnsi="Arial" w:cs="Arial"/>
              </w:rPr>
              <w:t>）</w:t>
            </w:r>
          </w:p>
        </w:tc>
        <w:tc>
          <w:tcPr>
            <w:tcW w:w="1332" w:type="dxa"/>
            <w:vAlign w:val="center"/>
          </w:tcPr>
          <w:p>
            <w:pPr>
              <w:tabs>
                <w:tab w:val="left" w:pos="720"/>
              </w:tabs>
              <w:spacing w:line="300" w:lineRule="auto"/>
              <w:jc w:val="center"/>
              <w:rPr>
                <w:rFonts w:ascii="Arial" w:hAnsi="Arial" w:cs="Arial"/>
              </w:rPr>
            </w:pPr>
            <w:r>
              <w:rPr>
                <w:rFonts w:hint="eastAsia" w:ascii="Arial" w:hAnsi="Arial" w:cs="Aria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85" w:type="dxa"/>
            <w:vAlign w:val="center"/>
          </w:tcPr>
          <w:p>
            <w:pPr>
              <w:tabs>
                <w:tab w:val="left" w:pos="720"/>
              </w:tabs>
              <w:spacing w:line="300" w:lineRule="auto"/>
              <w:jc w:val="center"/>
              <w:rPr>
                <w:rFonts w:ascii="Arial" w:hAnsi="Arial" w:cs="Arial"/>
              </w:rPr>
            </w:pPr>
            <w:r>
              <w:rPr>
                <w:rFonts w:ascii="Arial" w:hAnsi="Arial" w:cs="Arial"/>
              </w:rPr>
              <w:t>1</w:t>
            </w:r>
          </w:p>
        </w:tc>
        <w:tc>
          <w:tcPr>
            <w:tcW w:w="1938" w:type="dxa"/>
            <w:vAlign w:val="center"/>
          </w:tcPr>
          <w:p>
            <w:pPr>
              <w:tabs>
                <w:tab w:val="left" w:pos="720"/>
              </w:tabs>
              <w:spacing w:line="300" w:lineRule="auto"/>
              <w:rPr>
                <w:rFonts w:ascii="Arial" w:hAnsi="Arial" w:cs="Arial"/>
              </w:rPr>
            </w:pPr>
            <w:r>
              <w:rPr>
                <w:rFonts w:hint="eastAsia" w:ascii="Arial" w:hAnsi="Arial" w:cs="Arial"/>
              </w:rPr>
              <w:t>规费</w:t>
            </w:r>
          </w:p>
        </w:tc>
        <w:tc>
          <w:tcPr>
            <w:tcW w:w="1672" w:type="dxa"/>
            <w:vAlign w:val="center"/>
          </w:tcPr>
          <w:p>
            <w:pPr>
              <w:tabs>
                <w:tab w:val="left" w:pos="720"/>
              </w:tabs>
              <w:spacing w:line="300" w:lineRule="auto"/>
              <w:jc w:val="center"/>
              <w:rPr>
                <w:rFonts w:ascii="Arial" w:hAnsi="Arial" w:cs="Arial"/>
              </w:rPr>
            </w:pPr>
          </w:p>
        </w:tc>
        <w:tc>
          <w:tcPr>
            <w:tcW w:w="1417"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33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85" w:type="dxa"/>
            <w:vAlign w:val="center"/>
          </w:tcPr>
          <w:p>
            <w:pPr>
              <w:tabs>
                <w:tab w:val="left" w:pos="720"/>
              </w:tabs>
              <w:spacing w:line="300" w:lineRule="auto"/>
              <w:jc w:val="center"/>
              <w:rPr>
                <w:rFonts w:ascii="Arial" w:hAnsi="Arial" w:cs="Arial"/>
              </w:rPr>
            </w:pPr>
            <w:r>
              <w:rPr>
                <w:rFonts w:ascii="Arial" w:hAnsi="Arial" w:cs="Arial"/>
              </w:rPr>
              <w:t>1.1</w:t>
            </w:r>
          </w:p>
        </w:tc>
        <w:tc>
          <w:tcPr>
            <w:tcW w:w="1938" w:type="dxa"/>
            <w:vAlign w:val="center"/>
          </w:tcPr>
          <w:p>
            <w:pPr>
              <w:tabs>
                <w:tab w:val="left" w:pos="720"/>
              </w:tabs>
              <w:spacing w:line="300" w:lineRule="auto"/>
              <w:rPr>
                <w:rFonts w:ascii="Arial" w:hAnsi="Arial" w:cs="Arial"/>
              </w:rPr>
            </w:pPr>
            <w:r>
              <w:rPr>
                <w:rFonts w:hint="eastAsia" w:ascii="Arial" w:hAnsi="Arial" w:cs="Arial"/>
              </w:rPr>
              <w:t>农民工工伤保险</w:t>
            </w:r>
          </w:p>
        </w:tc>
        <w:tc>
          <w:tcPr>
            <w:tcW w:w="1672" w:type="dxa"/>
            <w:vAlign w:val="center"/>
          </w:tcPr>
          <w:p>
            <w:pPr>
              <w:tabs>
                <w:tab w:val="left" w:pos="720"/>
              </w:tabs>
              <w:spacing w:line="300" w:lineRule="auto"/>
              <w:jc w:val="center"/>
              <w:rPr>
                <w:rFonts w:ascii="Arial" w:hAnsi="Arial" w:cs="Arial"/>
              </w:rPr>
            </w:pPr>
          </w:p>
        </w:tc>
        <w:tc>
          <w:tcPr>
            <w:tcW w:w="1417"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33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85" w:type="dxa"/>
            <w:vAlign w:val="center"/>
          </w:tcPr>
          <w:p>
            <w:pPr>
              <w:tabs>
                <w:tab w:val="left" w:pos="720"/>
              </w:tabs>
              <w:spacing w:line="300" w:lineRule="auto"/>
              <w:jc w:val="center"/>
              <w:rPr>
                <w:rFonts w:ascii="Arial" w:hAnsi="Arial" w:cs="Arial"/>
              </w:rPr>
            </w:pPr>
            <w:r>
              <w:rPr>
                <w:rFonts w:ascii="Arial" w:hAnsi="Arial" w:cs="Arial"/>
              </w:rPr>
              <w:t>…</w:t>
            </w:r>
          </w:p>
        </w:tc>
        <w:tc>
          <w:tcPr>
            <w:tcW w:w="1938" w:type="dxa"/>
            <w:vAlign w:val="center"/>
          </w:tcPr>
          <w:p>
            <w:pPr>
              <w:tabs>
                <w:tab w:val="left" w:pos="720"/>
              </w:tabs>
              <w:spacing w:line="300" w:lineRule="auto"/>
              <w:rPr>
                <w:rFonts w:ascii="Arial" w:hAnsi="Arial" w:cs="Arial"/>
              </w:rPr>
            </w:pPr>
            <w:r>
              <w:rPr>
                <w:rFonts w:ascii="Arial" w:hAnsi="Arial" w:cs="Arial"/>
              </w:rPr>
              <w:t>……</w:t>
            </w:r>
          </w:p>
        </w:tc>
        <w:tc>
          <w:tcPr>
            <w:tcW w:w="1672" w:type="dxa"/>
            <w:vAlign w:val="center"/>
          </w:tcPr>
          <w:p>
            <w:pPr>
              <w:tabs>
                <w:tab w:val="left" w:pos="720"/>
              </w:tabs>
              <w:spacing w:line="300" w:lineRule="auto"/>
              <w:jc w:val="center"/>
              <w:rPr>
                <w:rFonts w:ascii="Arial" w:hAnsi="Arial" w:cs="Arial"/>
              </w:rPr>
            </w:pPr>
          </w:p>
        </w:tc>
        <w:tc>
          <w:tcPr>
            <w:tcW w:w="1417"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33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85" w:type="dxa"/>
            <w:vAlign w:val="center"/>
          </w:tcPr>
          <w:p>
            <w:pPr>
              <w:tabs>
                <w:tab w:val="left" w:pos="720"/>
              </w:tabs>
              <w:spacing w:line="300" w:lineRule="auto"/>
              <w:jc w:val="center"/>
              <w:rPr>
                <w:rFonts w:ascii="Arial" w:hAnsi="Arial" w:cs="Arial"/>
              </w:rPr>
            </w:pPr>
          </w:p>
        </w:tc>
        <w:tc>
          <w:tcPr>
            <w:tcW w:w="1938" w:type="dxa"/>
            <w:vAlign w:val="center"/>
          </w:tcPr>
          <w:p>
            <w:pPr>
              <w:tabs>
                <w:tab w:val="left" w:pos="720"/>
              </w:tabs>
              <w:spacing w:line="300" w:lineRule="auto"/>
              <w:rPr>
                <w:rFonts w:ascii="Arial" w:hAnsi="Arial" w:cs="Arial"/>
              </w:rPr>
            </w:pPr>
          </w:p>
        </w:tc>
        <w:tc>
          <w:tcPr>
            <w:tcW w:w="1672" w:type="dxa"/>
            <w:vAlign w:val="center"/>
          </w:tcPr>
          <w:p>
            <w:pPr>
              <w:tabs>
                <w:tab w:val="left" w:pos="720"/>
              </w:tabs>
              <w:spacing w:line="300" w:lineRule="auto"/>
              <w:jc w:val="center"/>
              <w:rPr>
                <w:rFonts w:ascii="Arial" w:hAnsi="Arial" w:cs="Arial"/>
              </w:rPr>
            </w:pPr>
          </w:p>
        </w:tc>
        <w:tc>
          <w:tcPr>
            <w:tcW w:w="1417"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33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85" w:type="dxa"/>
            <w:vAlign w:val="center"/>
          </w:tcPr>
          <w:p>
            <w:pPr>
              <w:tabs>
                <w:tab w:val="left" w:pos="720"/>
              </w:tabs>
              <w:spacing w:line="300" w:lineRule="auto"/>
              <w:jc w:val="center"/>
              <w:rPr>
                <w:rFonts w:ascii="Arial" w:hAnsi="Arial" w:cs="Arial"/>
              </w:rPr>
            </w:pPr>
          </w:p>
        </w:tc>
        <w:tc>
          <w:tcPr>
            <w:tcW w:w="1938" w:type="dxa"/>
            <w:vAlign w:val="center"/>
          </w:tcPr>
          <w:p>
            <w:pPr>
              <w:tabs>
                <w:tab w:val="left" w:pos="720"/>
              </w:tabs>
              <w:spacing w:line="300" w:lineRule="auto"/>
              <w:rPr>
                <w:rFonts w:ascii="Arial" w:hAnsi="Arial" w:cs="Arial"/>
              </w:rPr>
            </w:pPr>
          </w:p>
        </w:tc>
        <w:tc>
          <w:tcPr>
            <w:tcW w:w="1672" w:type="dxa"/>
            <w:vAlign w:val="center"/>
          </w:tcPr>
          <w:p>
            <w:pPr>
              <w:tabs>
                <w:tab w:val="left" w:pos="720"/>
              </w:tabs>
              <w:spacing w:line="300" w:lineRule="auto"/>
              <w:jc w:val="center"/>
              <w:rPr>
                <w:rFonts w:ascii="Arial" w:hAnsi="Arial" w:cs="Arial"/>
              </w:rPr>
            </w:pPr>
          </w:p>
        </w:tc>
        <w:tc>
          <w:tcPr>
            <w:tcW w:w="1417"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33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85" w:type="dxa"/>
            <w:vAlign w:val="center"/>
          </w:tcPr>
          <w:p>
            <w:pPr>
              <w:tabs>
                <w:tab w:val="left" w:pos="720"/>
              </w:tabs>
              <w:spacing w:line="300" w:lineRule="auto"/>
              <w:jc w:val="center"/>
              <w:rPr>
                <w:rFonts w:ascii="Arial" w:hAnsi="Arial" w:cs="Arial"/>
              </w:rPr>
            </w:pPr>
          </w:p>
        </w:tc>
        <w:tc>
          <w:tcPr>
            <w:tcW w:w="1938" w:type="dxa"/>
            <w:vAlign w:val="center"/>
          </w:tcPr>
          <w:p>
            <w:pPr>
              <w:tabs>
                <w:tab w:val="left" w:pos="720"/>
              </w:tabs>
              <w:spacing w:line="300" w:lineRule="auto"/>
              <w:rPr>
                <w:rFonts w:ascii="Arial" w:hAnsi="Arial" w:cs="Arial"/>
              </w:rPr>
            </w:pPr>
          </w:p>
        </w:tc>
        <w:tc>
          <w:tcPr>
            <w:tcW w:w="1672" w:type="dxa"/>
            <w:vAlign w:val="center"/>
          </w:tcPr>
          <w:p>
            <w:pPr>
              <w:tabs>
                <w:tab w:val="left" w:pos="720"/>
              </w:tabs>
              <w:spacing w:line="300" w:lineRule="auto"/>
              <w:jc w:val="center"/>
              <w:rPr>
                <w:rFonts w:ascii="Arial" w:hAnsi="Arial" w:cs="Arial"/>
              </w:rPr>
            </w:pPr>
          </w:p>
        </w:tc>
        <w:tc>
          <w:tcPr>
            <w:tcW w:w="1417"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33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85" w:type="dxa"/>
            <w:vAlign w:val="center"/>
          </w:tcPr>
          <w:p>
            <w:pPr>
              <w:tabs>
                <w:tab w:val="left" w:pos="720"/>
              </w:tabs>
              <w:spacing w:line="300" w:lineRule="auto"/>
              <w:jc w:val="center"/>
              <w:rPr>
                <w:rFonts w:ascii="Arial" w:hAnsi="Arial" w:cs="Arial"/>
              </w:rPr>
            </w:pPr>
          </w:p>
        </w:tc>
        <w:tc>
          <w:tcPr>
            <w:tcW w:w="1938" w:type="dxa"/>
            <w:vAlign w:val="center"/>
          </w:tcPr>
          <w:p>
            <w:pPr>
              <w:tabs>
                <w:tab w:val="left" w:pos="720"/>
              </w:tabs>
              <w:spacing w:line="300" w:lineRule="auto"/>
              <w:rPr>
                <w:rFonts w:ascii="Arial" w:hAnsi="Arial" w:cs="Arial"/>
              </w:rPr>
            </w:pPr>
          </w:p>
        </w:tc>
        <w:tc>
          <w:tcPr>
            <w:tcW w:w="1672" w:type="dxa"/>
            <w:vAlign w:val="center"/>
          </w:tcPr>
          <w:p>
            <w:pPr>
              <w:tabs>
                <w:tab w:val="left" w:pos="720"/>
              </w:tabs>
              <w:spacing w:line="300" w:lineRule="auto"/>
              <w:jc w:val="center"/>
              <w:rPr>
                <w:rFonts w:ascii="Arial" w:hAnsi="Arial" w:cs="Arial"/>
              </w:rPr>
            </w:pPr>
          </w:p>
        </w:tc>
        <w:tc>
          <w:tcPr>
            <w:tcW w:w="1417"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33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85" w:type="dxa"/>
            <w:vAlign w:val="center"/>
          </w:tcPr>
          <w:p>
            <w:pPr>
              <w:tabs>
                <w:tab w:val="left" w:pos="720"/>
              </w:tabs>
              <w:spacing w:line="300" w:lineRule="auto"/>
              <w:jc w:val="center"/>
              <w:rPr>
                <w:rFonts w:ascii="Arial" w:hAnsi="Arial" w:cs="Arial"/>
              </w:rPr>
            </w:pPr>
            <w:r>
              <w:rPr>
                <w:rFonts w:ascii="Arial" w:hAnsi="Arial" w:cs="Arial"/>
              </w:rPr>
              <w:t>2</w:t>
            </w:r>
          </w:p>
        </w:tc>
        <w:tc>
          <w:tcPr>
            <w:tcW w:w="1938" w:type="dxa"/>
            <w:vAlign w:val="center"/>
          </w:tcPr>
          <w:p>
            <w:pPr>
              <w:tabs>
                <w:tab w:val="left" w:pos="720"/>
              </w:tabs>
              <w:spacing w:line="300" w:lineRule="auto"/>
              <w:rPr>
                <w:rFonts w:ascii="Arial" w:hAnsi="Arial" w:cs="Arial"/>
              </w:rPr>
            </w:pPr>
            <w:r>
              <w:rPr>
                <w:rFonts w:hint="eastAsia" w:ascii="Arial" w:hAnsi="Arial" w:cs="Arial"/>
              </w:rPr>
              <w:t>税金</w:t>
            </w:r>
          </w:p>
        </w:tc>
        <w:tc>
          <w:tcPr>
            <w:tcW w:w="1672" w:type="dxa"/>
            <w:vAlign w:val="center"/>
          </w:tcPr>
          <w:p>
            <w:pPr>
              <w:tabs>
                <w:tab w:val="left" w:pos="720"/>
              </w:tabs>
              <w:spacing w:line="300" w:lineRule="auto"/>
              <w:jc w:val="center"/>
              <w:rPr>
                <w:rFonts w:ascii="Arial" w:hAnsi="Arial" w:cs="Arial"/>
              </w:rPr>
            </w:pPr>
            <w:r>
              <w:rPr>
                <w:rFonts w:hint="eastAsia" w:ascii="Arial" w:hAnsi="Arial" w:cs="Arial"/>
              </w:rPr>
              <w:t>分部分项工程费</w:t>
            </w:r>
            <w:r>
              <w:rPr>
                <w:rFonts w:ascii="Arial" w:hAnsi="Arial" w:cs="Arial"/>
              </w:rPr>
              <w:t>+</w:t>
            </w:r>
            <w:r>
              <w:rPr>
                <w:rFonts w:hint="eastAsia" w:ascii="Arial" w:hAnsi="Arial" w:cs="Arial"/>
              </w:rPr>
              <w:t>措施项目费</w:t>
            </w:r>
            <w:r>
              <w:rPr>
                <w:rFonts w:ascii="Arial" w:hAnsi="Arial" w:cs="Arial"/>
              </w:rPr>
              <w:t>+</w:t>
            </w:r>
            <w:r>
              <w:rPr>
                <w:rFonts w:hint="eastAsia" w:ascii="Arial" w:hAnsi="Arial" w:cs="Arial"/>
              </w:rPr>
              <w:t>其他项目费</w:t>
            </w:r>
            <w:r>
              <w:rPr>
                <w:rFonts w:ascii="Arial" w:hAnsi="Arial" w:cs="Arial"/>
              </w:rPr>
              <w:t>+</w:t>
            </w:r>
            <w:r>
              <w:rPr>
                <w:rFonts w:hint="eastAsia" w:ascii="Arial" w:hAnsi="Arial" w:cs="Arial"/>
              </w:rPr>
              <w:t>规费</w:t>
            </w:r>
            <w:r>
              <w:rPr>
                <w:rFonts w:ascii="Arial" w:hAnsi="Arial" w:cs="Arial"/>
              </w:rPr>
              <w:t>-</w:t>
            </w:r>
            <w:r>
              <w:rPr>
                <w:rFonts w:hint="eastAsia" w:ascii="Arial" w:hAnsi="Arial" w:cs="Arial"/>
              </w:rPr>
              <w:t>按规定不计税的工程设备金额</w:t>
            </w:r>
          </w:p>
        </w:tc>
        <w:tc>
          <w:tcPr>
            <w:tcW w:w="1417" w:type="dxa"/>
            <w:vAlign w:val="center"/>
          </w:tcPr>
          <w:p>
            <w:pPr>
              <w:tabs>
                <w:tab w:val="left" w:pos="720"/>
              </w:tabs>
              <w:spacing w:line="300" w:lineRule="auto"/>
              <w:jc w:val="center"/>
              <w:rPr>
                <w:rFonts w:ascii="Arial" w:hAnsi="Arial" w:cs="Arial"/>
              </w:rPr>
            </w:pPr>
          </w:p>
        </w:tc>
        <w:tc>
          <w:tcPr>
            <w:tcW w:w="1276" w:type="dxa"/>
            <w:vAlign w:val="center"/>
          </w:tcPr>
          <w:p>
            <w:pPr>
              <w:tabs>
                <w:tab w:val="left" w:pos="720"/>
              </w:tabs>
              <w:spacing w:line="300" w:lineRule="auto"/>
              <w:jc w:val="center"/>
              <w:rPr>
                <w:rFonts w:ascii="Arial" w:hAnsi="Arial" w:cs="Arial"/>
              </w:rPr>
            </w:pPr>
          </w:p>
        </w:tc>
        <w:tc>
          <w:tcPr>
            <w:tcW w:w="1332" w:type="dxa"/>
            <w:vAlign w:val="center"/>
          </w:tcPr>
          <w:p>
            <w:pPr>
              <w:tabs>
                <w:tab w:val="left" w:pos="720"/>
              </w:tabs>
              <w:spacing w:line="30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812" w:type="dxa"/>
            <w:gridSpan w:val="4"/>
            <w:vAlign w:val="center"/>
          </w:tcPr>
          <w:p>
            <w:pPr>
              <w:tabs>
                <w:tab w:val="left" w:pos="720"/>
              </w:tabs>
              <w:spacing w:line="300" w:lineRule="auto"/>
              <w:jc w:val="center"/>
              <w:rPr>
                <w:rFonts w:ascii="Arial" w:hAnsi="Arial" w:cs="Arial"/>
              </w:rPr>
            </w:pPr>
            <w:r>
              <w:rPr>
                <w:rFonts w:hint="eastAsia" w:ascii="Arial" w:hAnsi="Arial" w:cs="Arial"/>
              </w:rPr>
              <w:t>合计</w:t>
            </w:r>
          </w:p>
        </w:tc>
        <w:tc>
          <w:tcPr>
            <w:tcW w:w="1276" w:type="dxa"/>
            <w:vAlign w:val="center"/>
          </w:tcPr>
          <w:p>
            <w:pPr>
              <w:tabs>
                <w:tab w:val="left" w:pos="720"/>
              </w:tabs>
              <w:spacing w:line="300" w:lineRule="auto"/>
              <w:jc w:val="center"/>
              <w:rPr>
                <w:rFonts w:ascii="Arial" w:hAnsi="Arial" w:cs="Arial"/>
              </w:rPr>
            </w:pPr>
          </w:p>
        </w:tc>
        <w:tc>
          <w:tcPr>
            <w:tcW w:w="1332" w:type="dxa"/>
            <w:vAlign w:val="center"/>
          </w:tcPr>
          <w:p>
            <w:pPr>
              <w:tabs>
                <w:tab w:val="left" w:pos="720"/>
              </w:tabs>
              <w:spacing w:line="300" w:lineRule="auto"/>
              <w:jc w:val="center"/>
              <w:rPr>
                <w:rFonts w:ascii="Arial" w:hAnsi="Arial" w:cs="Arial"/>
              </w:rPr>
            </w:pPr>
          </w:p>
        </w:tc>
      </w:tr>
    </w:tbl>
    <w:p>
      <w:pPr>
        <w:tabs>
          <w:tab w:val="left" w:pos="720"/>
        </w:tabs>
        <w:spacing w:line="300" w:lineRule="auto"/>
        <w:ind w:right="28"/>
        <w:rPr>
          <w:rFonts w:ascii="Arial" w:hAnsi="Arial" w:cs="Arial"/>
          <w:szCs w:val="21"/>
        </w:rPr>
      </w:pPr>
    </w:p>
    <w:p>
      <w:pPr>
        <w:spacing w:afterLines="50" w:line="300" w:lineRule="auto"/>
        <w:outlineLvl w:val="2"/>
        <w:rPr>
          <w:rFonts w:ascii="黑体" w:eastAsia="黑体" w:cs="Arial"/>
          <w:sz w:val="24"/>
        </w:rPr>
        <w:sectPr>
          <w:pgSz w:w="11906" w:h="16838"/>
          <w:pgMar w:top="1440" w:right="1797" w:bottom="1440" w:left="1276" w:header="851" w:footer="992" w:gutter="0"/>
          <w:cols w:space="720" w:num="1"/>
          <w:docGrid w:linePitch="312" w:charSpace="0"/>
        </w:sectPr>
      </w:pPr>
    </w:p>
    <w:tbl>
      <w:tblPr>
        <w:tblStyle w:val="17"/>
        <w:tblW w:w="0" w:type="auto"/>
        <w:tblInd w:w="108" w:type="dxa"/>
        <w:tblLayout w:type="fixed"/>
        <w:tblCellMar>
          <w:top w:w="0" w:type="dxa"/>
          <w:left w:w="108" w:type="dxa"/>
          <w:bottom w:w="0" w:type="dxa"/>
          <w:right w:w="108" w:type="dxa"/>
        </w:tblCellMar>
      </w:tblPr>
      <w:tblGrid>
        <w:gridCol w:w="1440"/>
        <w:gridCol w:w="1800"/>
        <w:gridCol w:w="3223"/>
        <w:gridCol w:w="2537"/>
        <w:gridCol w:w="1169"/>
        <w:gridCol w:w="1313"/>
        <w:gridCol w:w="1025"/>
        <w:gridCol w:w="1480"/>
      </w:tblGrid>
      <w:tr>
        <w:tblPrEx>
          <w:tblCellMar>
            <w:top w:w="0" w:type="dxa"/>
            <w:left w:w="108" w:type="dxa"/>
            <w:bottom w:w="0" w:type="dxa"/>
            <w:right w:w="108" w:type="dxa"/>
          </w:tblCellMar>
        </w:tblPrEx>
        <w:trPr>
          <w:trHeight w:val="616" w:hRule="atLeast"/>
        </w:trPr>
        <w:tc>
          <w:tcPr>
            <w:tcW w:w="13987" w:type="dxa"/>
            <w:gridSpan w:val="8"/>
            <w:tcBorders>
              <w:top w:val="nil"/>
              <w:left w:val="nil"/>
              <w:bottom w:val="nil"/>
              <w:right w:val="nil"/>
            </w:tcBorders>
          </w:tcPr>
          <w:p>
            <w:pPr>
              <w:widowControl/>
              <w:jc w:val="center"/>
              <w:rPr>
                <w:rFonts w:ascii="黑体" w:eastAsia="黑体"/>
                <w:sz w:val="30"/>
                <w:szCs w:val="30"/>
              </w:rPr>
            </w:pPr>
            <w:bookmarkStart w:id="124" w:name="RANGE!A1:H11"/>
            <w:bookmarkEnd w:id="124"/>
            <w:bookmarkStart w:id="125" w:name="_Toc241459781"/>
            <w:bookmarkStart w:id="126" w:name="_Toc342296540"/>
            <w:r>
              <w:rPr>
                <w:rFonts w:hint="eastAsia" w:ascii="黑体" w:eastAsia="黑体"/>
                <w:sz w:val="30"/>
                <w:szCs w:val="30"/>
              </w:rPr>
              <w:t>措施项目报价组成分析表</w:t>
            </w:r>
          </w:p>
        </w:tc>
      </w:tr>
      <w:tr>
        <w:tblPrEx>
          <w:tblCellMar>
            <w:top w:w="0" w:type="dxa"/>
            <w:left w:w="108" w:type="dxa"/>
            <w:bottom w:w="0" w:type="dxa"/>
            <w:right w:w="108" w:type="dxa"/>
          </w:tblCellMar>
        </w:tblPrEx>
        <w:trPr>
          <w:trHeight w:val="442" w:hRule="atLeast"/>
        </w:trPr>
        <w:tc>
          <w:tcPr>
            <w:tcW w:w="1440" w:type="dxa"/>
            <w:tcBorders>
              <w:top w:val="nil"/>
              <w:left w:val="nil"/>
              <w:bottom w:val="nil"/>
              <w:right w:val="nil"/>
            </w:tcBorders>
            <w:vAlign w:val="center"/>
          </w:tcPr>
          <w:p>
            <w:pPr>
              <w:widowControl/>
              <w:rPr>
                <w:szCs w:val="20"/>
              </w:rPr>
            </w:pPr>
            <w:r>
              <w:rPr>
                <w:rFonts w:hint="eastAsia"/>
                <w:szCs w:val="20"/>
              </w:rPr>
              <w:t>工程名称：</w:t>
            </w:r>
          </w:p>
        </w:tc>
        <w:tc>
          <w:tcPr>
            <w:tcW w:w="12547" w:type="dxa"/>
            <w:gridSpan w:val="7"/>
            <w:tcBorders>
              <w:top w:val="nil"/>
              <w:left w:val="nil"/>
              <w:bottom w:val="nil"/>
              <w:right w:val="nil"/>
            </w:tcBorders>
            <w:vAlign w:val="center"/>
          </w:tcPr>
          <w:p>
            <w:pPr>
              <w:widowControl/>
              <w:rPr>
                <w:szCs w:val="20"/>
              </w:rPr>
            </w:pPr>
          </w:p>
        </w:tc>
      </w:tr>
      <w:tr>
        <w:tblPrEx>
          <w:tblCellMar>
            <w:top w:w="0" w:type="dxa"/>
            <w:left w:w="108" w:type="dxa"/>
            <w:bottom w:w="0" w:type="dxa"/>
            <w:right w:w="108" w:type="dxa"/>
          </w:tblCellMar>
        </w:tblPrEx>
        <w:trPr>
          <w:cantSplit/>
          <w:trHeight w:val="402" w:hRule="atLeast"/>
        </w:trPr>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szCs w:val="20"/>
              </w:rPr>
            </w:pPr>
            <w:r>
              <w:rPr>
                <w:rFonts w:hint="eastAsia"/>
                <w:szCs w:val="20"/>
              </w:rPr>
              <w:t>子目编码</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szCs w:val="20"/>
              </w:rPr>
            </w:pPr>
            <w:r>
              <w:rPr>
                <w:rFonts w:hint="eastAsia"/>
                <w:szCs w:val="20"/>
              </w:rPr>
              <w:t>措施项目名称</w:t>
            </w:r>
          </w:p>
        </w:tc>
        <w:tc>
          <w:tcPr>
            <w:tcW w:w="32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szCs w:val="20"/>
              </w:rPr>
            </w:pPr>
            <w:r>
              <w:rPr>
                <w:rFonts w:hint="eastAsia"/>
                <w:szCs w:val="20"/>
              </w:rPr>
              <w:t>拟采取主要方案或投入资源描述</w:t>
            </w:r>
          </w:p>
        </w:tc>
        <w:tc>
          <w:tcPr>
            <w:tcW w:w="25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szCs w:val="20"/>
              </w:rPr>
            </w:pPr>
            <w:r>
              <w:rPr>
                <w:rFonts w:hint="eastAsia"/>
                <w:szCs w:val="20"/>
              </w:rPr>
              <w:t>实际成本详细计算过程</w:t>
            </w:r>
          </w:p>
        </w:tc>
        <w:tc>
          <w:tcPr>
            <w:tcW w:w="3507" w:type="dxa"/>
            <w:gridSpan w:val="3"/>
            <w:tcBorders>
              <w:top w:val="single" w:color="auto" w:sz="4" w:space="0"/>
              <w:left w:val="nil"/>
              <w:bottom w:val="single" w:color="auto" w:sz="4" w:space="0"/>
              <w:right w:val="single" w:color="auto" w:sz="4" w:space="0"/>
            </w:tcBorders>
            <w:vAlign w:val="center"/>
          </w:tcPr>
          <w:p>
            <w:pPr>
              <w:widowControl/>
              <w:jc w:val="center"/>
              <w:rPr>
                <w:szCs w:val="20"/>
              </w:rPr>
            </w:pPr>
            <w:r>
              <w:rPr>
                <w:rFonts w:hint="eastAsia"/>
                <w:szCs w:val="20"/>
              </w:rPr>
              <w:t>报价构成分析</w:t>
            </w:r>
          </w:p>
        </w:tc>
        <w:tc>
          <w:tcPr>
            <w:tcW w:w="1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szCs w:val="20"/>
              </w:rPr>
            </w:pPr>
            <w:r>
              <w:rPr>
                <w:rFonts w:hint="eastAsia"/>
                <w:szCs w:val="20"/>
              </w:rPr>
              <w:t>报价金额</w:t>
            </w:r>
          </w:p>
        </w:tc>
      </w:tr>
      <w:tr>
        <w:tblPrEx>
          <w:tblCellMar>
            <w:top w:w="0" w:type="dxa"/>
            <w:left w:w="108" w:type="dxa"/>
            <w:bottom w:w="0" w:type="dxa"/>
            <w:right w:w="108" w:type="dxa"/>
          </w:tblCellMar>
        </w:tblPrEx>
        <w:trPr>
          <w:cantSplit/>
          <w:trHeight w:val="402" w:hRule="atLeast"/>
        </w:trPr>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rPr>
                <w:szCs w:val="20"/>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rPr>
                <w:szCs w:val="20"/>
              </w:rPr>
            </w:pPr>
          </w:p>
        </w:tc>
        <w:tc>
          <w:tcPr>
            <w:tcW w:w="3223" w:type="dxa"/>
            <w:vMerge w:val="continue"/>
            <w:tcBorders>
              <w:top w:val="single" w:color="auto" w:sz="4" w:space="0"/>
              <w:left w:val="single" w:color="auto" w:sz="4" w:space="0"/>
              <w:bottom w:val="single" w:color="auto" w:sz="4" w:space="0"/>
              <w:right w:val="single" w:color="auto" w:sz="4" w:space="0"/>
            </w:tcBorders>
            <w:vAlign w:val="center"/>
          </w:tcPr>
          <w:p>
            <w:pPr>
              <w:widowControl/>
              <w:rPr>
                <w:szCs w:val="20"/>
              </w:rPr>
            </w:pPr>
          </w:p>
        </w:tc>
        <w:tc>
          <w:tcPr>
            <w:tcW w:w="2537" w:type="dxa"/>
            <w:vMerge w:val="continue"/>
            <w:tcBorders>
              <w:top w:val="single" w:color="auto" w:sz="4" w:space="0"/>
              <w:left w:val="single" w:color="auto" w:sz="4" w:space="0"/>
              <w:bottom w:val="single" w:color="auto" w:sz="4" w:space="0"/>
              <w:right w:val="single" w:color="auto" w:sz="4" w:space="0"/>
            </w:tcBorders>
            <w:vAlign w:val="center"/>
          </w:tcPr>
          <w:p>
            <w:pPr>
              <w:widowControl/>
              <w:rPr>
                <w:szCs w:val="20"/>
              </w:rPr>
            </w:pPr>
          </w:p>
        </w:tc>
        <w:tc>
          <w:tcPr>
            <w:tcW w:w="1169" w:type="dxa"/>
            <w:tcBorders>
              <w:top w:val="nil"/>
              <w:left w:val="nil"/>
              <w:bottom w:val="single" w:color="auto" w:sz="4" w:space="0"/>
              <w:right w:val="single" w:color="auto" w:sz="4" w:space="0"/>
            </w:tcBorders>
            <w:vAlign w:val="center"/>
          </w:tcPr>
          <w:p>
            <w:pPr>
              <w:widowControl/>
              <w:jc w:val="center"/>
              <w:rPr>
                <w:szCs w:val="20"/>
              </w:rPr>
            </w:pPr>
            <w:r>
              <w:rPr>
                <w:rFonts w:hint="eastAsia"/>
                <w:szCs w:val="20"/>
              </w:rPr>
              <w:t>实际成本</w:t>
            </w:r>
          </w:p>
        </w:tc>
        <w:tc>
          <w:tcPr>
            <w:tcW w:w="1313" w:type="dxa"/>
            <w:tcBorders>
              <w:top w:val="nil"/>
              <w:left w:val="nil"/>
              <w:bottom w:val="single" w:color="auto" w:sz="4" w:space="0"/>
              <w:right w:val="single" w:color="auto" w:sz="4" w:space="0"/>
            </w:tcBorders>
            <w:vAlign w:val="center"/>
          </w:tcPr>
          <w:p>
            <w:pPr>
              <w:widowControl/>
              <w:jc w:val="center"/>
              <w:rPr>
                <w:szCs w:val="20"/>
              </w:rPr>
            </w:pPr>
            <w:r>
              <w:rPr>
                <w:rFonts w:hint="eastAsia"/>
                <w:szCs w:val="20"/>
              </w:rPr>
              <w:t>企业管理费</w:t>
            </w:r>
          </w:p>
        </w:tc>
        <w:tc>
          <w:tcPr>
            <w:tcW w:w="1025" w:type="dxa"/>
            <w:tcBorders>
              <w:top w:val="nil"/>
              <w:left w:val="nil"/>
              <w:bottom w:val="single" w:color="auto" w:sz="4" w:space="0"/>
              <w:right w:val="single" w:color="auto" w:sz="4" w:space="0"/>
            </w:tcBorders>
            <w:vAlign w:val="center"/>
          </w:tcPr>
          <w:p>
            <w:pPr>
              <w:widowControl/>
              <w:jc w:val="center"/>
              <w:rPr>
                <w:szCs w:val="20"/>
              </w:rPr>
            </w:pPr>
            <w:r>
              <w:rPr>
                <w:rFonts w:hint="eastAsia"/>
                <w:szCs w:val="20"/>
              </w:rPr>
              <w:t>利润</w:t>
            </w: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widowControl/>
              <w:rPr>
                <w:szCs w:val="20"/>
              </w:rPr>
            </w:pPr>
          </w:p>
        </w:tc>
      </w:tr>
      <w:tr>
        <w:tblPrEx>
          <w:tblCellMar>
            <w:top w:w="0" w:type="dxa"/>
            <w:left w:w="108" w:type="dxa"/>
            <w:bottom w:w="0" w:type="dxa"/>
            <w:right w:w="108" w:type="dxa"/>
          </w:tblCellMar>
        </w:tblPrEx>
        <w:trPr>
          <w:trHeight w:val="1002" w:hRule="atLeast"/>
        </w:trPr>
        <w:tc>
          <w:tcPr>
            <w:tcW w:w="1440" w:type="dxa"/>
            <w:tcBorders>
              <w:top w:val="nil"/>
              <w:left w:val="single" w:color="auto" w:sz="4" w:space="0"/>
              <w:bottom w:val="nil"/>
              <w:right w:val="single" w:color="auto" w:sz="4" w:space="0"/>
            </w:tcBorders>
            <w:vAlign w:val="center"/>
          </w:tcPr>
          <w:p>
            <w:pPr>
              <w:widowControl/>
              <w:jc w:val="center"/>
              <w:rPr>
                <w:szCs w:val="20"/>
              </w:rPr>
            </w:pPr>
            <w:r>
              <w:rPr>
                <w:rFonts w:hint="eastAsia"/>
                <w:szCs w:val="20"/>
              </w:rPr>
              <w:t>　</w:t>
            </w:r>
          </w:p>
        </w:tc>
        <w:tc>
          <w:tcPr>
            <w:tcW w:w="1800" w:type="dxa"/>
            <w:tcBorders>
              <w:top w:val="nil"/>
              <w:left w:val="nil"/>
              <w:bottom w:val="nil"/>
              <w:right w:val="single" w:color="auto" w:sz="4" w:space="0"/>
            </w:tcBorders>
            <w:vAlign w:val="center"/>
          </w:tcPr>
          <w:p>
            <w:pPr>
              <w:widowControl/>
              <w:rPr>
                <w:szCs w:val="20"/>
              </w:rPr>
            </w:pPr>
            <w:r>
              <w:rPr>
                <w:rFonts w:hint="eastAsia"/>
                <w:szCs w:val="20"/>
              </w:rPr>
              <w:t>　</w:t>
            </w:r>
          </w:p>
        </w:tc>
        <w:tc>
          <w:tcPr>
            <w:tcW w:w="3223" w:type="dxa"/>
            <w:tcBorders>
              <w:top w:val="nil"/>
              <w:left w:val="nil"/>
              <w:bottom w:val="nil"/>
              <w:right w:val="single" w:color="auto" w:sz="4" w:space="0"/>
            </w:tcBorders>
            <w:vAlign w:val="center"/>
          </w:tcPr>
          <w:p>
            <w:pPr>
              <w:widowControl/>
              <w:rPr>
                <w:szCs w:val="20"/>
              </w:rPr>
            </w:pPr>
            <w:r>
              <w:rPr>
                <w:rFonts w:hint="eastAsia"/>
                <w:szCs w:val="20"/>
              </w:rPr>
              <w:t>　</w:t>
            </w:r>
          </w:p>
        </w:tc>
        <w:tc>
          <w:tcPr>
            <w:tcW w:w="2537" w:type="dxa"/>
            <w:tcBorders>
              <w:top w:val="nil"/>
              <w:left w:val="nil"/>
              <w:bottom w:val="nil"/>
              <w:right w:val="single" w:color="auto" w:sz="4" w:space="0"/>
            </w:tcBorders>
            <w:vAlign w:val="center"/>
          </w:tcPr>
          <w:p>
            <w:pPr>
              <w:widowControl/>
              <w:rPr>
                <w:szCs w:val="20"/>
              </w:rPr>
            </w:pPr>
            <w:r>
              <w:rPr>
                <w:rFonts w:hint="eastAsia"/>
                <w:szCs w:val="20"/>
              </w:rPr>
              <w:t>　</w:t>
            </w:r>
          </w:p>
        </w:tc>
        <w:tc>
          <w:tcPr>
            <w:tcW w:w="1169" w:type="dxa"/>
            <w:tcBorders>
              <w:top w:val="nil"/>
              <w:left w:val="nil"/>
              <w:bottom w:val="nil"/>
              <w:right w:val="single" w:color="auto" w:sz="4" w:space="0"/>
            </w:tcBorders>
            <w:vAlign w:val="center"/>
          </w:tcPr>
          <w:p>
            <w:pPr>
              <w:widowControl/>
              <w:rPr>
                <w:szCs w:val="20"/>
              </w:rPr>
            </w:pPr>
            <w:r>
              <w:rPr>
                <w:rFonts w:hint="eastAsia"/>
                <w:szCs w:val="20"/>
              </w:rPr>
              <w:t>　</w:t>
            </w:r>
          </w:p>
        </w:tc>
        <w:tc>
          <w:tcPr>
            <w:tcW w:w="1313" w:type="dxa"/>
            <w:tcBorders>
              <w:top w:val="nil"/>
              <w:left w:val="nil"/>
              <w:bottom w:val="nil"/>
              <w:right w:val="single" w:color="auto" w:sz="4" w:space="0"/>
            </w:tcBorders>
            <w:vAlign w:val="center"/>
          </w:tcPr>
          <w:p>
            <w:pPr>
              <w:widowControl/>
              <w:rPr>
                <w:szCs w:val="20"/>
              </w:rPr>
            </w:pPr>
            <w:r>
              <w:rPr>
                <w:rFonts w:hint="eastAsia"/>
                <w:szCs w:val="20"/>
              </w:rPr>
              <w:t>　</w:t>
            </w:r>
          </w:p>
        </w:tc>
        <w:tc>
          <w:tcPr>
            <w:tcW w:w="1025" w:type="dxa"/>
            <w:tcBorders>
              <w:top w:val="nil"/>
              <w:left w:val="nil"/>
              <w:bottom w:val="nil"/>
              <w:right w:val="single" w:color="auto" w:sz="4" w:space="0"/>
            </w:tcBorders>
            <w:vAlign w:val="center"/>
          </w:tcPr>
          <w:p>
            <w:pPr>
              <w:widowControl/>
              <w:rPr>
                <w:szCs w:val="20"/>
              </w:rPr>
            </w:pPr>
            <w:r>
              <w:rPr>
                <w:rFonts w:hint="eastAsia"/>
                <w:szCs w:val="20"/>
              </w:rPr>
              <w:t>　</w:t>
            </w:r>
          </w:p>
        </w:tc>
        <w:tc>
          <w:tcPr>
            <w:tcW w:w="1480" w:type="dxa"/>
            <w:tcBorders>
              <w:top w:val="nil"/>
              <w:left w:val="nil"/>
              <w:bottom w:val="nil"/>
              <w:right w:val="single" w:color="auto" w:sz="4" w:space="0"/>
            </w:tcBorders>
            <w:vAlign w:val="center"/>
          </w:tcPr>
          <w:p>
            <w:pPr>
              <w:widowControl/>
              <w:rPr>
                <w:szCs w:val="20"/>
              </w:rPr>
            </w:pPr>
            <w:r>
              <w:rPr>
                <w:rFonts w:hint="eastAsia"/>
                <w:szCs w:val="20"/>
              </w:rPr>
              <w:t>　</w:t>
            </w:r>
          </w:p>
        </w:tc>
      </w:tr>
      <w:tr>
        <w:tblPrEx>
          <w:tblCellMar>
            <w:top w:w="0" w:type="dxa"/>
            <w:left w:w="108" w:type="dxa"/>
            <w:bottom w:w="0" w:type="dxa"/>
            <w:right w:w="108" w:type="dxa"/>
          </w:tblCellMar>
        </w:tblPrEx>
        <w:trPr>
          <w:trHeight w:val="1002" w:hRule="atLeast"/>
        </w:trPr>
        <w:tc>
          <w:tcPr>
            <w:tcW w:w="1440" w:type="dxa"/>
            <w:tcBorders>
              <w:top w:val="nil"/>
              <w:left w:val="single" w:color="auto" w:sz="4" w:space="0"/>
              <w:bottom w:val="nil"/>
              <w:right w:val="single" w:color="auto" w:sz="4" w:space="0"/>
            </w:tcBorders>
            <w:vAlign w:val="center"/>
          </w:tcPr>
          <w:p>
            <w:pPr>
              <w:widowControl/>
              <w:jc w:val="center"/>
              <w:rPr>
                <w:szCs w:val="20"/>
              </w:rPr>
            </w:pPr>
            <w:r>
              <w:rPr>
                <w:rFonts w:hint="eastAsia"/>
                <w:szCs w:val="20"/>
              </w:rPr>
              <w:t>　</w:t>
            </w:r>
          </w:p>
        </w:tc>
        <w:tc>
          <w:tcPr>
            <w:tcW w:w="1800" w:type="dxa"/>
            <w:tcBorders>
              <w:top w:val="nil"/>
              <w:left w:val="nil"/>
              <w:bottom w:val="nil"/>
              <w:right w:val="single" w:color="auto" w:sz="4" w:space="0"/>
            </w:tcBorders>
            <w:vAlign w:val="center"/>
          </w:tcPr>
          <w:p>
            <w:pPr>
              <w:widowControl/>
              <w:rPr>
                <w:szCs w:val="20"/>
              </w:rPr>
            </w:pPr>
            <w:r>
              <w:rPr>
                <w:rFonts w:hint="eastAsia"/>
                <w:szCs w:val="20"/>
              </w:rPr>
              <w:t>　</w:t>
            </w:r>
          </w:p>
        </w:tc>
        <w:tc>
          <w:tcPr>
            <w:tcW w:w="3223" w:type="dxa"/>
            <w:tcBorders>
              <w:top w:val="nil"/>
              <w:left w:val="nil"/>
              <w:bottom w:val="nil"/>
              <w:right w:val="single" w:color="auto" w:sz="4" w:space="0"/>
            </w:tcBorders>
            <w:vAlign w:val="center"/>
          </w:tcPr>
          <w:p>
            <w:pPr>
              <w:widowControl/>
              <w:rPr>
                <w:szCs w:val="20"/>
              </w:rPr>
            </w:pPr>
            <w:r>
              <w:rPr>
                <w:rFonts w:hint="eastAsia"/>
                <w:szCs w:val="20"/>
              </w:rPr>
              <w:t>　</w:t>
            </w:r>
          </w:p>
        </w:tc>
        <w:tc>
          <w:tcPr>
            <w:tcW w:w="2537" w:type="dxa"/>
            <w:tcBorders>
              <w:top w:val="nil"/>
              <w:left w:val="nil"/>
              <w:bottom w:val="nil"/>
              <w:right w:val="single" w:color="auto" w:sz="4" w:space="0"/>
            </w:tcBorders>
            <w:vAlign w:val="center"/>
          </w:tcPr>
          <w:p>
            <w:pPr>
              <w:widowControl/>
              <w:rPr>
                <w:szCs w:val="20"/>
              </w:rPr>
            </w:pPr>
            <w:r>
              <w:rPr>
                <w:rFonts w:hint="eastAsia"/>
                <w:szCs w:val="20"/>
              </w:rPr>
              <w:t>　</w:t>
            </w:r>
          </w:p>
        </w:tc>
        <w:tc>
          <w:tcPr>
            <w:tcW w:w="1169" w:type="dxa"/>
            <w:tcBorders>
              <w:top w:val="nil"/>
              <w:left w:val="nil"/>
              <w:bottom w:val="nil"/>
              <w:right w:val="single" w:color="auto" w:sz="4" w:space="0"/>
            </w:tcBorders>
            <w:vAlign w:val="center"/>
          </w:tcPr>
          <w:p>
            <w:pPr>
              <w:widowControl/>
              <w:rPr>
                <w:szCs w:val="20"/>
              </w:rPr>
            </w:pPr>
            <w:r>
              <w:rPr>
                <w:rFonts w:hint="eastAsia"/>
                <w:szCs w:val="20"/>
              </w:rPr>
              <w:t>　</w:t>
            </w:r>
          </w:p>
        </w:tc>
        <w:tc>
          <w:tcPr>
            <w:tcW w:w="1313" w:type="dxa"/>
            <w:tcBorders>
              <w:top w:val="nil"/>
              <w:left w:val="nil"/>
              <w:bottom w:val="nil"/>
              <w:right w:val="single" w:color="auto" w:sz="4" w:space="0"/>
            </w:tcBorders>
            <w:vAlign w:val="center"/>
          </w:tcPr>
          <w:p>
            <w:pPr>
              <w:widowControl/>
              <w:rPr>
                <w:szCs w:val="20"/>
              </w:rPr>
            </w:pPr>
            <w:r>
              <w:rPr>
                <w:rFonts w:hint="eastAsia"/>
                <w:szCs w:val="20"/>
              </w:rPr>
              <w:t>　</w:t>
            </w:r>
          </w:p>
        </w:tc>
        <w:tc>
          <w:tcPr>
            <w:tcW w:w="1025" w:type="dxa"/>
            <w:tcBorders>
              <w:top w:val="nil"/>
              <w:left w:val="nil"/>
              <w:bottom w:val="nil"/>
              <w:right w:val="single" w:color="auto" w:sz="4" w:space="0"/>
            </w:tcBorders>
            <w:vAlign w:val="center"/>
          </w:tcPr>
          <w:p>
            <w:pPr>
              <w:widowControl/>
              <w:rPr>
                <w:szCs w:val="20"/>
              </w:rPr>
            </w:pPr>
            <w:r>
              <w:rPr>
                <w:rFonts w:hint="eastAsia"/>
                <w:szCs w:val="20"/>
              </w:rPr>
              <w:t>　</w:t>
            </w:r>
          </w:p>
        </w:tc>
        <w:tc>
          <w:tcPr>
            <w:tcW w:w="1480" w:type="dxa"/>
            <w:tcBorders>
              <w:top w:val="nil"/>
              <w:left w:val="nil"/>
              <w:bottom w:val="nil"/>
              <w:right w:val="single" w:color="auto" w:sz="4" w:space="0"/>
            </w:tcBorders>
            <w:vAlign w:val="center"/>
          </w:tcPr>
          <w:p>
            <w:pPr>
              <w:widowControl/>
              <w:rPr>
                <w:szCs w:val="20"/>
              </w:rPr>
            </w:pPr>
            <w:r>
              <w:rPr>
                <w:rFonts w:hint="eastAsia"/>
                <w:szCs w:val="20"/>
              </w:rPr>
              <w:t>　</w:t>
            </w:r>
          </w:p>
        </w:tc>
      </w:tr>
      <w:tr>
        <w:tblPrEx>
          <w:tblCellMar>
            <w:top w:w="0" w:type="dxa"/>
            <w:left w:w="108" w:type="dxa"/>
            <w:bottom w:w="0" w:type="dxa"/>
            <w:right w:w="108" w:type="dxa"/>
          </w:tblCellMar>
        </w:tblPrEx>
        <w:trPr>
          <w:trHeight w:val="1002" w:hRule="atLeast"/>
        </w:trPr>
        <w:tc>
          <w:tcPr>
            <w:tcW w:w="1440" w:type="dxa"/>
            <w:tcBorders>
              <w:top w:val="nil"/>
              <w:left w:val="single" w:color="auto" w:sz="4" w:space="0"/>
              <w:bottom w:val="nil"/>
              <w:right w:val="single" w:color="auto" w:sz="4" w:space="0"/>
            </w:tcBorders>
            <w:vAlign w:val="center"/>
          </w:tcPr>
          <w:p>
            <w:pPr>
              <w:widowControl/>
              <w:jc w:val="center"/>
              <w:rPr>
                <w:szCs w:val="20"/>
              </w:rPr>
            </w:pPr>
            <w:r>
              <w:rPr>
                <w:rFonts w:hint="eastAsia"/>
                <w:szCs w:val="20"/>
              </w:rPr>
              <w:t>　</w:t>
            </w:r>
          </w:p>
        </w:tc>
        <w:tc>
          <w:tcPr>
            <w:tcW w:w="1800" w:type="dxa"/>
            <w:tcBorders>
              <w:top w:val="nil"/>
              <w:left w:val="nil"/>
              <w:bottom w:val="nil"/>
              <w:right w:val="single" w:color="auto" w:sz="4" w:space="0"/>
            </w:tcBorders>
            <w:vAlign w:val="center"/>
          </w:tcPr>
          <w:p>
            <w:pPr>
              <w:widowControl/>
              <w:rPr>
                <w:szCs w:val="20"/>
              </w:rPr>
            </w:pPr>
            <w:r>
              <w:rPr>
                <w:rFonts w:hint="eastAsia"/>
                <w:szCs w:val="20"/>
              </w:rPr>
              <w:t>　</w:t>
            </w:r>
          </w:p>
        </w:tc>
        <w:tc>
          <w:tcPr>
            <w:tcW w:w="3223" w:type="dxa"/>
            <w:tcBorders>
              <w:top w:val="nil"/>
              <w:left w:val="nil"/>
              <w:bottom w:val="nil"/>
              <w:right w:val="single" w:color="auto" w:sz="4" w:space="0"/>
            </w:tcBorders>
            <w:vAlign w:val="center"/>
          </w:tcPr>
          <w:p>
            <w:pPr>
              <w:widowControl/>
              <w:rPr>
                <w:szCs w:val="20"/>
              </w:rPr>
            </w:pPr>
            <w:r>
              <w:rPr>
                <w:rFonts w:hint="eastAsia"/>
                <w:szCs w:val="20"/>
              </w:rPr>
              <w:t>　</w:t>
            </w:r>
          </w:p>
        </w:tc>
        <w:tc>
          <w:tcPr>
            <w:tcW w:w="2537" w:type="dxa"/>
            <w:tcBorders>
              <w:top w:val="nil"/>
              <w:left w:val="nil"/>
              <w:bottom w:val="nil"/>
              <w:right w:val="single" w:color="auto" w:sz="4" w:space="0"/>
            </w:tcBorders>
            <w:vAlign w:val="center"/>
          </w:tcPr>
          <w:p>
            <w:pPr>
              <w:widowControl/>
              <w:rPr>
                <w:szCs w:val="20"/>
              </w:rPr>
            </w:pPr>
            <w:r>
              <w:rPr>
                <w:rFonts w:hint="eastAsia"/>
                <w:szCs w:val="20"/>
              </w:rPr>
              <w:t>　</w:t>
            </w:r>
          </w:p>
        </w:tc>
        <w:tc>
          <w:tcPr>
            <w:tcW w:w="1169" w:type="dxa"/>
            <w:tcBorders>
              <w:top w:val="nil"/>
              <w:left w:val="nil"/>
              <w:bottom w:val="nil"/>
              <w:right w:val="single" w:color="auto" w:sz="4" w:space="0"/>
            </w:tcBorders>
            <w:vAlign w:val="center"/>
          </w:tcPr>
          <w:p>
            <w:pPr>
              <w:widowControl/>
              <w:rPr>
                <w:szCs w:val="20"/>
              </w:rPr>
            </w:pPr>
            <w:r>
              <w:rPr>
                <w:rFonts w:hint="eastAsia"/>
                <w:szCs w:val="20"/>
              </w:rPr>
              <w:t>　</w:t>
            </w:r>
          </w:p>
        </w:tc>
        <w:tc>
          <w:tcPr>
            <w:tcW w:w="1313" w:type="dxa"/>
            <w:tcBorders>
              <w:top w:val="nil"/>
              <w:left w:val="nil"/>
              <w:bottom w:val="nil"/>
              <w:right w:val="single" w:color="auto" w:sz="4" w:space="0"/>
            </w:tcBorders>
            <w:vAlign w:val="center"/>
          </w:tcPr>
          <w:p>
            <w:pPr>
              <w:widowControl/>
              <w:rPr>
                <w:szCs w:val="20"/>
              </w:rPr>
            </w:pPr>
            <w:r>
              <w:rPr>
                <w:rFonts w:hint="eastAsia"/>
                <w:szCs w:val="20"/>
              </w:rPr>
              <w:t>　</w:t>
            </w:r>
          </w:p>
        </w:tc>
        <w:tc>
          <w:tcPr>
            <w:tcW w:w="1025" w:type="dxa"/>
            <w:tcBorders>
              <w:top w:val="nil"/>
              <w:left w:val="nil"/>
              <w:bottom w:val="nil"/>
              <w:right w:val="single" w:color="auto" w:sz="4" w:space="0"/>
            </w:tcBorders>
            <w:vAlign w:val="center"/>
          </w:tcPr>
          <w:p>
            <w:pPr>
              <w:widowControl/>
              <w:rPr>
                <w:szCs w:val="20"/>
              </w:rPr>
            </w:pPr>
            <w:r>
              <w:rPr>
                <w:rFonts w:hint="eastAsia"/>
                <w:szCs w:val="20"/>
              </w:rPr>
              <w:t>　</w:t>
            </w:r>
          </w:p>
        </w:tc>
        <w:tc>
          <w:tcPr>
            <w:tcW w:w="1480" w:type="dxa"/>
            <w:tcBorders>
              <w:top w:val="nil"/>
              <w:left w:val="nil"/>
              <w:bottom w:val="nil"/>
              <w:right w:val="single" w:color="auto" w:sz="4" w:space="0"/>
            </w:tcBorders>
            <w:vAlign w:val="center"/>
          </w:tcPr>
          <w:p>
            <w:pPr>
              <w:widowControl/>
              <w:rPr>
                <w:szCs w:val="20"/>
              </w:rPr>
            </w:pPr>
            <w:r>
              <w:rPr>
                <w:rFonts w:hint="eastAsia"/>
                <w:szCs w:val="20"/>
              </w:rPr>
              <w:t>　</w:t>
            </w:r>
          </w:p>
        </w:tc>
      </w:tr>
      <w:tr>
        <w:tblPrEx>
          <w:tblCellMar>
            <w:top w:w="0" w:type="dxa"/>
            <w:left w:w="108" w:type="dxa"/>
            <w:bottom w:w="0" w:type="dxa"/>
            <w:right w:w="108" w:type="dxa"/>
          </w:tblCellMar>
        </w:tblPrEx>
        <w:trPr>
          <w:trHeight w:val="1002" w:hRule="atLeast"/>
        </w:trPr>
        <w:tc>
          <w:tcPr>
            <w:tcW w:w="1440" w:type="dxa"/>
            <w:tcBorders>
              <w:top w:val="nil"/>
              <w:left w:val="single" w:color="auto" w:sz="4" w:space="0"/>
              <w:bottom w:val="nil"/>
              <w:right w:val="single" w:color="auto" w:sz="4" w:space="0"/>
            </w:tcBorders>
            <w:vAlign w:val="center"/>
          </w:tcPr>
          <w:p>
            <w:pPr>
              <w:widowControl/>
              <w:jc w:val="center"/>
              <w:rPr>
                <w:szCs w:val="20"/>
              </w:rPr>
            </w:pPr>
            <w:r>
              <w:rPr>
                <w:rFonts w:hint="eastAsia"/>
                <w:szCs w:val="20"/>
              </w:rPr>
              <w:t>　</w:t>
            </w:r>
          </w:p>
        </w:tc>
        <w:tc>
          <w:tcPr>
            <w:tcW w:w="1800" w:type="dxa"/>
            <w:tcBorders>
              <w:top w:val="nil"/>
              <w:left w:val="nil"/>
              <w:bottom w:val="nil"/>
              <w:right w:val="single" w:color="auto" w:sz="4" w:space="0"/>
            </w:tcBorders>
            <w:vAlign w:val="center"/>
          </w:tcPr>
          <w:p>
            <w:pPr>
              <w:widowControl/>
              <w:rPr>
                <w:szCs w:val="20"/>
              </w:rPr>
            </w:pPr>
            <w:r>
              <w:rPr>
                <w:rFonts w:hint="eastAsia"/>
                <w:szCs w:val="20"/>
              </w:rPr>
              <w:t>　</w:t>
            </w:r>
          </w:p>
        </w:tc>
        <w:tc>
          <w:tcPr>
            <w:tcW w:w="3223" w:type="dxa"/>
            <w:tcBorders>
              <w:top w:val="nil"/>
              <w:left w:val="nil"/>
              <w:bottom w:val="nil"/>
              <w:right w:val="single" w:color="auto" w:sz="4" w:space="0"/>
            </w:tcBorders>
            <w:vAlign w:val="center"/>
          </w:tcPr>
          <w:p>
            <w:pPr>
              <w:widowControl/>
              <w:rPr>
                <w:szCs w:val="20"/>
              </w:rPr>
            </w:pPr>
            <w:r>
              <w:rPr>
                <w:rFonts w:hint="eastAsia"/>
                <w:szCs w:val="20"/>
              </w:rPr>
              <w:t>　</w:t>
            </w:r>
          </w:p>
        </w:tc>
        <w:tc>
          <w:tcPr>
            <w:tcW w:w="2537" w:type="dxa"/>
            <w:tcBorders>
              <w:top w:val="nil"/>
              <w:left w:val="nil"/>
              <w:bottom w:val="nil"/>
              <w:right w:val="single" w:color="auto" w:sz="4" w:space="0"/>
            </w:tcBorders>
            <w:vAlign w:val="center"/>
          </w:tcPr>
          <w:p>
            <w:pPr>
              <w:widowControl/>
              <w:rPr>
                <w:szCs w:val="20"/>
              </w:rPr>
            </w:pPr>
            <w:r>
              <w:rPr>
                <w:rFonts w:hint="eastAsia"/>
                <w:szCs w:val="20"/>
              </w:rPr>
              <w:t>　</w:t>
            </w:r>
          </w:p>
        </w:tc>
        <w:tc>
          <w:tcPr>
            <w:tcW w:w="1169" w:type="dxa"/>
            <w:tcBorders>
              <w:top w:val="nil"/>
              <w:left w:val="nil"/>
              <w:bottom w:val="nil"/>
              <w:right w:val="single" w:color="auto" w:sz="4" w:space="0"/>
            </w:tcBorders>
            <w:vAlign w:val="center"/>
          </w:tcPr>
          <w:p>
            <w:pPr>
              <w:widowControl/>
              <w:rPr>
                <w:szCs w:val="20"/>
              </w:rPr>
            </w:pPr>
            <w:r>
              <w:rPr>
                <w:rFonts w:hint="eastAsia"/>
                <w:szCs w:val="20"/>
              </w:rPr>
              <w:t>　</w:t>
            </w:r>
          </w:p>
        </w:tc>
        <w:tc>
          <w:tcPr>
            <w:tcW w:w="1313" w:type="dxa"/>
            <w:tcBorders>
              <w:top w:val="nil"/>
              <w:left w:val="nil"/>
              <w:bottom w:val="nil"/>
              <w:right w:val="single" w:color="auto" w:sz="4" w:space="0"/>
            </w:tcBorders>
            <w:vAlign w:val="center"/>
          </w:tcPr>
          <w:p>
            <w:pPr>
              <w:widowControl/>
              <w:rPr>
                <w:szCs w:val="20"/>
              </w:rPr>
            </w:pPr>
            <w:r>
              <w:rPr>
                <w:rFonts w:hint="eastAsia"/>
                <w:szCs w:val="20"/>
              </w:rPr>
              <w:t>　</w:t>
            </w:r>
          </w:p>
        </w:tc>
        <w:tc>
          <w:tcPr>
            <w:tcW w:w="1025" w:type="dxa"/>
            <w:tcBorders>
              <w:top w:val="nil"/>
              <w:left w:val="nil"/>
              <w:bottom w:val="nil"/>
              <w:right w:val="single" w:color="auto" w:sz="4" w:space="0"/>
            </w:tcBorders>
            <w:vAlign w:val="center"/>
          </w:tcPr>
          <w:p>
            <w:pPr>
              <w:widowControl/>
              <w:rPr>
                <w:szCs w:val="20"/>
              </w:rPr>
            </w:pPr>
            <w:r>
              <w:rPr>
                <w:rFonts w:hint="eastAsia"/>
                <w:szCs w:val="20"/>
              </w:rPr>
              <w:t>　</w:t>
            </w:r>
          </w:p>
        </w:tc>
        <w:tc>
          <w:tcPr>
            <w:tcW w:w="1480" w:type="dxa"/>
            <w:tcBorders>
              <w:top w:val="nil"/>
              <w:left w:val="nil"/>
              <w:bottom w:val="nil"/>
              <w:right w:val="single" w:color="auto" w:sz="4" w:space="0"/>
            </w:tcBorders>
            <w:vAlign w:val="center"/>
          </w:tcPr>
          <w:p>
            <w:pPr>
              <w:widowControl/>
              <w:rPr>
                <w:szCs w:val="20"/>
              </w:rPr>
            </w:pPr>
            <w:r>
              <w:rPr>
                <w:rFonts w:hint="eastAsia"/>
                <w:szCs w:val="20"/>
              </w:rPr>
              <w:t>　</w:t>
            </w:r>
          </w:p>
        </w:tc>
      </w:tr>
      <w:tr>
        <w:tblPrEx>
          <w:tblCellMar>
            <w:top w:w="0" w:type="dxa"/>
            <w:left w:w="108" w:type="dxa"/>
            <w:bottom w:w="0" w:type="dxa"/>
            <w:right w:w="108" w:type="dxa"/>
          </w:tblCellMar>
        </w:tblPrEx>
        <w:trPr>
          <w:trHeight w:val="1002" w:hRule="atLeast"/>
        </w:trPr>
        <w:tc>
          <w:tcPr>
            <w:tcW w:w="1440" w:type="dxa"/>
            <w:tcBorders>
              <w:top w:val="nil"/>
              <w:left w:val="single" w:color="auto" w:sz="4" w:space="0"/>
              <w:bottom w:val="single" w:color="auto" w:sz="4" w:space="0"/>
              <w:right w:val="single" w:color="auto" w:sz="4" w:space="0"/>
            </w:tcBorders>
            <w:vAlign w:val="center"/>
          </w:tcPr>
          <w:p>
            <w:pPr>
              <w:widowControl/>
              <w:jc w:val="center"/>
              <w:rPr>
                <w:szCs w:val="20"/>
              </w:rPr>
            </w:pPr>
            <w:r>
              <w:rPr>
                <w:rFonts w:hint="eastAsia"/>
                <w:szCs w:val="20"/>
              </w:rPr>
              <w:t>　</w:t>
            </w:r>
          </w:p>
        </w:tc>
        <w:tc>
          <w:tcPr>
            <w:tcW w:w="1800" w:type="dxa"/>
            <w:tcBorders>
              <w:top w:val="nil"/>
              <w:left w:val="nil"/>
              <w:bottom w:val="single" w:color="auto" w:sz="4" w:space="0"/>
              <w:right w:val="single" w:color="auto" w:sz="4" w:space="0"/>
            </w:tcBorders>
            <w:vAlign w:val="center"/>
          </w:tcPr>
          <w:p>
            <w:pPr>
              <w:widowControl/>
              <w:rPr>
                <w:szCs w:val="20"/>
              </w:rPr>
            </w:pPr>
            <w:r>
              <w:rPr>
                <w:rFonts w:hint="eastAsia"/>
                <w:szCs w:val="20"/>
              </w:rPr>
              <w:t>　</w:t>
            </w:r>
          </w:p>
        </w:tc>
        <w:tc>
          <w:tcPr>
            <w:tcW w:w="3223" w:type="dxa"/>
            <w:tcBorders>
              <w:top w:val="nil"/>
              <w:left w:val="nil"/>
              <w:bottom w:val="single" w:color="auto" w:sz="4" w:space="0"/>
              <w:right w:val="single" w:color="auto" w:sz="4" w:space="0"/>
            </w:tcBorders>
            <w:vAlign w:val="center"/>
          </w:tcPr>
          <w:p>
            <w:pPr>
              <w:widowControl/>
              <w:rPr>
                <w:szCs w:val="20"/>
              </w:rPr>
            </w:pPr>
            <w:r>
              <w:rPr>
                <w:rFonts w:hint="eastAsia"/>
                <w:szCs w:val="20"/>
              </w:rPr>
              <w:t>　</w:t>
            </w:r>
          </w:p>
        </w:tc>
        <w:tc>
          <w:tcPr>
            <w:tcW w:w="2537" w:type="dxa"/>
            <w:tcBorders>
              <w:top w:val="nil"/>
              <w:left w:val="nil"/>
              <w:bottom w:val="single" w:color="auto" w:sz="4" w:space="0"/>
              <w:right w:val="single" w:color="auto" w:sz="4" w:space="0"/>
            </w:tcBorders>
            <w:vAlign w:val="center"/>
          </w:tcPr>
          <w:p>
            <w:pPr>
              <w:widowControl/>
              <w:rPr>
                <w:szCs w:val="20"/>
              </w:rPr>
            </w:pPr>
            <w:r>
              <w:rPr>
                <w:rFonts w:hint="eastAsia"/>
                <w:szCs w:val="20"/>
              </w:rPr>
              <w:t>　</w:t>
            </w:r>
          </w:p>
        </w:tc>
        <w:tc>
          <w:tcPr>
            <w:tcW w:w="1169" w:type="dxa"/>
            <w:tcBorders>
              <w:top w:val="nil"/>
              <w:left w:val="nil"/>
              <w:bottom w:val="single" w:color="auto" w:sz="4" w:space="0"/>
              <w:right w:val="single" w:color="auto" w:sz="4" w:space="0"/>
            </w:tcBorders>
            <w:vAlign w:val="center"/>
          </w:tcPr>
          <w:p>
            <w:pPr>
              <w:widowControl/>
              <w:rPr>
                <w:szCs w:val="20"/>
              </w:rPr>
            </w:pPr>
            <w:r>
              <w:rPr>
                <w:rFonts w:hint="eastAsia"/>
                <w:szCs w:val="20"/>
              </w:rPr>
              <w:t>　</w:t>
            </w:r>
          </w:p>
        </w:tc>
        <w:tc>
          <w:tcPr>
            <w:tcW w:w="1313" w:type="dxa"/>
            <w:tcBorders>
              <w:top w:val="nil"/>
              <w:left w:val="nil"/>
              <w:bottom w:val="single" w:color="auto" w:sz="4" w:space="0"/>
              <w:right w:val="single" w:color="auto" w:sz="4" w:space="0"/>
            </w:tcBorders>
            <w:vAlign w:val="center"/>
          </w:tcPr>
          <w:p>
            <w:pPr>
              <w:widowControl/>
              <w:rPr>
                <w:szCs w:val="20"/>
              </w:rPr>
            </w:pPr>
            <w:r>
              <w:rPr>
                <w:rFonts w:hint="eastAsia"/>
                <w:szCs w:val="20"/>
              </w:rPr>
              <w:t>　</w:t>
            </w:r>
          </w:p>
        </w:tc>
        <w:tc>
          <w:tcPr>
            <w:tcW w:w="1025" w:type="dxa"/>
            <w:tcBorders>
              <w:top w:val="nil"/>
              <w:left w:val="nil"/>
              <w:bottom w:val="single" w:color="auto" w:sz="4" w:space="0"/>
              <w:right w:val="single" w:color="auto" w:sz="4" w:space="0"/>
            </w:tcBorders>
            <w:vAlign w:val="center"/>
          </w:tcPr>
          <w:p>
            <w:pPr>
              <w:widowControl/>
              <w:rPr>
                <w:szCs w:val="20"/>
              </w:rPr>
            </w:pPr>
            <w:r>
              <w:rPr>
                <w:rFonts w:hint="eastAsia"/>
                <w:szCs w:val="20"/>
              </w:rPr>
              <w:t>　</w:t>
            </w:r>
          </w:p>
        </w:tc>
        <w:tc>
          <w:tcPr>
            <w:tcW w:w="1480" w:type="dxa"/>
            <w:tcBorders>
              <w:top w:val="nil"/>
              <w:left w:val="nil"/>
              <w:bottom w:val="single" w:color="auto" w:sz="4" w:space="0"/>
              <w:right w:val="single" w:color="auto" w:sz="4" w:space="0"/>
            </w:tcBorders>
            <w:vAlign w:val="center"/>
          </w:tcPr>
          <w:p>
            <w:pPr>
              <w:widowControl/>
              <w:rPr>
                <w:szCs w:val="20"/>
              </w:rPr>
            </w:pPr>
            <w:r>
              <w:rPr>
                <w:rFonts w:hint="eastAsia"/>
                <w:szCs w:val="20"/>
              </w:rPr>
              <w:t>　</w:t>
            </w:r>
          </w:p>
        </w:tc>
      </w:tr>
    </w:tbl>
    <w:p>
      <w:pPr>
        <w:spacing w:afterLines="50" w:line="300" w:lineRule="auto"/>
        <w:outlineLvl w:val="2"/>
        <w:rPr>
          <w:rFonts w:ascii="黑体" w:eastAsia="黑体" w:cs="Arial"/>
          <w:sz w:val="24"/>
        </w:rPr>
        <w:sectPr>
          <w:pgSz w:w="16838" w:h="11906" w:orient="landscape"/>
          <w:pgMar w:top="1797" w:right="1440" w:bottom="1276" w:left="1440" w:header="851" w:footer="992" w:gutter="0"/>
          <w:cols w:space="720" w:num="1"/>
          <w:docGrid w:linePitch="312" w:charSpace="0"/>
        </w:sectPr>
      </w:pPr>
    </w:p>
    <w:bookmarkEnd w:id="125"/>
    <w:bookmarkEnd w:id="126"/>
    <w:tbl>
      <w:tblPr>
        <w:tblStyle w:val="17"/>
        <w:tblW w:w="0" w:type="auto"/>
        <w:tblInd w:w="108" w:type="dxa"/>
        <w:tblLayout w:type="fixed"/>
        <w:tblCellMar>
          <w:top w:w="0" w:type="dxa"/>
          <w:left w:w="108" w:type="dxa"/>
          <w:bottom w:w="0" w:type="dxa"/>
          <w:right w:w="108" w:type="dxa"/>
        </w:tblCellMar>
      </w:tblPr>
      <w:tblGrid>
        <w:gridCol w:w="1260"/>
        <w:gridCol w:w="2520"/>
        <w:gridCol w:w="2340"/>
        <w:gridCol w:w="2160"/>
      </w:tblGrid>
      <w:tr>
        <w:tblPrEx>
          <w:tblCellMar>
            <w:top w:w="0" w:type="dxa"/>
            <w:left w:w="108" w:type="dxa"/>
            <w:bottom w:w="0" w:type="dxa"/>
            <w:right w:w="108" w:type="dxa"/>
          </w:tblCellMar>
        </w:tblPrEx>
        <w:trPr>
          <w:trHeight w:val="799" w:hRule="atLeast"/>
        </w:trPr>
        <w:tc>
          <w:tcPr>
            <w:tcW w:w="8280" w:type="dxa"/>
            <w:gridSpan w:val="4"/>
            <w:tcBorders>
              <w:top w:val="nil"/>
              <w:left w:val="nil"/>
              <w:bottom w:val="nil"/>
              <w:right w:val="nil"/>
            </w:tcBorders>
          </w:tcPr>
          <w:p>
            <w:pPr>
              <w:widowControl/>
              <w:jc w:val="center"/>
              <w:rPr>
                <w:rFonts w:ascii="黑体" w:eastAsia="黑体"/>
                <w:sz w:val="30"/>
                <w:szCs w:val="30"/>
              </w:rPr>
            </w:pPr>
            <w:bookmarkStart w:id="127" w:name="RANGE!A1:D23"/>
            <w:bookmarkEnd w:id="127"/>
            <w:r>
              <w:rPr>
                <w:rFonts w:hint="eastAsia" w:ascii="黑体" w:eastAsia="黑体"/>
                <w:sz w:val="30"/>
                <w:szCs w:val="30"/>
              </w:rPr>
              <w:t>费率报价表</w:t>
            </w:r>
          </w:p>
        </w:tc>
      </w:tr>
      <w:tr>
        <w:tblPrEx>
          <w:tblCellMar>
            <w:top w:w="0" w:type="dxa"/>
            <w:left w:w="108" w:type="dxa"/>
            <w:bottom w:w="0" w:type="dxa"/>
            <w:right w:w="108" w:type="dxa"/>
          </w:tblCellMar>
        </w:tblPrEx>
        <w:trPr>
          <w:trHeight w:val="600" w:hRule="atLeast"/>
        </w:trPr>
        <w:tc>
          <w:tcPr>
            <w:tcW w:w="1260" w:type="dxa"/>
            <w:tcBorders>
              <w:top w:val="nil"/>
              <w:left w:val="nil"/>
              <w:bottom w:val="single" w:color="auto" w:sz="4" w:space="0"/>
              <w:right w:val="nil"/>
            </w:tcBorders>
            <w:vAlign w:val="center"/>
          </w:tcPr>
          <w:p>
            <w:pPr>
              <w:widowControl/>
              <w:rPr>
                <w:szCs w:val="20"/>
              </w:rPr>
            </w:pPr>
            <w:r>
              <w:rPr>
                <w:rFonts w:hint="eastAsia"/>
                <w:szCs w:val="20"/>
              </w:rPr>
              <w:t>工程名称：</w:t>
            </w:r>
            <w:r>
              <w:rPr>
                <w:rFonts w:ascii="Arial" w:hAnsi="Arial" w:cs="Arial"/>
                <w:szCs w:val="20"/>
              </w:rPr>
              <w:t xml:space="preserve">                                                               </w:t>
            </w:r>
          </w:p>
        </w:tc>
        <w:tc>
          <w:tcPr>
            <w:tcW w:w="7020" w:type="dxa"/>
            <w:gridSpan w:val="3"/>
            <w:tcBorders>
              <w:top w:val="nil"/>
              <w:left w:val="nil"/>
              <w:bottom w:val="single" w:color="auto" w:sz="4" w:space="0"/>
              <w:right w:val="nil"/>
            </w:tcBorders>
            <w:vAlign w:val="center"/>
          </w:tcPr>
          <w:p>
            <w:pPr>
              <w:widowControl/>
              <w:rPr>
                <w:rFonts w:ascii="Arial" w:hAnsi="Arial" w:cs="Arial"/>
                <w:szCs w:val="20"/>
              </w:rPr>
            </w:pP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widowControl/>
              <w:jc w:val="center"/>
              <w:rPr>
                <w:szCs w:val="20"/>
              </w:rPr>
            </w:pPr>
            <w:r>
              <w:rPr>
                <w:rFonts w:hint="eastAsia"/>
                <w:szCs w:val="20"/>
              </w:rPr>
              <w:t>序号</w:t>
            </w:r>
          </w:p>
        </w:tc>
        <w:tc>
          <w:tcPr>
            <w:tcW w:w="2520" w:type="dxa"/>
            <w:tcBorders>
              <w:top w:val="nil"/>
              <w:left w:val="nil"/>
              <w:bottom w:val="single" w:color="auto" w:sz="4" w:space="0"/>
              <w:right w:val="nil"/>
            </w:tcBorders>
            <w:vAlign w:val="center"/>
          </w:tcPr>
          <w:p>
            <w:pPr>
              <w:widowControl/>
              <w:jc w:val="center"/>
              <w:rPr>
                <w:szCs w:val="20"/>
              </w:rPr>
            </w:pPr>
            <w:r>
              <w:rPr>
                <w:rFonts w:hint="eastAsia"/>
                <w:szCs w:val="20"/>
              </w:rPr>
              <w:t>费用名称</w:t>
            </w:r>
          </w:p>
        </w:tc>
        <w:tc>
          <w:tcPr>
            <w:tcW w:w="2340" w:type="dxa"/>
            <w:tcBorders>
              <w:top w:val="nil"/>
              <w:left w:val="single" w:color="auto" w:sz="4" w:space="0"/>
              <w:bottom w:val="single" w:color="auto" w:sz="4" w:space="0"/>
              <w:right w:val="single" w:color="auto" w:sz="4" w:space="0"/>
            </w:tcBorders>
            <w:vAlign w:val="center"/>
          </w:tcPr>
          <w:p>
            <w:pPr>
              <w:widowControl/>
              <w:jc w:val="center"/>
              <w:rPr>
                <w:szCs w:val="20"/>
              </w:rPr>
            </w:pPr>
            <w:r>
              <w:rPr>
                <w:rFonts w:hint="eastAsia"/>
                <w:szCs w:val="20"/>
              </w:rPr>
              <w:t>取费基数</w:t>
            </w:r>
          </w:p>
        </w:tc>
        <w:tc>
          <w:tcPr>
            <w:tcW w:w="2160" w:type="dxa"/>
            <w:tcBorders>
              <w:top w:val="nil"/>
              <w:left w:val="nil"/>
              <w:bottom w:val="single" w:color="auto" w:sz="4" w:space="0"/>
              <w:right w:val="single" w:color="auto" w:sz="4" w:space="0"/>
            </w:tcBorders>
            <w:vAlign w:val="center"/>
          </w:tcPr>
          <w:p>
            <w:pPr>
              <w:widowControl/>
              <w:jc w:val="center"/>
              <w:rPr>
                <w:szCs w:val="20"/>
              </w:rPr>
            </w:pPr>
            <w:r>
              <w:rPr>
                <w:rFonts w:hint="eastAsia"/>
                <w:szCs w:val="20"/>
              </w:rPr>
              <w:t>报价费率（</w:t>
            </w:r>
            <w:r>
              <w:rPr>
                <w:rFonts w:ascii="Arial" w:hAnsi="Arial" w:cs="Arial"/>
                <w:szCs w:val="20"/>
              </w:rPr>
              <w:t>%</w:t>
            </w:r>
            <w:r>
              <w:rPr>
                <w:rFonts w:hint="eastAsia"/>
                <w:szCs w:val="20"/>
              </w:rPr>
              <w:t>）</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vAlign w:val="center"/>
          </w:tcPr>
          <w:p>
            <w:pPr>
              <w:widowControl/>
              <w:rPr>
                <w:rFonts w:ascii="Arial" w:hAnsi="Arial" w:cs="Arial"/>
                <w:b/>
                <w:bCs/>
                <w:iCs/>
                <w:szCs w:val="20"/>
              </w:rPr>
            </w:pPr>
            <w:r>
              <w:rPr>
                <w:rFonts w:ascii="Arial" w:hAnsi="Arial" w:cs="Arial"/>
                <w:b/>
                <w:bCs/>
                <w:iCs/>
                <w:szCs w:val="20"/>
              </w:rPr>
              <w:t>A</w:t>
            </w:r>
          </w:p>
        </w:tc>
        <w:tc>
          <w:tcPr>
            <w:tcW w:w="2520" w:type="dxa"/>
            <w:tcBorders>
              <w:top w:val="nil"/>
              <w:left w:val="nil"/>
              <w:bottom w:val="nil"/>
              <w:right w:val="single" w:color="auto" w:sz="4" w:space="0"/>
            </w:tcBorders>
            <w:vAlign w:val="center"/>
          </w:tcPr>
          <w:p>
            <w:pPr>
              <w:widowControl/>
              <w:rPr>
                <w:b/>
                <w:bCs/>
                <w:iCs/>
                <w:szCs w:val="20"/>
              </w:rPr>
            </w:pPr>
            <w:r>
              <w:rPr>
                <w:rFonts w:hint="eastAsia"/>
                <w:b/>
                <w:bCs/>
                <w:iCs/>
                <w:szCs w:val="20"/>
              </w:rPr>
              <w:t>建筑工程</w:t>
            </w:r>
          </w:p>
        </w:tc>
        <w:tc>
          <w:tcPr>
            <w:tcW w:w="234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c>
          <w:tcPr>
            <w:tcW w:w="216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vAlign w:val="center"/>
          </w:tcPr>
          <w:p>
            <w:pPr>
              <w:widowControl/>
              <w:rPr>
                <w:rFonts w:ascii="Arial" w:hAnsi="Arial" w:cs="Arial"/>
                <w:szCs w:val="20"/>
              </w:rPr>
            </w:pPr>
            <w:r>
              <w:rPr>
                <w:rFonts w:ascii="Arial" w:hAnsi="Arial" w:cs="Arial"/>
                <w:szCs w:val="20"/>
              </w:rPr>
              <w:t>1</w:t>
            </w:r>
          </w:p>
        </w:tc>
        <w:tc>
          <w:tcPr>
            <w:tcW w:w="2520" w:type="dxa"/>
            <w:tcBorders>
              <w:top w:val="nil"/>
              <w:left w:val="nil"/>
              <w:bottom w:val="nil"/>
              <w:right w:val="single" w:color="auto" w:sz="4" w:space="0"/>
            </w:tcBorders>
            <w:vAlign w:val="center"/>
          </w:tcPr>
          <w:p>
            <w:pPr>
              <w:widowControl/>
              <w:rPr>
                <w:szCs w:val="20"/>
              </w:rPr>
            </w:pPr>
            <w:r>
              <w:rPr>
                <w:rFonts w:hint="eastAsia"/>
                <w:szCs w:val="20"/>
              </w:rPr>
              <w:t>企业管理费</w:t>
            </w:r>
          </w:p>
        </w:tc>
        <w:tc>
          <w:tcPr>
            <w:tcW w:w="234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c>
          <w:tcPr>
            <w:tcW w:w="216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vAlign w:val="center"/>
          </w:tcPr>
          <w:p>
            <w:pPr>
              <w:widowControl/>
              <w:rPr>
                <w:rFonts w:ascii="Arial" w:hAnsi="Arial" w:cs="Arial"/>
                <w:szCs w:val="20"/>
              </w:rPr>
            </w:pPr>
            <w:r>
              <w:rPr>
                <w:rFonts w:ascii="Arial" w:hAnsi="Arial" w:cs="Arial"/>
                <w:szCs w:val="20"/>
              </w:rPr>
              <w:t>2</w:t>
            </w:r>
          </w:p>
        </w:tc>
        <w:tc>
          <w:tcPr>
            <w:tcW w:w="2520" w:type="dxa"/>
            <w:tcBorders>
              <w:top w:val="nil"/>
              <w:left w:val="nil"/>
              <w:bottom w:val="nil"/>
              <w:right w:val="single" w:color="auto" w:sz="4" w:space="0"/>
            </w:tcBorders>
            <w:vAlign w:val="center"/>
          </w:tcPr>
          <w:p>
            <w:pPr>
              <w:widowControl/>
              <w:rPr>
                <w:szCs w:val="20"/>
              </w:rPr>
            </w:pPr>
            <w:r>
              <w:rPr>
                <w:rFonts w:hint="eastAsia"/>
                <w:szCs w:val="20"/>
              </w:rPr>
              <w:t>利润</w:t>
            </w:r>
          </w:p>
        </w:tc>
        <w:tc>
          <w:tcPr>
            <w:tcW w:w="234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c>
          <w:tcPr>
            <w:tcW w:w="216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c>
          <w:tcPr>
            <w:tcW w:w="252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c>
          <w:tcPr>
            <w:tcW w:w="234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c>
          <w:tcPr>
            <w:tcW w:w="216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vAlign w:val="center"/>
          </w:tcPr>
          <w:p>
            <w:pPr>
              <w:widowControl/>
              <w:rPr>
                <w:rFonts w:ascii="Arial" w:hAnsi="Arial" w:cs="Arial"/>
                <w:b/>
                <w:bCs/>
                <w:iCs/>
                <w:szCs w:val="20"/>
              </w:rPr>
            </w:pPr>
            <w:r>
              <w:rPr>
                <w:rFonts w:ascii="Arial" w:hAnsi="Arial" w:cs="Arial"/>
                <w:b/>
                <w:bCs/>
                <w:iCs/>
                <w:szCs w:val="20"/>
              </w:rPr>
              <w:t>B</w:t>
            </w:r>
          </w:p>
        </w:tc>
        <w:tc>
          <w:tcPr>
            <w:tcW w:w="2520" w:type="dxa"/>
            <w:tcBorders>
              <w:top w:val="nil"/>
              <w:left w:val="nil"/>
              <w:bottom w:val="nil"/>
              <w:right w:val="single" w:color="auto" w:sz="4" w:space="0"/>
            </w:tcBorders>
            <w:vAlign w:val="center"/>
          </w:tcPr>
          <w:p>
            <w:pPr>
              <w:widowControl/>
              <w:rPr>
                <w:b/>
                <w:bCs/>
                <w:iCs/>
                <w:szCs w:val="20"/>
              </w:rPr>
            </w:pPr>
            <w:r>
              <w:rPr>
                <w:rFonts w:hint="eastAsia"/>
                <w:b/>
                <w:bCs/>
                <w:iCs/>
                <w:szCs w:val="20"/>
              </w:rPr>
              <w:t>装饰和装修工程</w:t>
            </w:r>
          </w:p>
        </w:tc>
        <w:tc>
          <w:tcPr>
            <w:tcW w:w="234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c>
          <w:tcPr>
            <w:tcW w:w="216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vAlign w:val="center"/>
          </w:tcPr>
          <w:p>
            <w:pPr>
              <w:widowControl/>
              <w:rPr>
                <w:rFonts w:ascii="Arial" w:hAnsi="Arial" w:cs="Arial"/>
                <w:szCs w:val="20"/>
              </w:rPr>
            </w:pPr>
            <w:r>
              <w:rPr>
                <w:rFonts w:ascii="Arial" w:hAnsi="Arial" w:cs="Arial"/>
                <w:szCs w:val="20"/>
              </w:rPr>
              <w:t>3</w:t>
            </w:r>
          </w:p>
        </w:tc>
        <w:tc>
          <w:tcPr>
            <w:tcW w:w="2520" w:type="dxa"/>
            <w:tcBorders>
              <w:top w:val="nil"/>
              <w:left w:val="nil"/>
              <w:bottom w:val="nil"/>
              <w:right w:val="single" w:color="auto" w:sz="4" w:space="0"/>
            </w:tcBorders>
            <w:vAlign w:val="center"/>
          </w:tcPr>
          <w:p>
            <w:pPr>
              <w:widowControl/>
              <w:rPr>
                <w:szCs w:val="20"/>
              </w:rPr>
            </w:pPr>
            <w:r>
              <w:rPr>
                <w:rFonts w:hint="eastAsia"/>
                <w:szCs w:val="20"/>
              </w:rPr>
              <w:t>企业管理费</w:t>
            </w:r>
          </w:p>
        </w:tc>
        <w:tc>
          <w:tcPr>
            <w:tcW w:w="234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c>
          <w:tcPr>
            <w:tcW w:w="216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vAlign w:val="center"/>
          </w:tcPr>
          <w:p>
            <w:pPr>
              <w:widowControl/>
              <w:rPr>
                <w:rFonts w:ascii="Arial" w:hAnsi="Arial" w:cs="Arial"/>
                <w:szCs w:val="20"/>
              </w:rPr>
            </w:pPr>
            <w:r>
              <w:rPr>
                <w:rFonts w:ascii="Arial" w:hAnsi="Arial" w:cs="Arial"/>
                <w:szCs w:val="20"/>
              </w:rPr>
              <w:t>4</w:t>
            </w:r>
          </w:p>
        </w:tc>
        <w:tc>
          <w:tcPr>
            <w:tcW w:w="2520" w:type="dxa"/>
            <w:tcBorders>
              <w:top w:val="nil"/>
              <w:left w:val="nil"/>
              <w:bottom w:val="nil"/>
              <w:right w:val="single" w:color="auto" w:sz="4" w:space="0"/>
            </w:tcBorders>
            <w:vAlign w:val="center"/>
          </w:tcPr>
          <w:p>
            <w:pPr>
              <w:widowControl/>
              <w:rPr>
                <w:szCs w:val="20"/>
              </w:rPr>
            </w:pPr>
            <w:r>
              <w:rPr>
                <w:rFonts w:hint="eastAsia"/>
                <w:szCs w:val="20"/>
              </w:rPr>
              <w:t>利润</w:t>
            </w:r>
          </w:p>
        </w:tc>
        <w:tc>
          <w:tcPr>
            <w:tcW w:w="234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c>
          <w:tcPr>
            <w:tcW w:w="216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c>
          <w:tcPr>
            <w:tcW w:w="252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c>
          <w:tcPr>
            <w:tcW w:w="234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c>
          <w:tcPr>
            <w:tcW w:w="216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vAlign w:val="center"/>
          </w:tcPr>
          <w:p>
            <w:pPr>
              <w:widowControl/>
              <w:rPr>
                <w:rFonts w:ascii="Arial" w:hAnsi="Arial" w:cs="Arial"/>
                <w:b/>
                <w:bCs/>
                <w:iCs/>
                <w:szCs w:val="20"/>
              </w:rPr>
            </w:pPr>
            <w:r>
              <w:rPr>
                <w:rFonts w:ascii="Arial" w:hAnsi="Arial" w:cs="Arial"/>
                <w:b/>
                <w:bCs/>
                <w:iCs/>
                <w:szCs w:val="20"/>
              </w:rPr>
              <w:t>C</w:t>
            </w:r>
          </w:p>
        </w:tc>
        <w:tc>
          <w:tcPr>
            <w:tcW w:w="2520" w:type="dxa"/>
            <w:tcBorders>
              <w:top w:val="nil"/>
              <w:left w:val="nil"/>
              <w:bottom w:val="nil"/>
              <w:right w:val="single" w:color="auto" w:sz="4" w:space="0"/>
            </w:tcBorders>
            <w:vAlign w:val="center"/>
          </w:tcPr>
          <w:p>
            <w:pPr>
              <w:widowControl/>
              <w:rPr>
                <w:b/>
                <w:bCs/>
                <w:iCs/>
                <w:szCs w:val="20"/>
              </w:rPr>
            </w:pPr>
            <w:r>
              <w:rPr>
                <w:rFonts w:hint="eastAsia"/>
                <w:b/>
                <w:bCs/>
                <w:iCs/>
                <w:szCs w:val="20"/>
              </w:rPr>
              <w:t>机电安装工程</w:t>
            </w:r>
          </w:p>
        </w:tc>
        <w:tc>
          <w:tcPr>
            <w:tcW w:w="234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c>
          <w:tcPr>
            <w:tcW w:w="216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vAlign w:val="center"/>
          </w:tcPr>
          <w:p>
            <w:pPr>
              <w:widowControl/>
              <w:rPr>
                <w:rFonts w:ascii="Arial" w:hAnsi="Arial" w:cs="Arial"/>
                <w:szCs w:val="20"/>
              </w:rPr>
            </w:pPr>
            <w:r>
              <w:rPr>
                <w:rFonts w:ascii="Arial" w:hAnsi="Arial" w:cs="Arial"/>
                <w:szCs w:val="20"/>
              </w:rPr>
              <w:t>5</w:t>
            </w:r>
          </w:p>
        </w:tc>
        <w:tc>
          <w:tcPr>
            <w:tcW w:w="2520" w:type="dxa"/>
            <w:tcBorders>
              <w:top w:val="nil"/>
              <w:left w:val="nil"/>
              <w:bottom w:val="nil"/>
              <w:right w:val="single" w:color="auto" w:sz="4" w:space="0"/>
            </w:tcBorders>
            <w:vAlign w:val="center"/>
          </w:tcPr>
          <w:p>
            <w:pPr>
              <w:widowControl/>
              <w:rPr>
                <w:szCs w:val="20"/>
              </w:rPr>
            </w:pPr>
            <w:r>
              <w:rPr>
                <w:rFonts w:hint="eastAsia"/>
                <w:szCs w:val="20"/>
              </w:rPr>
              <w:t>企业管理费</w:t>
            </w:r>
          </w:p>
        </w:tc>
        <w:tc>
          <w:tcPr>
            <w:tcW w:w="234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c>
          <w:tcPr>
            <w:tcW w:w="216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vAlign w:val="center"/>
          </w:tcPr>
          <w:p>
            <w:pPr>
              <w:widowControl/>
              <w:rPr>
                <w:rFonts w:ascii="Arial" w:hAnsi="Arial" w:cs="Arial"/>
                <w:szCs w:val="20"/>
              </w:rPr>
            </w:pPr>
            <w:r>
              <w:rPr>
                <w:rFonts w:ascii="Arial" w:hAnsi="Arial" w:cs="Arial"/>
                <w:szCs w:val="20"/>
              </w:rPr>
              <w:t>6</w:t>
            </w:r>
          </w:p>
        </w:tc>
        <w:tc>
          <w:tcPr>
            <w:tcW w:w="2520" w:type="dxa"/>
            <w:tcBorders>
              <w:top w:val="nil"/>
              <w:left w:val="nil"/>
              <w:bottom w:val="nil"/>
              <w:right w:val="single" w:color="auto" w:sz="4" w:space="0"/>
            </w:tcBorders>
            <w:vAlign w:val="center"/>
          </w:tcPr>
          <w:p>
            <w:pPr>
              <w:widowControl/>
              <w:rPr>
                <w:szCs w:val="20"/>
              </w:rPr>
            </w:pPr>
            <w:r>
              <w:rPr>
                <w:rFonts w:hint="eastAsia"/>
                <w:szCs w:val="20"/>
              </w:rPr>
              <w:t>利润</w:t>
            </w:r>
          </w:p>
        </w:tc>
        <w:tc>
          <w:tcPr>
            <w:tcW w:w="234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c>
          <w:tcPr>
            <w:tcW w:w="216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c>
          <w:tcPr>
            <w:tcW w:w="252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c>
          <w:tcPr>
            <w:tcW w:w="234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c>
          <w:tcPr>
            <w:tcW w:w="216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vAlign w:val="center"/>
          </w:tcPr>
          <w:p>
            <w:pPr>
              <w:widowControl/>
              <w:rPr>
                <w:rFonts w:ascii="Arial" w:hAnsi="Arial" w:cs="Arial"/>
                <w:szCs w:val="20"/>
              </w:rPr>
            </w:pPr>
            <w:r>
              <w:rPr>
                <w:rFonts w:ascii="Arial" w:hAnsi="Arial" w:cs="Arial"/>
                <w:b/>
                <w:bCs/>
                <w:iCs/>
                <w:szCs w:val="20"/>
              </w:rPr>
              <w:t>D</w:t>
            </w:r>
          </w:p>
        </w:tc>
        <w:tc>
          <w:tcPr>
            <w:tcW w:w="2520" w:type="dxa"/>
            <w:tcBorders>
              <w:top w:val="nil"/>
              <w:left w:val="nil"/>
              <w:bottom w:val="nil"/>
              <w:right w:val="single" w:color="auto" w:sz="4" w:space="0"/>
            </w:tcBorders>
            <w:vAlign w:val="center"/>
          </w:tcPr>
          <w:p>
            <w:pPr>
              <w:widowControl/>
              <w:rPr>
                <w:rFonts w:ascii="Arial" w:hAnsi="Arial" w:cs="Arial"/>
                <w:szCs w:val="20"/>
              </w:rPr>
            </w:pPr>
            <w:r>
              <w:rPr>
                <w:rFonts w:hint="eastAsia"/>
                <w:b/>
                <w:bCs/>
                <w:iCs/>
                <w:szCs w:val="20"/>
              </w:rPr>
              <w:t>市政</w:t>
            </w:r>
            <w:r>
              <w:rPr>
                <w:b/>
                <w:bCs/>
                <w:iCs/>
                <w:szCs w:val="20"/>
              </w:rPr>
              <w:t>/</w:t>
            </w:r>
            <w:r>
              <w:rPr>
                <w:rFonts w:hint="eastAsia"/>
                <w:b/>
                <w:bCs/>
                <w:iCs/>
                <w:szCs w:val="20"/>
              </w:rPr>
              <w:t>园林绿化工程</w:t>
            </w:r>
          </w:p>
        </w:tc>
        <w:tc>
          <w:tcPr>
            <w:tcW w:w="234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c>
          <w:tcPr>
            <w:tcW w:w="216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vAlign w:val="center"/>
          </w:tcPr>
          <w:p>
            <w:pPr>
              <w:widowControl/>
              <w:rPr>
                <w:rFonts w:ascii="Arial" w:hAnsi="Arial" w:cs="Arial"/>
                <w:szCs w:val="20"/>
              </w:rPr>
            </w:pPr>
            <w:r>
              <w:rPr>
                <w:rFonts w:ascii="Arial" w:hAnsi="Arial" w:cs="Arial"/>
                <w:szCs w:val="20"/>
              </w:rPr>
              <w:t>7</w:t>
            </w:r>
          </w:p>
        </w:tc>
        <w:tc>
          <w:tcPr>
            <w:tcW w:w="2520" w:type="dxa"/>
            <w:tcBorders>
              <w:top w:val="nil"/>
              <w:left w:val="nil"/>
              <w:bottom w:val="nil"/>
              <w:right w:val="single" w:color="auto" w:sz="4" w:space="0"/>
            </w:tcBorders>
            <w:vAlign w:val="center"/>
          </w:tcPr>
          <w:p>
            <w:pPr>
              <w:widowControl/>
              <w:rPr>
                <w:rFonts w:ascii="Arial" w:hAnsi="Arial" w:cs="Arial"/>
                <w:szCs w:val="20"/>
              </w:rPr>
            </w:pPr>
            <w:r>
              <w:rPr>
                <w:rFonts w:hint="eastAsia"/>
                <w:szCs w:val="20"/>
              </w:rPr>
              <w:t>企业管理费</w:t>
            </w:r>
          </w:p>
        </w:tc>
        <w:tc>
          <w:tcPr>
            <w:tcW w:w="234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c>
          <w:tcPr>
            <w:tcW w:w="216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nil"/>
              <w:right w:val="single" w:color="auto" w:sz="4" w:space="0"/>
            </w:tcBorders>
            <w:vAlign w:val="center"/>
          </w:tcPr>
          <w:p>
            <w:pPr>
              <w:widowControl/>
              <w:rPr>
                <w:rFonts w:ascii="Arial" w:hAnsi="Arial" w:cs="Arial"/>
                <w:szCs w:val="20"/>
              </w:rPr>
            </w:pPr>
            <w:r>
              <w:rPr>
                <w:rFonts w:ascii="Arial" w:hAnsi="Arial" w:cs="Arial"/>
                <w:szCs w:val="20"/>
              </w:rPr>
              <w:t>8</w:t>
            </w:r>
          </w:p>
        </w:tc>
        <w:tc>
          <w:tcPr>
            <w:tcW w:w="2520" w:type="dxa"/>
            <w:tcBorders>
              <w:top w:val="nil"/>
              <w:left w:val="nil"/>
              <w:bottom w:val="nil"/>
              <w:right w:val="single" w:color="auto" w:sz="4" w:space="0"/>
            </w:tcBorders>
            <w:vAlign w:val="center"/>
          </w:tcPr>
          <w:p>
            <w:pPr>
              <w:widowControl/>
              <w:rPr>
                <w:rFonts w:ascii="Arial" w:hAnsi="Arial" w:cs="Arial"/>
                <w:szCs w:val="20"/>
              </w:rPr>
            </w:pPr>
            <w:r>
              <w:rPr>
                <w:rFonts w:hint="eastAsia"/>
                <w:szCs w:val="20"/>
              </w:rPr>
              <w:t>利润</w:t>
            </w:r>
          </w:p>
        </w:tc>
        <w:tc>
          <w:tcPr>
            <w:tcW w:w="234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c>
          <w:tcPr>
            <w:tcW w:w="2160" w:type="dxa"/>
            <w:tcBorders>
              <w:top w:val="nil"/>
              <w:left w:val="nil"/>
              <w:bottom w:val="nil"/>
              <w:right w:val="single" w:color="auto" w:sz="4" w:space="0"/>
            </w:tcBorders>
            <w:vAlign w:val="center"/>
          </w:tcPr>
          <w:p>
            <w:pPr>
              <w:widowControl/>
              <w:rPr>
                <w:rFonts w:ascii="Arial" w:hAnsi="Arial" w:cs="Arial"/>
                <w:szCs w:val="20"/>
              </w:rPr>
            </w:pPr>
            <w:r>
              <w:rPr>
                <w:rFonts w:hint="eastAsia" w:ascii="Arial" w:hAnsi="Arial" w:cs="Arial"/>
                <w:szCs w:val="20"/>
              </w:rPr>
              <w:t>　</w:t>
            </w:r>
          </w:p>
        </w:tc>
      </w:tr>
      <w:tr>
        <w:tblPrEx>
          <w:tblCellMar>
            <w:top w:w="0" w:type="dxa"/>
            <w:left w:w="108" w:type="dxa"/>
            <w:bottom w:w="0" w:type="dxa"/>
            <w:right w:w="108" w:type="dxa"/>
          </w:tblCellMar>
        </w:tblPrEx>
        <w:trPr>
          <w:trHeight w:val="600" w:hRule="atLeast"/>
        </w:trPr>
        <w:tc>
          <w:tcPr>
            <w:tcW w:w="1260" w:type="dxa"/>
            <w:tcBorders>
              <w:top w:val="nil"/>
              <w:left w:val="single" w:color="auto" w:sz="4" w:space="0"/>
              <w:bottom w:val="single" w:color="auto" w:sz="4" w:space="0"/>
              <w:right w:val="single" w:color="auto" w:sz="4" w:space="0"/>
            </w:tcBorders>
            <w:vAlign w:val="center"/>
          </w:tcPr>
          <w:p>
            <w:pPr>
              <w:widowControl/>
              <w:rPr>
                <w:rFonts w:ascii="Arial" w:hAnsi="Arial" w:cs="Arial"/>
                <w:szCs w:val="20"/>
              </w:rPr>
            </w:pPr>
            <w:r>
              <w:rPr>
                <w:rFonts w:hint="eastAsia" w:ascii="Arial" w:hAnsi="Arial" w:cs="Arial"/>
                <w:szCs w:val="20"/>
              </w:rPr>
              <w:t>　</w:t>
            </w:r>
          </w:p>
        </w:tc>
        <w:tc>
          <w:tcPr>
            <w:tcW w:w="2520" w:type="dxa"/>
            <w:tcBorders>
              <w:top w:val="nil"/>
              <w:left w:val="nil"/>
              <w:bottom w:val="single" w:color="auto" w:sz="4" w:space="0"/>
              <w:right w:val="single" w:color="auto" w:sz="4" w:space="0"/>
            </w:tcBorders>
            <w:vAlign w:val="center"/>
          </w:tcPr>
          <w:p>
            <w:pPr>
              <w:widowControl/>
              <w:jc w:val="center"/>
              <w:rPr>
                <w:rFonts w:ascii="Arial" w:hAnsi="Arial" w:cs="Arial"/>
                <w:b/>
                <w:bCs/>
                <w:szCs w:val="20"/>
              </w:rPr>
            </w:pPr>
            <w:r>
              <w:rPr>
                <w:rFonts w:hint="eastAsia" w:ascii="Arial" w:hAnsi="Arial" w:cs="Arial"/>
                <w:b/>
                <w:bCs/>
                <w:szCs w:val="20"/>
              </w:rPr>
              <w:t>　</w:t>
            </w:r>
          </w:p>
        </w:tc>
        <w:tc>
          <w:tcPr>
            <w:tcW w:w="2340" w:type="dxa"/>
            <w:tcBorders>
              <w:top w:val="nil"/>
              <w:left w:val="nil"/>
              <w:bottom w:val="single" w:color="auto" w:sz="4" w:space="0"/>
              <w:right w:val="single" w:color="auto" w:sz="4" w:space="0"/>
            </w:tcBorders>
            <w:vAlign w:val="center"/>
          </w:tcPr>
          <w:p>
            <w:pPr>
              <w:widowControl/>
              <w:jc w:val="center"/>
              <w:rPr>
                <w:rFonts w:ascii="Arial" w:hAnsi="Arial" w:cs="Arial"/>
                <w:b/>
                <w:bCs/>
                <w:szCs w:val="20"/>
              </w:rPr>
            </w:pPr>
            <w:r>
              <w:rPr>
                <w:rFonts w:hint="eastAsia" w:ascii="Arial" w:hAnsi="Arial" w:cs="Arial"/>
                <w:b/>
                <w:bCs/>
                <w:szCs w:val="20"/>
              </w:rPr>
              <w:t>　</w:t>
            </w:r>
          </w:p>
        </w:tc>
        <w:tc>
          <w:tcPr>
            <w:tcW w:w="2160" w:type="dxa"/>
            <w:tcBorders>
              <w:top w:val="nil"/>
              <w:left w:val="nil"/>
              <w:bottom w:val="single" w:color="auto" w:sz="4" w:space="0"/>
              <w:right w:val="single" w:color="auto" w:sz="4" w:space="0"/>
            </w:tcBorders>
            <w:vAlign w:val="center"/>
          </w:tcPr>
          <w:p>
            <w:pPr>
              <w:widowControl/>
              <w:jc w:val="center"/>
              <w:rPr>
                <w:rFonts w:ascii="Arial" w:hAnsi="Arial" w:cs="Arial"/>
                <w:b/>
                <w:bCs/>
                <w:szCs w:val="20"/>
              </w:rPr>
            </w:pPr>
            <w:r>
              <w:rPr>
                <w:rFonts w:hint="eastAsia" w:ascii="Arial" w:hAnsi="Arial" w:cs="Arial"/>
                <w:b/>
                <w:bCs/>
                <w:szCs w:val="20"/>
              </w:rPr>
              <w:t>　</w:t>
            </w:r>
          </w:p>
        </w:tc>
      </w:tr>
    </w:tbl>
    <w:p>
      <w:pPr>
        <w:spacing w:afterLines="50" w:line="300" w:lineRule="auto"/>
        <w:rPr>
          <w:rFonts w:ascii="Arial" w:cs="Arial"/>
        </w:rPr>
        <w:sectPr>
          <w:pgSz w:w="11906" w:h="16838"/>
          <w:pgMar w:top="1440" w:right="1797" w:bottom="1440" w:left="1276" w:header="851" w:footer="992" w:gutter="0"/>
          <w:cols w:space="720" w:num="1"/>
          <w:docGrid w:linePitch="312" w:charSpace="0"/>
        </w:sectPr>
      </w:pPr>
    </w:p>
    <w:tbl>
      <w:tblPr>
        <w:tblStyle w:val="17"/>
        <w:tblW w:w="0" w:type="auto"/>
        <w:tblInd w:w="108" w:type="dxa"/>
        <w:tblLayout w:type="fixed"/>
        <w:tblCellMar>
          <w:top w:w="0" w:type="dxa"/>
          <w:left w:w="108" w:type="dxa"/>
          <w:bottom w:w="0" w:type="dxa"/>
          <w:right w:w="108" w:type="dxa"/>
        </w:tblCellMar>
      </w:tblPr>
      <w:tblGrid>
        <w:gridCol w:w="1080"/>
        <w:gridCol w:w="2340"/>
        <w:gridCol w:w="975"/>
        <w:gridCol w:w="1725"/>
        <w:gridCol w:w="1297"/>
        <w:gridCol w:w="2134"/>
        <w:gridCol w:w="2505"/>
        <w:gridCol w:w="1984"/>
      </w:tblGrid>
      <w:tr>
        <w:tblPrEx>
          <w:tblCellMar>
            <w:top w:w="0" w:type="dxa"/>
            <w:left w:w="108" w:type="dxa"/>
            <w:bottom w:w="0" w:type="dxa"/>
            <w:right w:w="108" w:type="dxa"/>
          </w:tblCellMar>
        </w:tblPrEx>
        <w:trPr>
          <w:trHeight w:val="552" w:hRule="atLeast"/>
        </w:trPr>
        <w:tc>
          <w:tcPr>
            <w:tcW w:w="14040" w:type="dxa"/>
            <w:gridSpan w:val="8"/>
            <w:tcBorders>
              <w:top w:val="nil"/>
              <w:left w:val="nil"/>
              <w:bottom w:val="nil"/>
              <w:right w:val="nil"/>
            </w:tcBorders>
          </w:tcPr>
          <w:p>
            <w:pPr>
              <w:widowControl/>
              <w:jc w:val="center"/>
              <w:rPr>
                <w:rFonts w:ascii="黑体" w:eastAsia="黑体"/>
                <w:sz w:val="30"/>
                <w:szCs w:val="30"/>
              </w:rPr>
            </w:pPr>
            <w:bookmarkStart w:id="128" w:name="RANGE!A1:H18"/>
            <w:bookmarkEnd w:id="128"/>
            <w:r>
              <w:rPr>
                <w:rFonts w:hint="eastAsia" w:ascii="黑体" w:eastAsia="黑体"/>
                <w:sz w:val="30"/>
                <w:szCs w:val="30"/>
              </w:rPr>
              <w:t>主要材料和工程设备选用表</w:t>
            </w:r>
          </w:p>
        </w:tc>
      </w:tr>
      <w:tr>
        <w:tblPrEx>
          <w:tblCellMar>
            <w:top w:w="0" w:type="dxa"/>
            <w:left w:w="108" w:type="dxa"/>
            <w:bottom w:w="0" w:type="dxa"/>
            <w:right w:w="108" w:type="dxa"/>
          </w:tblCellMar>
        </w:tblPrEx>
        <w:trPr>
          <w:trHeight w:val="390" w:hRule="atLeast"/>
        </w:trPr>
        <w:tc>
          <w:tcPr>
            <w:tcW w:w="14040" w:type="dxa"/>
            <w:gridSpan w:val="8"/>
            <w:tcBorders>
              <w:top w:val="nil"/>
              <w:left w:val="nil"/>
              <w:bottom w:val="nil"/>
              <w:right w:val="nil"/>
            </w:tcBorders>
            <w:vAlign w:val="center"/>
          </w:tcPr>
          <w:p>
            <w:pPr>
              <w:widowControl/>
            </w:pPr>
            <w:r>
              <w:rPr>
                <w:rFonts w:hint="eastAsia"/>
              </w:rPr>
              <w:t>工程名称：</w:t>
            </w:r>
          </w:p>
        </w:tc>
      </w:tr>
      <w:tr>
        <w:tblPrEx>
          <w:tblCellMar>
            <w:top w:w="0" w:type="dxa"/>
            <w:left w:w="108" w:type="dxa"/>
            <w:bottom w:w="0" w:type="dxa"/>
            <w:right w:w="108" w:type="dxa"/>
          </w:tblCellMar>
        </w:tblPrEx>
        <w:trPr>
          <w:trHeight w:val="499"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序号</w:t>
            </w:r>
          </w:p>
        </w:tc>
        <w:tc>
          <w:tcPr>
            <w:tcW w:w="2340" w:type="dxa"/>
            <w:tcBorders>
              <w:top w:val="single" w:color="auto" w:sz="4" w:space="0"/>
              <w:left w:val="nil"/>
              <w:bottom w:val="single" w:color="auto" w:sz="4" w:space="0"/>
              <w:right w:val="single" w:color="auto" w:sz="4" w:space="0"/>
            </w:tcBorders>
            <w:vAlign w:val="center"/>
          </w:tcPr>
          <w:p>
            <w:pPr>
              <w:widowControl/>
              <w:jc w:val="center"/>
            </w:pPr>
            <w:r>
              <w:rPr>
                <w:rFonts w:hint="eastAsia"/>
              </w:rPr>
              <w:t>材料和工程设备名称</w:t>
            </w:r>
          </w:p>
        </w:tc>
        <w:tc>
          <w:tcPr>
            <w:tcW w:w="975" w:type="dxa"/>
            <w:tcBorders>
              <w:top w:val="single" w:color="auto" w:sz="4" w:space="0"/>
              <w:left w:val="nil"/>
              <w:bottom w:val="single" w:color="auto" w:sz="4" w:space="0"/>
              <w:right w:val="single" w:color="auto" w:sz="4" w:space="0"/>
            </w:tcBorders>
            <w:vAlign w:val="center"/>
          </w:tcPr>
          <w:p>
            <w:pPr>
              <w:widowControl/>
              <w:jc w:val="center"/>
            </w:pPr>
            <w:r>
              <w:rPr>
                <w:rFonts w:hint="eastAsia"/>
              </w:rPr>
              <w:t>单位</w:t>
            </w:r>
          </w:p>
        </w:tc>
        <w:tc>
          <w:tcPr>
            <w:tcW w:w="1725" w:type="dxa"/>
            <w:tcBorders>
              <w:top w:val="single" w:color="auto" w:sz="4" w:space="0"/>
              <w:left w:val="nil"/>
              <w:bottom w:val="single" w:color="auto" w:sz="4" w:space="0"/>
              <w:right w:val="single" w:color="auto" w:sz="4" w:space="0"/>
            </w:tcBorders>
            <w:vAlign w:val="center"/>
          </w:tcPr>
          <w:p>
            <w:pPr>
              <w:widowControl/>
              <w:jc w:val="center"/>
            </w:pPr>
            <w:r>
              <w:rPr>
                <w:rFonts w:hint="eastAsia"/>
              </w:rPr>
              <w:t>单价</w:t>
            </w:r>
          </w:p>
        </w:tc>
        <w:tc>
          <w:tcPr>
            <w:tcW w:w="1297" w:type="dxa"/>
            <w:tcBorders>
              <w:top w:val="single" w:color="auto" w:sz="4" w:space="0"/>
              <w:left w:val="nil"/>
              <w:bottom w:val="single" w:color="auto" w:sz="4" w:space="0"/>
              <w:right w:val="single" w:color="auto" w:sz="4" w:space="0"/>
            </w:tcBorders>
            <w:vAlign w:val="center"/>
          </w:tcPr>
          <w:p>
            <w:pPr>
              <w:widowControl/>
              <w:jc w:val="center"/>
            </w:pPr>
            <w:r>
              <w:rPr>
                <w:rFonts w:hint="eastAsia"/>
              </w:rPr>
              <w:t>数量</w:t>
            </w:r>
          </w:p>
        </w:tc>
        <w:tc>
          <w:tcPr>
            <w:tcW w:w="2134" w:type="dxa"/>
            <w:tcBorders>
              <w:top w:val="single" w:color="auto" w:sz="4" w:space="0"/>
              <w:left w:val="nil"/>
              <w:bottom w:val="single" w:color="auto" w:sz="4" w:space="0"/>
              <w:right w:val="single" w:color="auto" w:sz="4" w:space="0"/>
            </w:tcBorders>
            <w:vAlign w:val="center"/>
          </w:tcPr>
          <w:p>
            <w:pPr>
              <w:widowControl/>
              <w:jc w:val="center"/>
            </w:pPr>
            <w:r>
              <w:rPr>
                <w:rFonts w:hint="eastAsia"/>
              </w:rPr>
              <w:t>品牌</w:t>
            </w:r>
            <w:r>
              <w:rPr>
                <w:rFonts w:ascii="Arial" w:hAnsi="Arial" w:cs="Arial"/>
              </w:rPr>
              <w:t>/</w:t>
            </w:r>
            <w:r>
              <w:rPr>
                <w:rFonts w:hint="eastAsia"/>
              </w:rPr>
              <w:t>厂家</w:t>
            </w:r>
          </w:p>
        </w:tc>
        <w:tc>
          <w:tcPr>
            <w:tcW w:w="2505" w:type="dxa"/>
            <w:tcBorders>
              <w:top w:val="single" w:color="auto" w:sz="4" w:space="0"/>
              <w:left w:val="nil"/>
              <w:bottom w:val="single" w:color="auto" w:sz="4" w:space="0"/>
              <w:right w:val="single" w:color="auto" w:sz="4" w:space="0"/>
            </w:tcBorders>
            <w:vAlign w:val="center"/>
          </w:tcPr>
          <w:p>
            <w:pPr>
              <w:widowControl/>
              <w:jc w:val="center"/>
            </w:pPr>
            <w:r>
              <w:rPr>
                <w:rFonts w:hint="eastAsia"/>
              </w:rPr>
              <w:t>规格型号</w:t>
            </w:r>
          </w:p>
        </w:tc>
        <w:tc>
          <w:tcPr>
            <w:tcW w:w="1984" w:type="dxa"/>
            <w:tcBorders>
              <w:top w:val="single" w:color="auto" w:sz="4" w:space="0"/>
              <w:left w:val="nil"/>
              <w:bottom w:val="single" w:color="auto" w:sz="4" w:space="0"/>
              <w:right w:val="single" w:color="auto" w:sz="4" w:space="0"/>
            </w:tcBorders>
            <w:vAlign w:val="center"/>
          </w:tcPr>
          <w:p>
            <w:pPr>
              <w:widowControl/>
              <w:jc w:val="center"/>
            </w:pPr>
            <w:r>
              <w:rPr>
                <w:rFonts w:hint="eastAsia"/>
              </w:rPr>
              <w:t>备注</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nil"/>
              <w:right w:val="single" w:color="auto" w:sz="4" w:space="0"/>
            </w:tcBorders>
            <w:vAlign w:val="center"/>
          </w:tcPr>
          <w:p>
            <w:pPr>
              <w:widowControl/>
              <w:rPr>
                <w:rFonts w:ascii="Arial" w:hAnsi="Arial" w:cs="Arial"/>
              </w:rPr>
            </w:pPr>
            <w:r>
              <w:rPr>
                <w:rFonts w:hint="eastAsia" w:ascii="Arial" w:hAnsi="Arial" w:cs="Arial"/>
              </w:rPr>
              <w:t>　</w:t>
            </w:r>
          </w:p>
        </w:tc>
        <w:tc>
          <w:tcPr>
            <w:tcW w:w="2340"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975"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1725"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1297"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2134"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2505"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1984"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nil"/>
              <w:right w:val="single" w:color="auto" w:sz="4" w:space="0"/>
            </w:tcBorders>
            <w:vAlign w:val="center"/>
          </w:tcPr>
          <w:p>
            <w:pPr>
              <w:widowControl/>
              <w:rPr>
                <w:rFonts w:ascii="Arial" w:hAnsi="Arial" w:cs="Arial"/>
              </w:rPr>
            </w:pPr>
            <w:r>
              <w:rPr>
                <w:rFonts w:hint="eastAsia" w:ascii="Arial" w:hAnsi="Arial" w:cs="Arial"/>
              </w:rPr>
              <w:t>　</w:t>
            </w:r>
          </w:p>
        </w:tc>
        <w:tc>
          <w:tcPr>
            <w:tcW w:w="2340"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975"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1725"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1297"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2134"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2505"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1984"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nil"/>
              <w:right w:val="single" w:color="auto" w:sz="4" w:space="0"/>
            </w:tcBorders>
            <w:vAlign w:val="center"/>
          </w:tcPr>
          <w:p>
            <w:pPr>
              <w:widowControl/>
              <w:rPr>
                <w:rFonts w:ascii="Arial" w:hAnsi="Arial" w:cs="Arial"/>
              </w:rPr>
            </w:pPr>
            <w:r>
              <w:rPr>
                <w:rFonts w:hint="eastAsia" w:ascii="Arial" w:hAnsi="Arial" w:cs="Arial"/>
              </w:rPr>
              <w:t>　</w:t>
            </w:r>
          </w:p>
        </w:tc>
        <w:tc>
          <w:tcPr>
            <w:tcW w:w="2340"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975"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1725"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1297"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2134"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2505"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1984"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nil"/>
              <w:right w:val="single" w:color="auto" w:sz="4" w:space="0"/>
            </w:tcBorders>
            <w:vAlign w:val="center"/>
          </w:tcPr>
          <w:p>
            <w:pPr>
              <w:widowControl/>
              <w:rPr>
                <w:rFonts w:ascii="Arial" w:hAnsi="Arial" w:cs="Arial"/>
              </w:rPr>
            </w:pPr>
            <w:r>
              <w:rPr>
                <w:rFonts w:hint="eastAsia" w:ascii="Arial" w:hAnsi="Arial" w:cs="Arial"/>
              </w:rPr>
              <w:t>　</w:t>
            </w:r>
          </w:p>
        </w:tc>
        <w:tc>
          <w:tcPr>
            <w:tcW w:w="2340"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975"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1725"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1297"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2134"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2505"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1984"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nil"/>
              <w:right w:val="single" w:color="auto" w:sz="4" w:space="0"/>
            </w:tcBorders>
            <w:vAlign w:val="center"/>
          </w:tcPr>
          <w:p>
            <w:pPr>
              <w:widowControl/>
              <w:rPr>
                <w:rFonts w:ascii="Arial" w:hAnsi="Arial" w:cs="Arial"/>
              </w:rPr>
            </w:pPr>
            <w:r>
              <w:rPr>
                <w:rFonts w:hint="eastAsia" w:ascii="Arial" w:hAnsi="Arial" w:cs="Arial"/>
              </w:rPr>
              <w:t>　</w:t>
            </w:r>
          </w:p>
        </w:tc>
        <w:tc>
          <w:tcPr>
            <w:tcW w:w="2340"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975"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1725"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1297"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2134"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2505"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1984"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nil"/>
              <w:right w:val="single" w:color="auto" w:sz="4" w:space="0"/>
            </w:tcBorders>
            <w:vAlign w:val="center"/>
          </w:tcPr>
          <w:p>
            <w:pPr>
              <w:widowControl/>
              <w:rPr>
                <w:rFonts w:ascii="Arial" w:hAnsi="Arial" w:cs="Arial"/>
              </w:rPr>
            </w:pPr>
            <w:r>
              <w:rPr>
                <w:rFonts w:hint="eastAsia" w:ascii="Arial" w:hAnsi="Arial" w:cs="Arial"/>
              </w:rPr>
              <w:t>　</w:t>
            </w:r>
          </w:p>
        </w:tc>
        <w:tc>
          <w:tcPr>
            <w:tcW w:w="2340"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975"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1725"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1297"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2134"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2505"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1984"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nil"/>
              <w:right w:val="single" w:color="auto" w:sz="4" w:space="0"/>
            </w:tcBorders>
            <w:vAlign w:val="center"/>
          </w:tcPr>
          <w:p>
            <w:pPr>
              <w:widowControl/>
              <w:rPr>
                <w:rFonts w:ascii="Arial" w:hAnsi="Arial" w:cs="Arial"/>
              </w:rPr>
            </w:pPr>
            <w:r>
              <w:rPr>
                <w:rFonts w:hint="eastAsia" w:ascii="Arial" w:hAnsi="Arial" w:cs="Arial"/>
              </w:rPr>
              <w:t>　</w:t>
            </w:r>
          </w:p>
        </w:tc>
        <w:tc>
          <w:tcPr>
            <w:tcW w:w="2340"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975"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1725"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1297"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2134"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2505"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c>
          <w:tcPr>
            <w:tcW w:w="1984" w:type="dxa"/>
            <w:tcBorders>
              <w:top w:val="nil"/>
              <w:left w:val="nil"/>
              <w:bottom w:val="nil"/>
              <w:right w:val="single" w:color="auto" w:sz="4" w:space="0"/>
            </w:tcBorders>
            <w:vAlign w:val="center"/>
          </w:tcPr>
          <w:p>
            <w:pPr>
              <w:widowControl/>
              <w:rPr>
                <w:rFonts w:ascii="Arial" w:hAnsi="Arial" w:cs="Arial"/>
              </w:rPr>
            </w:pPr>
            <w:r>
              <w:rPr>
                <w:rFonts w:hint="eastAsia" w:ascii="Arial" w:hAnsi="Arial" w:cs="Arial"/>
              </w:rPr>
              <w:t>　</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nil"/>
              <w:right w:val="single" w:color="auto" w:sz="4" w:space="0"/>
            </w:tcBorders>
            <w:vAlign w:val="center"/>
          </w:tcPr>
          <w:p>
            <w:pPr>
              <w:widowControl/>
            </w:pPr>
            <w:r>
              <w:rPr>
                <w:rFonts w:hint="eastAsia"/>
              </w:rPr>
              <w:t>　</w:t>
            </w:r>
          </w:p>
        </w:tc>
        <w:tc>
          <w:tcPr>
            <w:tcW w:w="2340" w:type="dxa"/>
            <w:tcBorders>
              <w:top w:val="nil"/>
              <w:left w:val="nil"/>
              <w:bottom w:val="nil"/>
              <w:right w:val="single" w:color="auto" w:sz="4" w:space="0"/>
            </w:tcBorders>
            <w:vAlign w:val="center"/>
          </w:tcPr>
          <w:p>
            <w:pPr>
              <w:widowControl/>
            </w:pPr>
            <w:r>
              <w:rPr>
                <w:rFonts w:hint="eastAsia"/>
              </w:rPr>
              <w:t>　</w:t>
            </w:r>
          </w:p>
        </w:tc>
        <w:tc>
          <w:tcPr>
            <w:tcW w:w="975" w:type="dxa"/>
            <w:tcBorders>
              <w:top w:val="nil"/>
              <w:left w:val="nil"/>
              <w:bottom w:val="nil"/>
              <w:right w:val="single" w:color="auto" w:sz="4" w:space="0"/>
            </w:tcBorders>
            <w:vAlign w:val="center"/>
          </w:tcPr>
          <w:p>
            <w:pPr>
              <w:widowControl/>
            </w:pPr>
            <w:r>
              <w:rPr>
                <w:rFonts w:hint="eastAsia"/>
              </w:rPr>
              <w:t>　</w:t>
            </w:r>
          </w:p>
        </w:tc>
        <w:tc>
          <w:tcPr>
            <w:tcW w:w="1725" w:type="dxa"/>
            <w:tcBorders>
              <w:top w:val="nil"/>
              <w:left w:val="nil"/>
              <w:bottom w:val="nil"/>
              <w:right w:val="single" w:color="auto" w:sz="4" w:space="0"/>
            </w:tcBorders>
            <w:vAlign w:val="center"/>
          </w:tcPr>
          <w:p>
            <w:pPr>
              <w:widowControl/>
            </w:pPr>
            <w:r>
              <w:rPr>
                <w:rFonts w:hint="eastAsia"/>
              </w:rPr>
              <w:t>　</w:t>
            </w:r>
          </w:p>
        </w:tc>
        <w:tc>
          <w:tcPr>
            <w:tcW w:w="1297" w:type="dxa"/>
            <w:tcBorders>
              <w:top w:val="nil"/>
              <w:left w:val="nil"/>
              <w:bottom w:val="nil"/>
              <w:right w:val="single" w:color="auto" w:sz="4" w:space="0"/>
            </w:tcBorders>
            <w:vAlign w:val="center"/>
          </w:tcPr>
          <w:p>
            <w:pPr>
              <w:widowControl/>
            </w:pPr>
            <w:r>
              <w:rPr>
                <w:rFonts w:hint="eastAsia"/>
              </w:rPr>
              <w:t>　</w:t>
            </w:r>
          </w:p>
        </w:tc>
        <w:tc>
          <w:tcPr>
            <w:tcW w:w="2134" w:type="dxa"/>
            <w:tcBorders>
              <w:top w:val="nil"/>
              <w:left w:val="nil"/>
              <w:bottom w:val="nil"/>
              <w:right w:val="single" w:color="auto" w:sz="4" w:space="0"/>
            </w:tcBorders>
            <w:vAlign w:val="center"/>
          </w:tcPr>
          <w:p>
            <w:pPr>
              <w:widowControl/>
            </w:pPr>
            <w:r>
              <w:rPr>
                <w:rFonts w:hint="eastAsia"/>
              </w:rPr>
              <w:t>　</w:t>
            </w:r>
          </w:p>
        </w:tc>
        <w:tc>
          <w:tcPr>
            <w:tcW w:w="2505" w:type="dxa"/>
            <w:tcBorders>
              <w:top w:val="nil"/>
              <w:left w:val="nil"/>
              <w:bottom w:val="nil"/>
              <w:right w:val="single" w:color="auto" w:sz="4" w:space="0"/>
            </w:tcBorders>
            <w:vAlign w:val="center"/>
          </w:tcPr>
          <w:p>
            <w:pPr>
              <w:widowControl/>
            </w:pPr>
            <w:r>
              <w:rPr>
                <w:rFonts w:hint="eastAsia"/>
              </w:rPr>
              <w:t>　</w:t>
            </w:r>
          </w:p>
        </w:tc>
        <w:tc>
          <w:tcPr>
            <w:tcW w:w="1984" w:type="dxa"/>
            <w:tcBorders>
              <w:top w:val="nil"/>
              <w:left w:val="nil"/>
              <w:bottom w:val="nil"/>
              <w:right w:val="single" w:color="auto" w:sz="4" w:space="0"/>
            </w:tcBorders>
            <w:vAlign w:val="center"/>
          </w:tcPr>
          <w:p>
            <w:pPr>
              <w:widowControl/>
            </w:pPr>
            <w:r>
              <w:rPr>
                <w:rFonts w:hint="eastAsia"/>
              </w:rPr>
              <w:t>　</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nil"/>
              <w:right w:val="single" w:color="auto" w:sz="4" w:space="0"/>
            </w:tcBorders>
            <w:vAlign w:val="center"/>
          </w:tcPr>
          <w:p>
            <w:pPr>
              <w:widowControl/>
            </w:pPr>
            <w:r>
              <w:rPr>
                <w:rFonts w:hint="eastAsia"/>
              </w:rPr>
              <w:t>　</w:t>
            </w:r>
          </w:p>
        </w:tc>
        <w:tc>
          <w:tcPr>
            <w:tcW w:w="2340" w:type="dxa"/>
            <w:tcBorders>
              <w:top w:val="nil"/>
              <w:left w:val="nil"/>
              <w:bottom w:val="nil"/>
              <w:right w:val="single" w:color="auto" w:sz="4" w:space="0"/>
            </w:tcBorders>
            <w:vAlign w:val="center"/>
          </w:tcPr>
          <w:p>
            <w:pPr>
              <w:widowControl/>
            </w:pPr>
            <w:r>
              <w:rPr>
                <w:rFonts w:hint="eastAsia"/>
              </w:rPr>
              <w:t>　</w:t>
            </w:r>
          </w:p>
        </w:tc>
        <w:tc>
          <w:tcPr>
            <w:tcW w:w="975" w:type="dxa"/>
            <w:tcBorders>
              <w:top w:val="nil"/>
              <w:left w:val="nil"/>
              <w:bottom w:val="nil"/>
              <w:right w:val="single" w:color="auto" w:sz="4" w:space="0"/>
            </w:tcBorders>
            <w:vAlign w:val="center"/>
          </w:tcPr>
          <w:p>
            <w:pPr>
              <w:widowControl/>
            </w:pPr>
            <w:r>
              <w:rPr>
                <w:rFonts w:hint="eastAsia"/>
              </w:rPr>
              <w:t>　</w:t>
            </w:r>
          </w:p>
        </w:tc>
        <w:tc>
          <w:tcPr>
            <w:tcW w:w="1725" w:type="dxa"/>
            <w:tcBorders>
              <w:top w:val="nil"/>
              <w:left w:val="nil"/>
              <w:bottom w:val="nil"/>
              <w:right w:val="single" w:color="auto" w:sz="4" w:space="0"/>
            </w:tcBorders>
            <w:vAlign w:val="center"/>
          </w:tcPr>
          <w:p>
            <w:pPr>
              <w:widowControl/>
            </w:pPr>
            <w:r>
              <w:rPr>
                <w:rFonts w:hint="eastAsia"/>
              </w:rPr>
              <w:t>　</w:t>
            </w:r>
          </w:p>
        </w:tc>
        <w:tc>
          <w:tcPr>
            <w:tcW w:w="1297" w:type="dxa"/>
            <w:tcBorders>
              <w:top w:val="nil"/>
              <w:left w:val="nil"/>
              <w:bottom w:val="nil"/>
              <w:right w:val="single" w:color="auto" w:sz="4" w:space="0"/>
            </w:tcBorders>
            <w:vAlign w:val="center"/>
          </w:tcPr>
          <w:p>
            <w:pPr>
              <w:widowControl/>
            </w:pPr>
            <w:r>
              <w:rPr>
                <w:rFonts w:hint="eastAsia"/>
              </w:rPr>
              <w:t>　</w:t>
            </w:r>
          </w:p>
        </w:tc>
        <w:tc>
          <w:tcPr>
            <w:tcW w:w="2134" w:type="dxa"/>
            <w:tcBorders>
              <w:top w:val="nil"/>
              <w:left w:val="nil"/>
              <w:bottom w:val="nil"/>
              <w:right w:val="single" w:color="auto" w:sz="4" w:space="0"/>
            </w:tcBorders>
            <w:vAlign w:val="center"/>
          </w:tcPr>
          <w:p>
            <w:pPr>
              <w:widowControl/>
            </w:pPr>
            <w:r>
              <w:rPr>
                <w:rFonts w:hint="eastAsia"/>
              </w:rPr>
              <w:t>　</w:t>
            </w:r>
          </w:p>
        </w:tc>
        <w:tc>
          <w:tcPr>
            <w:tcW w:w="2505" w:type="dxa"/>
            <w:tcBorders>
              <w:top w:val="nil"/>
              <w:left w:val="nil"/>
              <w:bottom w:val="nil"/>
              <w:right w:val="single" w:color="auto" w:sz="4" w:space="0"/>
            </w:tcBorders>
            <w:vAlign w:val="center"/>
          </w:tcPr>
          <w:p>
            <w:pPr>
              <w:widowControl/>
            </w:pPr>
            <w:r>
              <w:rPr>
                <w:rFonts w:hint="eastAsia"/>
              </w:rPr>
              <w:t>　</w:t>
            </w:r>
          </w:p>
        </w:tc>
        <w:tc>
          <w:tcPr>
            <w:tcW w:w="1984" w:type="dxa"/>
            <w:tcBorders>
              <w:top w:val="nil"/>
              <w:left w:val="nil"/>
              <w:bottom w:val="nil"/>
              <w:right w:val="single" w:color="auto" w:sz="4" w:space="0"/>
            </w:tcBorders>
            <w:vAlign w:val="center"/>
          </w:tcPr>
          <w:p>
            <w:pPr>
              <w:widowControl/>
            </w:pPr>
            <w:r>
              <w:rPr>
                <w:rFonts w:hint="eastAsia"/>
              </w:rPr>
              <w:t>　</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vAlign w:val="center"/>
          </w:tcPr>
          <w:p>
            <w:pPr>
              <w:widowControl/>
            </w:pPr>
            <w:r>
              <w:rPr>
                <w:rFonts w:hint="eastAsia"/>
              </w:rPr>
              <w:t>　</w:t>
            </w:r>
          </w:p>
        </w:tc>
        <w:tc>
          <w:tcPr>
            <w:tcW w:w="2340" w:type="dxa"/>
            <w:tcBorders>
              <w:top w:val="nil"/>
              <w:left w:val="nil"/>
              <w:bottom w:val="single" w:color="auto" w:sz="4" w:space="0"/>
              <w:right w:val="single" w:color="auto" w:sz="4" w:space="0"/>
            </w:tcBorders>
            <w:vAlign w:val="center"/>
          </w:tcPr>
          <w:p>
            <w:pPr>
              <w:widowControl/>
            </w:pPr>
            <w:r>
              <w:rPr>
                <w:rFonts w:hint="eastAsia"/>
              </w:rPr>
              <w:t>　</w:t>
            </w:r>
          </w:p>
        </w:tc>
        <w:tc>
          <w:tcPr>
            <w:tcW w:w="975" w:type="dxa"/>
            <w:tcBorders>
              <w:top w:val="nil"/>
              <w:left w:val="nil"/>
              <w:bottom w:val="single" w:color="auto" w:sz="4" w:space="0"/>
              <w:right w:val="single" w:color="auto" w:sz="4" w:space="0"/>
            </w:tcBorders>
            <w:vAlign w:val="center"/>
          </w:tcPr>
          <w:p>
            <w:pPr>
              <w:widowControl/>
            </w:pPr>
            <w:r>
              <w:rPr>
                <w:rFonts w:hint="eastAsia"/>
              </w:rPr>
              <w:t>　</w:t>
            </w:r>
          </w:p>
        </w:tc>
        <w:tc>
          <w:tcPr>
            <w:tcW w:w="1725" w:type="dxa"/>
            <w:tcBorders>
              <w:top w:val="nil"/>
              <w:left w:val="nil"/>
              <w:bottom w:val="single" w:color="auto" w:sz="4" w:space="0"/>
              <w:right w:val="single" w:color="auto" w:sz="4" w:space="0"/>
            </w:tcBorders>
            <w:vAlign w:val="center"/>
          </w:tcPr>
          <w:p>
            <w:pPr>
              <w:widowControl/>
            </w:pPr>
            <w:r>
              <w:rPr>
                <w:rFonts w:hint="eastAsia"/>
              </w:rPr>
              <w:t>　</w:t>
            </w:r>
          </w:p>
        </w:tc>
        <w:tc>
          <w:tcPr>
            <w:tcW w:w="1297" w:type="dxa"/>
            <w:tcBorders>
              <w:top w:val="nil"/>
              <w:left w:val="nil"/>
              <w:bottom w:val="single" w:color="auto" w:sz="4" w:space="0"/>
              <w:right w:val="single" w:color="auto" w:sz="4" w:space="0"/>
            </w:tcBorders>
            <w:vAlign w:val="center"/>
          </w:tcPr>
          <w:p>
            <w:pPr>
              <w:widowControl/>
            </w:pPr>
            <w:r>
              <w:rPr>
                <w:rFonts w:hint="eastAsia"/>
              </w:rPr>
              <w:t>　</w:t>
            </w:r>
          </w:p>
        </w:tc>
        <w:tc>
          <w:tcPr>
            <w:tcW w:w="2134" w:type="dxa"/>
            <w:tcBorders>
              <w:top w:val="nil"/>
              <w:left w:val="nil"/>
              <w:bottom w:val="single" w:color="auto" w:sz="4" w:space="0"/>
              <w:right w:val="single" w:color="auto" w:sz="4" w:space="0"/>
            </w:tcBorders>
            <w:vAlign w:val="center"/>
          </w:tcPr>
          <w:p>
            <w:pPr>
              <w:widowControl/>
            </w:pPr>
            <w:r>
              <w:rPr>
                <w:rFonts w:hint="eastAsia"/>
              </w:rPr>
              <w:t>　</w:t>
            </w:r>
          </w:p>
        </w:tc>
        <w:tc>
          <w:tcPr>
            <w:tcW w:w="2505" w:type="dxa"/>
            <w:tcBorders>
              <w:top w:val="nil"/>
              <w:left w:val="nil"/>
              <w:bottom w:val="single" w:color="auto" w:sz="4" w:space="0"/>
              <w:right w:val="single" w:color="auto" w:sz="4" w:space="0"/>
            </w:tcBorders>
            <w:vAlign w:val="center"/>
          </w:tcPr>
          <w:p>
            <w:pPr>
              <w:widowControl/>
            </w:pPr>
            <w:r>
              <w:rPr>
                <w:rFonts w:hint="eastAsia"/>
              </w:rPr>
              <w:t>　</w:t>
            </w:r>
          </w:p>
        </w:tc>
        <w:tc>
          <w:tcPr>
            <w:tcW w:w="1984" w:type="dxa"/>
            <w:tcBorders>
              <w:top w:val="nil"/>
              <w:left w:val="nil"/>
              <w:bottom w:val="single" w:color="auto" w:sz="4" w:space="0"/>
              <w:right w:val="single" w:color="auto" w:sz="4" w:space="0"/>
            </w:tcBorders>
            <w:vAlign w:val="center"/>
          </w:tcPr>
          <w:p>
            <w:pPr>
              <w:widowControl/>
            </w:pPr>
            <w:r>
              <w:rPr>
                <w:rFonts w:hint="eastAsia"/>
              </w:rPr>
              <w:t>　</w:t>
            </w:r>
          </w:p>
        </w:tc>
      </w:tr>
      <w:tr>
        <w:tblPrEx>
          <w:tblCellMar>
            <w:top w:w="0" w:type="dxa"/>
            <w:left w:w="108" w:type="dxa"/>
            <w:bottom w:w="0" w:type="dxa"/>
            <w:right w:w="108" w:type="dxa"/>
          </w:tblCellMar>
        </w:tblPrEx>
        <w:trPr>
          <w:trHeight w:val="499" w:hRule="atLeast"/>
        </w:trPr>
        <w:tc>
          <w:tcPr>
            <w:tcW w:w="14040" w:type="dxa"/>
            <w:gridSpan w:val="8"/>
            <w:tcBorders>
              <w:top w:val="nil"/>
              <w:left w:val="nil"/>
              <w:bottom w:val="nil"/>
              <w:right w:val="nil"/>
            </w:tcBorders>
            <w:vAlign w:val="bottom"/>
          </w:tcPr>
          <w:p>
            <w:pPr>
              <w:widowControl/>
            </w:pPr>
            <w:r>
              <w:rPr>
                <w:rFonts w:hint="eastAsia" w:ascii="黑体" w:eastAsia="黑体"/>
                <w:szCs w:val="21"/>
              </w:rPr>
              <w:t>注：</w:t>
            </w:r>
            <w:r>
              <w:rPr>
                <w:rFonts w:hint="eastAsia"/>
                <w:szCs w:val="21"/>
              </w:rPr>
              <w:t>本表中所列材料设备应仅限于承包人自行采购范围内的材料设备。本表格可以按照同样的格式扩展。</w:t>
            </w:r>
          </w:p>
        </w:tc>
      </w:tr>
    </w:tbl>
    <w:p>
      <w:pPr>
        <w:spacing w:afterLines="50" w:line="300" w:lineRule="auto"/>
        <w:sectPr>
          <w:pgSz w:w="16838" w:h="11906" w:orient="landscape"/>
          <w:pgMar w:top="1797" w:right="1440" w:bottom="1276" w:left="1440" w:header="851" w:footer="992" w:gutter="0"/>
          <w:cols w:space="720" w:num="1"/>
          <w:docGrid w:linePitch="312" w:charSpace="0"/>
        </w:sectPr>
      </w:pPr>
    </w:p>
    <w:p>
      <w:pPr>
        <w:spacing w:line="360" w:lineRule="auto"/>
        <w:rPr>
          <w:b/>
          <w:szCs w:val="21"/>
        </w:rPr>
      </w:pPr>
      <w:r>
        <w:rPr>
          <w:rFonts w:hint="eastAsia"/>
          <w:b/>
          <w:szCs w:val="21"/>
        </w:rPr>
        <w:t>三、技术部分</w:t>
      </w:r>
    </w:p>
    <w:p>
      <w:pPr>
        <w:spacing w:line="360" w:lineRule="auto"/>
        <w:rPr>
          <w:b/>
          <w:szCs w:val="21"/>
        </w:rPr>
      </w:pPr>
    </w:p>
    <w:p>
      <w:pPr>
        <w:spacing w:line="360" w:lineRule="auto"/>
        <w:ind w:firstLine="420"/>
        <w:jc w:val="center"/>
        <w:rPr>
          <w:b/>
          <w:sz w:val="30"/>
          <w:szCs w:val="30"/>
        </w:rPr>
      </w:pPr>
      <w:r>
        <w:rPr>
          <w:rFonts w:hint="eastAsia"/>
          <w:b/>
          <w:sz w:val="30"/>
          <w:szCs w:val="30"/>
        </w:rPr>
        <w:t>施工组织设计</w:t>
      </w:r>
    </w:p>
    <w:p>
      <w:pPr>
        <w:tabs>
          <w:tab w:val="left" w:pos="630"/>
        </w:tabs>
        <w:spacing w:line="360" w:lineRule="auto"/>
        <w:ind w:firstLine="376" w:firstLineChars="171"/>
        <w:rPr>
          <w:szCs w:val="21"/>
        </w:rPr>
      </w:pPr>
      <w:r>
        <w:rPr>
          <w:rFonts w:hint="eastAsia"/>
          <w:szCs w:val="21"/>
        </w:rPr>
        <w:t>（</w:t>
      </w:r>
      <w:r>
        <w:rPr>
          <w:szCs w:val="21"/>
        </w:rPr>
        <w:t>1</w:t>
      </w:r>
      <w:r>
        <w:rPr>
          <w:rFonts w:hint="eastAsia"/>
          <w:szCs w:val="21"/>
        </w:rPr>
        <w:t>）施工总体进度计划及保障措施；</w:t>
      </w:r>
    </w:p>
    <w:p>
      <w:pPr>
        <w:tabs>
          <w:tab w:val="left" w:pos="630"/>
        </w:tabs>
        <w:spacing w:line="360" w:lineRule="auto"/>
        <w:ind w:firstLine="376" w:firstLineChars="171"/>
        <w:rPr>
          <w:szCs w:val="21"/>
        </w:rPr>
      </w:pPr>
      <w:r>
        <w:rPr>
          <w:rFonts w:hint="eastAsia"/>
          <w:szCs w:val="21"/>
        </w:rPr>
        <w:t>（</w:t>
      </w:r>
      <w:r>
        <w:rPr>
          <w:szCs w:val="21"/>
        </w:rPr>
        <w:t>2</w:t>
      </w:r>
      <w:r>
        <w:rPr>
          <w:rFonts w:hint="eastAsia"/>
          <w:szCs w:val="21"/>
        </w:rPr>
        <w:t>）质量目标和质量保证措施；</w:t>
      </w:r>
    </w:p>
    <w:p>
      <w:pPr>
        <w:tabs>
          <w:tab w:val="left" w:pos="630"/>
        </w:tabs>
        <w:spacing w:line="360" w:lineRule="auto"/>
        <w:ind w:firstLine="376" w:firstLineChars="171"/>
        <w:rPr>
          <w:szCs w:val="21"/>
        </w:rPr>
      </w:pPr>
      <w:r>
        <w:rPr>
          <w:rFonts w:hint="eastAsia"/>
          <w:szCs w:val="21"/>
        </w:rPr>
        <w:t>（</w:t>
      </w:r>
      <w:r>
        <w:rPr>
          <w:szCs w:val="21"/>
        </w:rPr>
        <w:t>3</w:t>
      </w:r>
      <w:r>
        <w:rPr>
          <w:rFonts w:hint="eastAsia"/>
          <w:szCs w:val="21"/>
        </w:rPr>
        <w:t>）安全防护及文明施工措施；</w:t>
      </w:r>
    </w:p>
    <w:p>
      <w:pPr>
        <w:tabs>
          <w:tab w:val="left" w:pos="630"/>
        </w:tabs>
        <w:spacing w:line="360" w:lineRule="auto"/>
        <w:ind w:firstLine="376" w:firstLineChars="171"/>
        <w:rPr>
          <w:szCs w:val="21"/>
        </w:rPr>
      </w:pPr>
      <w:r>
        <w:rPr>
          <w:rFonts w:hint="eastAsia"/>
          <w:szCs w:val="21"/>
        </w:rPr>
        <w:t>（</w:t>
      </w:r>
      <w:r>
        <w:rPr>
          <w:szCs w:val="21"/>
        </w:rPr>
        <w:t>4</w:t>
      </w:r>
      <w:r>
        <w:rPr>
          <w:rFonts w:hint="eastAsia"/>
          <w:szCs w:val="21"/>
        </w:rPr>
        <w:t>）环保措施；</w:t>
      </w:r>
    </w:p>
    <w:p>
      <w:pPr>
        <w:tabs>
          <w:tab w:val="left" w:pos="630"/>
        </w:tabs>
        <w:spacing w:line="360" w:lineRule="auto"/>
        <w:ind w:firstLine="376" w:firstLineChars="171"/>
        <w:rPr>
          <w:szCs w:val="21"/>
        </w:rPr>
      </w:pPr>
      <w:r>
        <w:rPr>
          <w:rFonts w:hint="eastAsia"/>
          <w:szCs w:val="21"/>
        </w:rPr>
        <w:t>（</w:t>
      </w:r>
      <w:r>
        <w:rPr>
          <w:szCs w:val="21"/>
        </w:rPr>
        <w:t>5</w:t>
      </w:r>
      <w:r>
        <w:rPr>
          <w:rFonts w:hint="eastAsia"/>
          <w:szCs w:val="21"/>
        </w:rPr>
        <w:t>）竣工收尾阶段的配合和管理措施；</w:t>
      </w:r>
    </w:p>
    <w:p>
      <w:pPr>
        <w:tabs>
          <w:tab w:val="left" w:pos="630"/>
        </w:tabs>
        <w:spacing w:line="360" w:lineRule="auto"/>
        <w:ind w:firstLine="376" w:firstLineChars="171"/>
        <w:rPr>
          <w:szCs w:val="21"/>
        </w:rPr>
      </w:pPr>
      <w:r>
        <w:rPr>
          <w:rFonts w:hint="eastAsia"/>
          <w:szCs w:val="21"/>
        </w:rPr>
        <w:t>（</w:t>
      </w:r>
      <w:r>
        <w:rPr>
          <w:szCs w:val="21"/>
        </w:rPr>
        <w:t>6</w:t>
      </w:r>
      <w:r>
        <w:rPr>
          <w:rFonts w:hint="eastAsia"/>
          <w:szCs w:val="21"/>
        </w:rPr>
        <w:t>）施工现场总平面布置；</w:t>
      </w: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szCs w:val="21"/>
        </w:rPr>
      </w:pPr>
    </w:p>
    <w:p>
      <w:pPr>
        <w:spacing w:line="360" w:lineRule="auto"/>
        <w:ind w:firstLine="420"/>
        <w:jc w:val="center"/>
        <w:rPr>
          <w:b/>
          <w:sz w:val="30"/>
          <w:szCs w:val="30"/>
        </w:rPr>
      </w:pPr>
    </w:p>
    <w:p>
      <w:pPr>
        <w:spacing w:line="360" w:lineRule="auto"/>
        <w:ind w:firstLine="420"/>
        <w:jc w:val="center"/>
        <w:rPr>
          <w:b/>
          <w:sz w:val="30"/>
          <w:szCs w:val="30"/>
        </w:rPr>
      </w:pPr>
      <w:r>
        <w:rPr>
          <w:rFonts w:hint="eastAsia"/>
          <w:b/>
          <w:sz w:val="30"/>
          <w:szCs w:val="30"/>
        </w:rPr>
        <w:t>项目组织管理机构情况表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662"/>
        <w:gridCol w:w="662"/>
        <w:gridCol w:w="957"/>
        <w:gridCol w:w="957"/>
        <w:gridCol w:w="957"/>
        <w:gridCol w:w="957"/>
        <w:gridCol w:w="3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663" w:type="dxa"/>
            <w:vMerge w:val="restart"/>
            <w:vAlign w:val="center"/>
          </w:tcPr>
          <w:p>
            <w:pPr>
              <w:spacing w:line="360" w:lineRule="auto"/>
              <w:jc w:val="center"/>
              <w:rPr>
                <w:szCs w:val="21"/>
              </w:rPr>
            </w:pPr>
            <w:r>
              <w:rPr>
                <w:rFonts w:hint="eastAsia"/>
                <w:szCs w:val="21"/>
              </w:rPr>
              <w:t>职务</w:t>
            </w:r>
          </w:p>
        </w:tc>
        <w:tc>
          <w:tcPr>
            <w:tcW w:w="662" w:type="dxa"/>
            <w:vMerge w:val="restart"/>
            <w:vAlign w:val="center"/>
          </w:tcPr>
          <w:p>
            <w:pPr>
              <w:spacing w:line="360" w:lineRule="auto"/>
              <w:jc w:val="center"/>
              <w:rPr>
                <w:szCs w:val="21"/>
              </w:rPr>
            </w:pPr>
            <w:r>
              <w:rPr>
                <w:rFonts w:hint="eastAsia"/>
                <w:szCs w:val="21"/>
              </w:rPr>
              <w:t>姓名</w:t>
            </w:r>
          </w:p>
        </w:tc>
        <w:tc>
          <w:tcPr>
            <w:tcW w:w="662" w:type="dxa"/>
            <w:vMerge w:val="restart"/>
            <w:vAlign w:val="center"/>
          </w:tcPr>
          <w:p>
            <w:pPr>
              <w:spacing w:line="360" w:lineRule="auto"/>
              <w:jc w:val="center"/>
              <w:rPr>
                <w:szCs w:val="21"/>
              </w:rPr>
            </w:pPr>
            <w:r>
              <w:rPr>
                <w:rFonts w:hint="eastAsia"/>
                <w:szCs w:val="21"/>
              </w:rPr>
              <w:t>职称</w:t>
            </w:r>
          </w:p>
        </w:tc>
        <w:tc>
          <w:tcPr>
            <w:tcW w:w="3828" w:type="dxa"/>
            <w:gridSpan w:val="4"/>
            <w:vAlign w:val="center"/>
          </w:tcPr>
          <w:p>
            <w:pPr>
              <w:spacing w:line="360" w:lineRule="auto"/>
              <w:jc w:val="center"/>
              <w:rPr>
                <w:szCs w:val="21"/>
              </w:rPr>
            </w:pPr>
            <w:r>
              <w:rPr>
                <w:rFonts w:hint="eastAsia"/>
                <w:szCs w:val="21"/>
              </w:rPr>
              <w:t>执业或职业资格证明</w:t>
            </w:r>
          </w:p>
        </w:tc>
        <w:tc>
          <w:tcPr>
            <w:tcW w:w="3234" w:type="dxa"/>
            <w:vMerge w:val="restart"/>
            <w:vAlign w:val="center"/>
          </w:tcPr>
          <w:p>
            <w:pPr>
              <w:spacing w:line="360" w:lineRule="auto"/>
              <w:jc w:val="center"/>
              <w:rPr>
                <w:szCs w:val="21"/>
              </w:rPr>
            </w:pPr>
            <w:r>
              <w:rPr>
                <w:rFonts w:hint="eastAsia"/>
                <w:szCs w:val="21"/>
              </w:rPr>
              <w:t>同类工程业绩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663" w:type="dxa"/>
            <w:vMerge w:val="continue"/>
          </w:tcPr>
          <w:p>
            <w:pPr>
              <w:spacing w:line="360" w:lineRule="auto"/>
              <w:jc w:val="center"/>
              <w:rPr>
                <w:b/>
                <w:sz w:val="30"/>
                <w:szCs w:val="30"/>
              </w:rPr>
            </w:pPr>
          </w:p>
        </w:tc>
        <w:tc>
          <w:tcPr>
            <w:tcW w:w="662" w:type="dxa"/>
            <w:vMerge w:val="continue"/>
          </w:tcPr>
          <w:p>
            <w:pPr>
              <w:spacing w:line="360" w:lineRule="auto"/>
              <w:jc w:val="center"/>
              <w:rPr>
                <w:b/>
                <w:sz w:val="30"/>
                <w:szCs w:val="30"/>
              </w:rPr>
            </w:pPr>
          </w:p>
        </w:tc>
        <w:tc>
          <w:tcPr>
            <w:tcW w:w="662" w:type="dxa"/>
            <w:vMerge w:val="continue"/>
          </w:tcPr>
          <w:p>
            <w:pPr>
              <w:spacing w:line="360" w:lineRule="auto"/>
              <w:jc w:val="center"/>
              <w:rPr>
                <w:b/>
                <w:sz w:val="30"/>
                <w:szCs w:val="30"/>
              </w:rPr>
            </w:pPr>
          </w:p>
        </w:tc>
        <w:tc>
          <w:tcPr>
            <w:tcW w:w="957" w:type="dxa"/>
            <w:vAlign w:val="center"/>
          </w:tcPr>
          <w:p>
            <w:pPr>
              <w:spacing w:line="360" w:lineRule="auto"/>
              <w:jc w:val="center"/>
              <w:rPr>
                <w:szCs w:val="21"/>
              </w:rPr>
            </w:pPr>
            <w:r>
              <w:rPr>
                <w:rFonts w:hint="eastAsia"/>
                <w:szCs w:val="21"/>
              </w:rPr>
              <w:t>证书名称</w:t>
            </w:r>
          </w:p>
        </w:tc>
        <w:tc>
          <w:tcPr>
            <w:tcW w:w="957" w:type="dxa"/>
            <w:vAlign w:val="center"/>
          </w:tcPr>
          <w:p>
            <w:pPr>
              <w:spacing w:line="360" w:lineRule="auto"/>
              <w:jc w:val="center"/>
              <w:rPr>
                <w:szCs w:val="21"/>
              </w:rPr>
            </w:pPr>
            <w:r>
              <w:rPr>
                <w:rFonts w:hint="eastAsia"/>
                <w:szCs w:val="21"/>
              </w:rPr>
              <w:t>级别</w:t>
            </w:r>
          </w:p>
        </w:tc>
        <w:tc>
          <w:tcPr>
            <w:tcW w:w="957" w:type="dxa"/>
            <w:vAlign w:val="center"/>
          </w:tcPr>
          <w:p>
            <w:pPr>
              <w:spacing w:line="360" w:lineRule="auto"/>
              <w:jc w:val="center"/>
              <w:rPr>
                <w:szCs w:val="21"/>
              </w:rPr>
            </w:pPr>
            <w:r>
              <w:rPr>
                <w:rFonts w:hint="eastAsia"/>
                <w:szCs w:val="21"/>
              </w:rPr>
              <w:t>证号</w:t>
            </w:r>
          </w:p>
        </w:tc>
        <w:tc>
          <w:tcPr>
            <w:tcW w:w="957" w:type="dxa"/>
            <w:vAlign w:val="center"/>
          </w:tcPr>
          <w:p>
            <w:pPr>
              <w:spacing w:line="360" w:lineRule="auto"/>
              <w:jc w:val="center"/>
              <w:rPr>
                <w:szCs w:val="21"/>
              </w:rPr>
            </w:pPr>
            <w:r>
              <w:rPr>
                <w:rFonts w:hint="eastAsia"/>
                <w:szCs w:val="21"/>
              </w:rPr>
              <w:t>专业</w:t>
            </w:r>
          </w:p>
        </w:tc>
        <w:tc>
          <w:tcPr>
            <w:tcW w:w="3234" w:type="dxa"/>
            <w:vMerge w:val="continue"/>
          </w:tcPr>
          <w:p>
            <w:pPr>
              <w:spacing w:line="360" w:lineRule="auto"/>
              <w:jc w:val="center"/>
              <w:rPr>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63" w:type="dxa"/>
          </w:tcPr>
          <w:p>
            <w:pPr>
              <w:spacing w:line="360" w:lineRule="auto"/>
              <w:jc w:val="center"/>
              <w:rPr>
                <w:b/>
                <w:sz w:val="30"/>
                <w:szCs w:val="30"/>
              </w:rPr>
            </w:pPr>
          </w:p>
        </w:tc>
        <w:tc>
          <w:tcPr>
            <w:tcW w:w="662" w:type="dxa"/>
          </w:tcPr>
          <w:p>
            <w:pPr>
              <w:spacing w:line="360" w:lineRule="auto"/>
              <w:jc w:val="center"/>
              <w:rPr>
                <w:b/>
                <w:sz w:val="30"/>
                <w:szCs w:val="30"/>
              </w:rPr>
            </w:pPr>
          </w:p>
        </w:tc>
        <w:tc>
          <w:tcPr>
            <w:tcW w:w="662" w:type="dxa"/>
          </w:tcPr>
          <w:p>
            <w:pPr>
              <w:spacing w:line="360" w:lineRule="auto"/>
              <w:jc w:val="center"/>
              <w:rPr>
                <w:b/>
                <w:sz w:val="30"/>
                <w:szCs w:val="30"/>
              </w:rPr>
            </w:pPr>
          </w:p>
        </w:tc>
        <w:tc>
          <w:tcPr>
            <w:tcW w:w="957" w:type="dxa"/>
          </w:tcPr>
          <w:p>
            <w:pPr>
              <w:spacing w:line="360" w:lineRule="auto"/>
              <w:jc w:val="center"/>
              <w:rPr>
                <w:b/>
                <w:sz w:val="30"/>
                <w:szCs w:val="30"/>
              </w:rPr>
            </w:pPr>
          </w:p>
        </w:tc>
        <w:tc>
          <w:tcPr>
            <w:tcW w:w="957" w:type="dxa"/>
          </w:tcPr>
          <w:p>
            <w:pPr>
              <w:spacing w:line="360" w:lineRule="auto"/>
              <w:jc w:val="center"/>
              <w:rPr>
                <w:b/>
                <w:sz w:val="30"/>
                <w:szCs w:val="30"/>
              </w:rPr>
            </w:pPr>
          </w:p>
        </w:tc>
        <w:tc>
          <w:tcPr>
            <w:tcW w:w="957" w:type="dxa"/>
          </w:tcPr>
          <w:p>
            <w:pPr>
              <w:spacing w:line="360" w:lineRule="auto"/>
              <w:jc w:val="center"/>
              <w:rPr>
                <w:b/>
                <w:sz w:val="30"/>
                <w:szCs w:val="30"/>
              </w:rPr>
            </w:pPr>
          </w:p>
        </w:tc>
        <w:tc>
          <w:tcPr>
            <w:tcW w:w="957" w:type="dxa"/>
          </w:tcPr>
          <w:p>
            <w:pPr>
              <w:spacing w:line="360" w:lineRule="auto"/>
              <w:jc w:val="center"/>
              <w:rPr>
                <w:b/>
                <w:sz w:val="30"/>
                <w:szCs w:val="30"/>
              </w:rPr>
            </w:pPr>
          </w:p>
        </w:tc>
        <w:tc>
          <w:tcPr>
            <w:tcW w:w="3234" w:type="dxa"/>
          </w:tcPr>
          <w:p>
            <w:pPr>
              <w:spacing w:line="360" w:lineRule="auto"/>
              <w:jc w:val="center"/>
              <w:rPr>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63" w:type="dxa"/>
          </w:tcPr>
          <w:p>
            <w:pPr>
              <w:spacing w:line="360" w:lineRule="auto"/>
              <w:jc w:val="center"/>
              <w:rPr>
                <w:b/>
                <w:sz w:val="30"/>
                <w:szCs w:val="30"/>
              </w:rPr>
            </w:pPr>
          </w:p>
        </w:tc>
        <w:tc>
          <w:tcPr>
            <w:tcW w:w="662" w:type="dxa"/>
          </w:tcPr>
          <w:p>
            <w:pPr>
              <w:spacing w:line="360" w:lineRule="auto"/>
              <w:jc w:val="center"/>
              <w:rPr>
                <w:b/>
                <w:sz w:val="30"/>
                <w:szCs w:val="30"/>
              </w:rPr>
            </w:pPr>
          </w:p>
        </w:tc>
        <w:tc>
          <w:tcPr>
            <w:tcW w:w="662" w:type="dxa"/>
          </w:tcPr>
          <w:p>
            <w:pPr>
              <w:spacing w:line="360" w:lineRule="auto"/>
              <w:jc w:val="center"/>
              <w:rPr>
                <w:b/>
                <w:sz w:val="30"/>
                <w:szCs w:val="30"/>
              </w:rPr>
            </w:pPr>
          </w:p>
        </w:tc>
        <w:tc>
          <w:tcPr>
            <w:tcW w:w="957" w:type="dxa"/>
          </w:tcPr>
          <w:p>
            <w:pPr>
              <w:spacing w:line="360" w:lineRule="auto"/>
              <w:jc w:val="center"/>
              <w:rPr>
                <w:b/>
                <w:sz w:val="30"/>
                <w:szCs w:val="30"/>
              </w:rPr>
            </w:pPr>
          </w:p>
        </w:tc>
        <w:tc>
          <w:tcPr>
            <w:tcW w:w="957" w:type="dxa"/>
          </w:tcPr>
          <w:p>
            <w:pPr>
              <w:spacing w:line="360" w:lineRule="auto"/>
              <w:jc w:val="center"/>
              <w:rPr>
                <w:b/>
                <w:sz w:val="30"/>
                <w:szCs w:val="30"/>
              </w:rPr>
            </w:pPr>
          </w:p>
        </w:tc>
        <w:tc>
          <w:tcPr>
            <w:tcW w:w="957" w:type="dxa"/>
          </w:tcPr>
          <w:p>
            <w:pPr>
              <w:spacing w:line="360" w:lineRule="auto"/>
              <w:jc w:val="center"/>
              <w:rPr>
                <w:b/>
                <w:sz w:val="30"/>
                <w:szCs w:val="30"/>
              </w:rPr>
            </w:pPr>
          </w:p>
        </w:tc>
        <w:tc>
          <w:tcPr>
            <w:tcW w:w="957" w:type="dxa"/>
          </w:tcPr>
          <w:p>
            <w:pPr>
              <w:spacing w:line="360" w:lineRule="auto"/>
              <w:jc w:val="center"/>
              <w:rPr>
                <w:b/>
                <w:sz w:val="30"/>
                <w:szCs w:val="30"/>
              </w:rPr>
            </w:pPr>
          </w:p>
        </w:tc>
        <w:tc>
          <w:tcPr>
            <w:tcW w:w="3234" w:type="dxa"/>
          </w:tcPr>
          <w:p>
            <w:pPr>
              <w:spacing w:line="360" w:lineRule="auto"/>
              <w:jc w:val="center"/>
              <w:rPr>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63" w:type="dxa"/>
          </w:tcPr>
          <w:p>
            <w:pPr>
              <w:spacing w:line="360" w:lineRule="auto"/>
              <w:jc w:val="center"/>
              <w:rPr>
                <w:b/>
                <w:sz w:val="30"/>
                <w:szCs w:val="30"/>
              </w:rPr>
            </w:pPr>
          </w:p>
        </w:tc>
        <w:tc>
          <w:tcPr>
            <w:tcW w:w="662" w:type="dxa"/>
          </w:tcPr>
          <w:p>
            <w:pPr>
              <w:spacing w:line="360" w:lineRule="auto"/>
              <w:jc w:val="center"/>
              <w:rPr>
                <w:b/>
                <w:sz w:val="30"/>
                <w:szCs w:val="30"/>
              </w:rPr>
            </w:pPr>
          </w:p>
        </w:tc>
        <w:tc>
          <w:tcPr>
            <w:tcW w:w="662" w:type="dxa"/>
          </w:tcPr>
          <w:p>
            <w:pPr>
              <w:spacing w:line="360" w:lineRule="auto"/>
              <w:jc w:val="center"/>
              <w:rPr>
                <w:b/>
                <w:sz w:val="30"/>
                <w:szCs w:val="30"/>
              </w:rPr>
            </w:pPr>
          </w:p>
        </w:tc>
        <w:tc>
          <w:tcPr>
            <w:tcW w:w="957" w:type="dxa"/>
          </w:tcPr>
          <w:p>
            <w:pPr>
              <w:spacing w:line="360" w:lineRule="auto"/>
              <w:jc w:val="center"/>
              <w:rPr>
                <w:b/>
                <w:sz w:val="30"/>
                <w:szCs w:val="30"/>
              </w:rPr>
            </w:pPr>
          </w:p>
        </w:tc>
        <w:tc>
          <w:tcPr>
            <w:tcW w:w="957" w:type="dxa"/>
          </w:tcPr>
          <w:p>
            <w:pPr>
              <w:spacing w:line="360" w:lineRule="auto"/>
              <w:jc w:val="center"/>
              <w:rPr>
                <w:b/>
                <w:sz w:val="30"/>
                <w:szCs w:val="30"/>
              </w:rPr>
            </w:pPr>
          </w:p>
        </w:tc>
        <w:tc>
          <w:tcPr>
            <w:tcW w:w="957" w:type="dxa"/>
          </w:tcPr>
          <w:p>
            <w:pPr>
              <w:spacing w:line="360" w:lineRule="auto"/>
              <w:jc w:val="center"/>
              <w:rPr>
                <w:b/>
                <w:sz w:val="30"/>
                <w:szCs w:val="30"/>
              </w:rPr>
            </w:pPr>
          </w:p>
        </w:tc>
        <w:tc>
          <w:tcPr>
            <w:tcW w:w="957" w:type="dxa"/>
          </w:tcPr>
          <w:p>
            <w:pPr>
              <w:spacing w:line="360" w:lineRule="auto"/>
              <w:jc w:val="center"/>
              <w:rPr>
                <w:b/>
                <w:sz w:val="30"/>
                <w:szCs w:val="30"/>
              </w:rPr>
            </w:pPr>
          </w:p>
        </w:tc>
        <w:tc>
          <w:tcPr>
            <w:tcW w:w="3234" w:type="dxa"/>
          </w:tcPr>
          <w:p>
            <w:pPr>
              <w:spacing w:line="360" w:lineRule="auto"/>
              <w:jc w:val="center"/>
              <w:rPr>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63" w:type="dxa"/>
          </w:tcPr>
          <w:p>
            <w:pPr>
              <w:spacing w:line="360" w:lineRule="auto"/>
              <w:jc w:val="center"/>
              <w:rPr>
                <w:b/>
                <w:sz w:val="30"/>
                <w:szCs w:val="30"/>
              </w:rPr>
            </w:pPr>
          </w:p>
        </w:tc>
        <w:tc>
          <w:tcPr>
            <w:tcW w:w="662" w:type="dxa"/>
          </w:tcPr>
          <w:p>
            <w:pPr>
              <w:spacing w:line="360" w:lineRule="auto"/>
              <w:jc w:val="center"/>
              <w:rPr>
                <w:b/>
                <w:sz w:val="30"/>
                <w:szCs w:val="30"/>
              </w:rPr>
            </w:pPr>
          </w:p>
        </w:tc>
        <w:tc>
          <w:tcPr>
            <w:tcW w:w="662" w:type="dxa"/>
          </w:tcPr>
          <w:p>
            <w:pPr>
              <w:spacing w:line="360" w:lineRule="auto"/>
              <w:jc w:val="center"/>
              <w:rPr>
                <w:b/>
                <w:sz w:val="30"/>
                <w:szCs w:val="30"/>
              </w:rPr>
            </w:pPr>
          </w:p>
        </w:tc>
        <w:tc>
          <w:tcPr>
            <w:tcW w:w="957" w:type="dxa"/>
          </w:tcPr>
          <w:p>
            <w:pPr>
              <w:spacing w:line="360" w:lineRule="auto"/>
              <w:jc w:val="center"/>
              <w:rPr>
                <w:b/>
                <w:sz w:val="30"/>
                <w:szCs w:val="30"/>
              </w:rPr>
            </w:pPr>
          </w:p>
        </w:tc>
        <w:tc>
          <w:tcPr>
            <w:tcW w:w="957" w:type="dxa"/>
          </w:tcPr>
          <w:p>
            <w:pPr>
              <w:spacing w:line="360" w:lineRule="auto"/>
              <w:jc w:val="center"/>
              <w:rPr>
                <w:b/>
                <w:sz w:val="30"/>
                <w:szCs w:val="30"/>
              </w:rPr>
            </w:pPr>
          </w:p>
        </w:tc>
        <w:tc>
          <w:tcPr>
            <w:tcW w:w="957" w:type="dxa"/>
          </w:tcPr>
          <w:p>
            <w:pPr>
              <w:spacing w:line="360" w:lineRule="auto"/>
              <w:jc w:val="center"/>
              <w:rPr>
                <w:b/>
                <w:sz w:val="30"/>
                <w:szCs w:val="30"/>
              </w:rPr>
            </w:pPr>
          </w:p>
        </w:tc>
        <w:tc>
          <w:tcPr>
            <w:tcW w:w="957" w:type="dxa"/>
          </w:tcPr>
          <w:p>
            <w:pPr>
              <w:spacing w:line="360" w:lineRule="auto"/>
              <w:jc w:val="center"/>
              <w:rPr>
                <w:b/>
                <w:sz w:val="30"/>
                <w:szCs w:val="30"/>
              </w:rPr>
            </w:pPr>
          </w:p>
        </w:tc>
        <w:tc>
          <w:tcPr>
            <w:tcW w:w="3234" w:type="dxa"/>
          </w:tcPr>
          <w:p>
            <w:pPr>
              <w:spacing w:line="360" w:lineRule="auto"/>
              <w:jc w:val="center"/>
              <w:rPr>
                <w:b/>
                <w:sz w:val="30"/>
                <w:szCs w:val="30"/>
              </w:rPr>
            </w:pPr>
          </w:p>
        </w:tc>
      </w:tr>
    </w:tbl>
    <w:p>
      <w:pPr>
        <w:spacing w:line="360" w:lineRule="auto"/>
        <w:ind w:firstLine="420"/>
        <w:jc w:val="right"/>
        <w:rPr>
          <w:szCs w:val="21"/>
        </w:rPr>
        <w:sectPr>
          <w:pgSz w:w="11906" w:h="16838"/>
          <w:pgMar w:top="1440" w:right="1797" w:bottom="1440" w:left="1276" w:header="851" w:footer="992" w:gutter="0"/>
          <w:cols w:space="720" w:num="1"/>
          <w:docGrid w:linePitch="312" w:charSpace="0"/>
        </w:sectPr>
      </w:pPr>
      <w:r>
        <w:rPr>
          <w:b/>
          <w:sz w:val="30"/>
          <w:szCs w:val="30"/>
        </w:rPr>
        <w:t xml:space="preserve">                                                              </w:t>
      </w:r>
      <w:r>
        <w:rPr>
          <w:sz w:val="30"/>
          <w:szCs w:val="30"/>
        </w:rPr>
        <w:t xml:space="preserve"> </w:t>
      </w:r>
      <w:r>
        <w:rPr>
          <w:szCs w:val="21"/>
        </w:rPr>
        <w:t xml:space="preserve"> </w:t>
      </w:r>
      <w:r>
        <w:rPr>
          <w:rFonts w:hint="eastAsia"/>
          <w:szCs w:val="21"/>
        </w:rPr>
        <w:t>日</w:t>
      </w:r>
      <w:r>
        <w:rPr>
          <w:szCs w:val="21"/>
        </w:rPr>
        <w:t xml:space="preserve">   </w:t>
      </w:r>
      <w:r>
        <w:rPr>
          <w:rFonts w:hint="eastAsia"/>
          <w:szCs w:val="21"/>
        </w:rPr>
        <w:t>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jc w:val="center"/>
        <w:rPr>
          <w:b/>
          <w:sz w:val="30"/>
          <w:szCs w:val="30"/>
        </w:rPr>
      </w:pPr>
      <w:r>
        <w:rPr>
          <w:rFonts w:hint="eastAsia"/>
          <w:b/>
          <w:sz w:val="30"/>
          <w:szCs w:val="30"/>
        </w:rPr>
        <w:t>项目经理简历表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1"/>
        <w:gridCol w:w="1524"/>
        <w:gridCol w:w="1319"/>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21" w:type="dxa"/>
            <w:vAlign w:val="center"/>
          </w:tcPr>
          <w:p>
            <w:pPr>
              <w:jc w:val="center"/>
              <w:rPr>
                <w:szCs w:val="21"/>
              </w:rPr>
            </w:pPr>
            <w:r>
              <w:rPr>
                <w:rFonts w:hint="eastAsia"/>
                <w:szCs w:val="21"/>
              </w:rPr>
              <w:t>姓</w:t>
            </w:r>
            <w:r>
              <w:rPr>
                <w:szCs w:val="21"/>
              </w:rPr>
              <w:t xml:space="preserve"> </w:t>
            </w:r>
            <w:r>
              <w:rPr>
                <w:rFonts w:hint="eastAsia"/>
                <w:szCs w:val="21"/>
              </w:rPr>
              <w:t>名</w:t>
            </w:r>
          </w:p>
        </w:tc>
        <w:tc>
          <w:tcPr>
            <w:tcW w:w="1421" w:type="dxa"/>
            <w:vAlign w:val="center"/>
          </w:tcPr>
          <w:p>
            <w:pPr>
              <w:jc w:val="center"/>
              <w:rPr>
                <w:szCs w:val="21"/>
              </w:rPr>
            </w:pPr>
          </w:p>
        </w:tc>
        <w:tc>
          <w:tcPr>
            <w:tcW w:w="1421" w:type="dxa"/>
            <w:vAlign w:val="center"/>
          </w:tcPr>
          <w:p>
            <w:pPr>
              <w:jc w:val="center"/>
              <w:rPr>
                <w:szCs w:val="21"/>
              </w:rPr>
            </w:pPr>
            <w:r>
              <w:rPr>
                <w:rFonts w:hint="eastAsia"/>
                <w:szCs w:val="21"/>
              </w:rPr>
              <w:t>性</w:t>
            </w:r>
            <w:r>
              <w:rPr>
                <w:szCs w:val="21"/>
              </w:rPr>
              <w:t xml:space="preserve"> </w:t>
            </w:r>
            <w:r>
              <w:rPr>
                <w:rFonts w:hint="eastAsia"/>
                <w:szCs w:val="21"/>
              </w:rPr>
              <w:t>别</w:t>
            </w:r>
          </w:p>
        </w:tc>
        <w:tc>
          <w:tcPr>
            <w:tcW w:w="1524" w:type="dxa"/>
            <w:vAlign w:val="center"/>
          </w:tcPr>
          <w:p>
            <w:pPr>
              <w:jc w:val="center"/>
              <w:rPr>
                <w:szCs w:val="21"/>
              </w:rPr>
            </w:pPr>
          </w:p>
        </w:tc>
        <w:tc>
          <w:tcPr>
            <w:tcW w:w="1319" w:type="dxa"/>
            <w:vAlign w:val="center"/>
          </w:tcPr>
          <w:p>
            <w:pPr>
              <w:jc w:val="center"/>
              <w:rPr>
                <w:szCs w:val="21"/>
              </w:rPr>
            </w:pPr>
            <w:r>
              <w:rPr>
                <w:rFonts w:hint="eastAsia"/>
                <w:szCs w:val="21"/>
              </w:rPr>
              <w:t>年</w:t>
            </w:r>
            <w:r>
              <w:rPr>
                <w:szCs w:val="21"/>
              </w:rPr>
              <w:t xml:space="preserve"> </w:t>
            </w:r>
            <w:r>
              <w:rPr>
                <w:rFonts w:hint="eastAsia"/>
                <w:szCs w:val="21"/>
              </w:rPr>
              <w:t>龄</w:t>
            </w:r>
          </w:p>
        </w:tc>
        <w:tc>
          <w:tcPr>
            <w:tcW w:w="1422"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21" w:type="dxa"/>
            <w:vAlign w:val="center"/>
          </w:tcPr>
          <w:p>
            <w:pPr>
              <w:jc w:val="center"/>
              <w:rPr>
                <w:szCs w:val="21"/>
              </w:rPr>
            </w:pPr>
            <w:r>
              <w:rPr>
                <w:rFonts w:hint="eastAsia"/>
                <w:szCs w:val="21"/>
              </w:rPr>
              <w:t>职</w:t>
            </w:r>
            <w:r>
              <w:rPr>
                <w:szCs w:val="21"/>
              </w:rPr>
              <w:t xml:space="preserve"> </w:t>
            </w:r>
            <w:r>
              <w:rPr>
                <w:rFonts w:hint="eastAsia"/>
                <w:szCs w:val="21"/>
              </w:rPr>
              <w:t>务</w:t>
            </w:r>
          </w:p>
        </w:tc>
        <w:tc>
          <w:tcPr>
            <w:tcW w:w="1421" w:type="dxa"/>
            <w:vAlign w:val="center"/>
          </w:tcPr>
          <w:p>
            <w:pPr>
              <w:jc w:val="center"/>
              <w:rPr>
                <w:szCs w:val="21"/>
              </w:rPr>
            </w:pPr>
          </w:p>
        </w:tc>
        <w:tc>
          <w:tcPr>
            <w:tcW w:w="1421" w:type="dxa"/>
            <w:vAlign w:val="center"/>
          </w:tcPr>
          <w:p>
            <w:pPr>
              <w:jc w:val="center"/>
              <w:rPr>
                <w:szCs w:val="21"/>
              </w:rPr>
            </w:pPr>
            <w:r>
              <w:rPr>
                <w:rFonts w:hint="eastAsia"/>
                <w:szCs w:val="21"/>
              </w:rPr>
              <w:t>职</w:t>
            </w:r>
            <w:r>
              <w:rPr>
                <w:szCs w:val="21"/>
              </w:rPr>
              <w:t xml:space="preserve"> </w:t>
            </w:r>
            <w:r>
              <w:rPr>
                <w:rFonts w:hint="eastAsia"/>
                <w:szCs w:val="21"/>
              </w:rPr>
              <w:t>称</w:t>
            </w:r>
          </w:p>
        </w:tc>
        <w:tc>
          <w:tcPr>
            <w:tcW w:w="1524" w:type="dxa"/>
            <w:vAlign w:val="center"/>
          </w:tcPr>
          <w:p>
            <w:pPr>
              <w:jc w:val="center"/>
              <w:rPr>
                <w:szCs w:val="21"/>
              </w:rPr>
            </w:pPr>
          </w:p>
        </w:tc>
        <w:tc>
          <w:tcPr>
            <w:tcW w:w="1319" w:type="dxa"/>
            <w:vAlign w:val="center"/>
          </w:tcPr>
          <w:p>
            <w:pPr>
              <w:jc w:val="center"/>
              <w:rPr>
                <w:szCs w:val="21"/>
              </w:rPr>
            </w:pPr>
            <w:r>
              <w:rPr>
                <w:rFonts w:hint="eastAsia"/>
                <w:szCs w:val="21"/>
              </w:rPr>
              <w:t>学</w:t>
            </w:r>
            <w:r>
              <w:rPr>
                <w:szCs w:val="21"/>
              </w:rPr>
              <w:t xml:space="preserve"> </w:t>
            </w:r>
            <w:r>
              <w:rPr>
                <w:rFonts w:hint="eastAsia"/>
                <w:szCs w:val="21"/>
              </w:rPr>
              <w:t>历</w:t>
            </w:r>
          </w:p>
        </w:tc>
        <w:tc>
          <w:tcPr>
            <w:tcW w:w="1422"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21" w:type="dxa"/>
            <w:vAlign w:val="center"/>
          </w:tcPr>
          <w:p>
            <w:pPr>
              <w:jc w:val="center"/>
              <w:rPr>
                <w:szCs w:val="21"/>
              </w:rPr>
            </w:pPr>
            <w:r>
              <w:rPr>
                <w:rFonts w:hint="eastAsia"/>
                <w:szCs w:val="21"/>
              </w:rPr>
              <w:t>资格证书编号</w:t>
            </w:r>
          </w:p>
        </w:tc>
        <w:tc>
          <w:tcPr>
            <w:tcW w:w="2842" w:type="dxa"/>
            <w:gridSpan w:val="2"/>
            <w:vAlign w:val="center"/>
          </w:tcPr>
          <w:p>
            <w:pPr>
              <w:jc w:val="center"/>
              <w:rPr>
                <w:szCs w:val="21"/>
              </w:rPr>
            </w:pPr>
          </w:p>
        </w:tc>
        <w:tc>
          <w:tcPr>
            <w:tcW w:w="1524" w:type="dxa"/>
            <w:vAlign w:val="center"/>
          </w:tcPr>
          <w:p>
            <w:pPr>
              <w:jc w:val="center"/>
              <w:rPr>
                <w:szCs w:val="21"/>
              </w:rPr>
            </w:pPr>
            <w:r>
              <w:rPr>
                <w:rFonts w:hint="eastAsia"/>
                <w:szCs w:val="21"/>
              </w:rPr>
              <w:t>担任项目经理年限</w:t>
            </w:r>
          </w:p>
        </w:tc>
        <w:tc>
          <w:tcPr>
            <w:tcW w:w="2741"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528" w:type="dxa"/>
            <w:gridSpan w:val="6"/>
            <w:vAlign w:val="center"/>
          </w:tcPr>
          <w:p>
            <w:pPr>
              <w:jc w:val="center"/>
              <w:rPr>
                <w:szCs w:val="21"/>
              </w:rPr>
            </w:pPr>
            <w:r>
              <w:rPr>
                <w:rFonts w:hint="eastAsia"/>
                <w:szCs w:val="21"/>
              </w:rPr>
              <w:t>同类工程业绩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21" w:type="dxa"/>
            <w:vAlign w:val="center"/>
          </w:tcPr>
          <w:p>
            <w:pPr>
              <w:jc w:val="center"/>
              <w:rPr>
                <w:szCs w:val="21"/>
              </w:rPr>
            </w:pPr>
            <w:r>
              <w:rPr>
                <w:rFonts w:hint="eastAsia"/>
                <w:szCs w:val="21"/>
              </w:rPr>
              <w:t>建设单位</w:t>
            </w:r>
          </w:p>
        </w:tc>
        <w:tc>
          <w:tcPr>
            <w:tcW w:w="1421" w:type="dxa"/>
            <w:vAlign w:val="center"/>
          </w:tcPr>
          <w:p>
            <w:pPr>
              <w:jc w:val="center"/>
              <w:rPr>
                <w:szCs w:val="21"/>
              </w:rPr>
            </w:pPr>
            <w:r>
              <w:rPr>
                <w:rFonts w:hint="eastAsia"/>
                <w:szCs w:val="21"/>
              </w:rPr>
              <w:t>工程名称</w:t>
            </w:r>
          </w:p>
        </w:tc>
        <w:tc>
          <w:tcPr>
            <w:tcW w:w="1421" w:type="dxa"/>
            <w:vAlign w:val="center"/>
          </w:tcPr>
          <w:p>
            <w:pPr>
              <w:jc w:val="center"/>
              <w:rPr>
                <w:szCs w:val="21"/>
              </w:rPr>
            </w:pPr>
            <w:r>
              <w:rPr>
                <w:rFonts w:hint="eastAsia"/>
                <w:szCs w:val="21"/>
              </w:rPr>
              <w:t>建设规模</w:t>
            </w:r>
          </w:p>
        </w:tc>
        <w:tc>
          <w:tcPr>
            <w:tcW w:w="1524" w:type="dxa"/>
            <w:vAlign w:val="center"/>
          </w:tcPr>
          <w:p>
            <w:pPr>
              <w:jc w:val="center"/>
              <w:rPr>
                <w:szCs w:val="21"/>
              </w:rPr>
            </w:pPr>
            <w:r>
              <w:rPr>
                <w:rFonts w:hint="eastAsia"/>
                <w:szCs w:val="21"/>
              </w:rPr>
              <w:t>开竣工日期</w:t>
            </w:r>
          </w:p>
        </w:tc>
        <w:tc>
          <w:tcPr>
            <w:tcW w:w="1319" w:type="dxa"/>
            <w:vAlign w:val="center"/>
          </w:tcPr>
          <w:p>
            <w:pPr>
              <w:jc w:val="center"/>
              <w:rPr>
                <w:szCs w:val="21"/>
              </w:rPr>
            </w:pPr>
            <w:r>
              <w:rPr>
                <w:rFonts w:hint="eastAsia"/>
                <w:szCs w:val="21"/>
              </w:rPr>
              <w:t>该项目中任职</w:t>
            </w:r>
          </w:p>
        </w:tc>
        <w:tc>
          <w:tcPr>
            <w:tcW w:w="1422" w:type="dxa"/>
            <w:vAlign w:val="center"/>
          </w:tcPr>
          <w:p>
            <w:pPr>
              <w:jc w:val="center"/>
              <w:rPr>
                <w:szCs w:val="21"/>
              </w:rPr>
            </w:pPr>
            <w:r>
              <w:rPr>
                <w:rFonts w:hint="eastAsia"/>
                <w:szCs w:val="21"/>
              </w:rPr>
              <w:t>荣誉奖项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21" w:type="dxa"/>
          </w:tcPr>
          <w:p>
            <w:pPr>
              <w:rPr>
                <w:sz w:val="28"/>
                <w:szCs w:val="28"/>
              </w:rPr>
            </w:pPr>
          </w:p>
        </w:tc>
        <w:tc>
          <w:tcPr>
            <w:tcW w:w="1421" w:type="dxa"/>
          </w:tcPr>
          <w:p>
            <w:pPr>
              <w:rPr>
                <w:sz w:val="28"/>
                <w:szCs w:val="28"/>
              </w:rPr>
            </w:pPr>
          </w:p>
        </w:tc>
        <w:tc>
          <w:tcPr>
            <w:tcW w:w="1421" w:type="dxa"/>
          </w:tcPr>
          <w:p>
            <w:pPr>
              <w:rPr>
                <w:sz w:val="28"/>
                <w:szCs w:val="28"/>
              </w:rPr>
            </w:pPr>
          </w:p>
        </w:tc>
        <w:tc>
          <w:tcPr>
            <w:tcW w:w="1524" w:type="dxa"/>
          </w:tcPr>
          <w:p>
            <w:pPr>
              <w:rPr>
                <w:sz w:val="28"/>
                <w:szCs w:val="28"/>
              </w:rPr>
            </w:pPr>
          </w:p>
        </w:tc>
        <w:tc>
          <w:tcPr>
            <w:tcW w:w="1319" w:type="dxa"/>
          </w:tcPr>
          <w:p>
            <w:pPr>
              <w:rPr>
                <w:sz w:val="28"/>
                <w:szCs w:val="28"/>
              </w:rPr>
            </w:pPr>
          </w:p>
        </w:tc>
        <w:tc>
          <w:tcPr>
            <w:tcW w:w="1422"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21" w:type="dxa"/>
          </w:tcPr>
          <w:p>
            <w:pPr>
              <w:rPr>
                <w:sz w:val="28"/>
                <w:szCs w:val="28"/>
              </w:rPr>
            </w:pPr>
          </w:p>
        </w:tc>
        <w:tc>
          <w:tcPr>
            <w:tcW w:w="1421" w:type="dxa"/>
          </w:tcPr>
          <w:p>
            <w:pPr>
              <w:rPr>
                <w:sz w:val="28"/>
                <w:szCs w:val="28"/>
              </w:rPr>
            </w:pPr>
          </w:p>
        </w:tc>
        <w:tc>
          <w:tcPr>
            <w:tcW w:w="1421" w:type="dxa"/>
          </w:tcPr>
          <w:p>
            <w:pPr>
              <w:rPr>
                <w:sz w:val="28"/>
                <w:szCs w:val="28"/>
              </w:rPr>
            </w:pPr>
          </w:p>
        </w:tc>
        <w:tc>
          <w:tcPr>
            <w:tcW w:w="1524" w:type="dxa"/>
          </w:tcPr>
          <w:p>
            <w:pPr>
              <w:rPr>
                <w:sz w:val="28"/>
                <w:szCs w:val="28"/>
              </w:rPr>
            </w:pPr>
          </w:p>
        </w:tc>
        <w:tc>
          <w:tcPr>
            <w:tcW w:w="1319" w:type="dxa"/>
          </w:tcPr>
          <w:p>
            <w:pPr>
              <w:rPr>
                <w:sz w:val="28"/>
                <w:szCs w:val="28"/>
              </w:rPr>
            </w:pPr>
          </w:p>
        </w:tc>
        <w:tc>
          <w:tcPr>
            <w:tcW w:w="1422"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21" w:type="dxa"/>
          </w:tcPr>
          <w:p>
            <w:pPr>
              <w:rPr>
                <w:sz w:val="28"/>
                <w:szCs w:val="28"/>
              </w:rPr>
            </w:pPr>
          </w:p>
        </w:tc>
        <w:tc>
          <w:tcPr>
            <w:tcW w:w="1421" w:type="dxa"/>
          </w:tcPr>
          <w:p>
            <w:pPr>
              <w:rPr>
                <w:sz w:val="28"/>
                <w:szCs w:val="28"/>
              </w:rPr>
            </w:pPr>
          </w:p>
        </w:tc>
        <w:tc>
          <w:tcPr>
            <w:tcW w:w="1421" w:type="dxa"/>
          </w:tcPr>
          <w:p>
            <w:pPr>
              <w:rPr>
                <w:sz w:val="28"/>
                <w:szCs w:val="28"/>
              </w:rPr>
            </w:pPr>
          </w:p>
        </w:tc>
        <w:tc>
          <w:tcPr>
            <w:tcW w:w="1524" w:type="dxa"/>
          </w:tcPr>
          <w:p>
            <w:pPr>
              <w:rPr>
                <w:sz w:val="28"/>
                <w:szCs w:val="28"/>
              </w:rPr>
            </w:pPr>
          </w:p>
        </w:tc>
        <w:tc>
          <w:tcPr>
            <w:tcW w:w="1319" w:type="dxa"/>
          </w:tcPr>
          <w:p>
            <w:pPr>
              <w:rPr>
                <w:sz w:val="28"/>
                <w:szCs w:val="28"/>
              </w:rPr>
            </w:pPr>
          </w:p>
        </w:tc>
        <w:tc>
          <w:tcPr>
            <w:tcW w:w="1422"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21" w:type="dxa"/>
          </w:tcPr>
          <w:p>
            <w:pPr>
              <w:rPr>
                <w:sz w:val="28"/>
                <w:szCs w:val="28"/>
              </w:rPr>
            </w:pPr>
          </w:p>
        </w:tc>
        <w:tc>
          <w:tcPr>
            <w:tcW w:w="1421" w:type="dxa"/>
          </w:tcPr>
          <w:p>
            <w:pPr>
              <w:rPr>
                <w:sz w:val="28"/>
                <w:szCs w:val="28"/>
              </w:rPr>
            </w:pPr>
          </w:p>
        </w:tc>
        <w:tc>
          <w:tcPr>
            <w:tcW w:w="1421" w:type="dxa"/>
          </w:tcPr>
          <w:p>
            <w:pPr>
              <w:rPr>
                <w:sz w:val="28"/>
                <w:szCs w:val="28"/>
              </w:rPr>
            </w:pPr>
          </w:p>
        </w:tc>
        <w:tc>
          <w:tcPr>
            <w:tcW w:w="1524" w:type="dxa"/>
          </w:tcPr>
          <w:p>
            <w:pPr>
              <w:rPr>
                <w:sz w:val="28"/>
                <w:szCs w:val="28"/>
              </w:rPr>
            </w:pPr>
          </w:p>
        </w:tc>
        <w:tc>
          <w:tcPr>
            <w:tcW w:w="1319" w:type="dxa"/>
          </w:tcPr>
          <w:p>
            <w:pPr>
              <w:rPr>
                <w:sz w:val="28"/>
                <w:szCs w:val="28"/>
              </w:rPr>
            </w:pPr>
          </w:p>
        </w:tc>
        <w:tc>
          <w:tcPr>
            <w:tcW w:w="1422" w:type="dxa"/>
          </w:tcPr>
          <w:p>
            <w:pPr>
              <w:rPr>
                <w:sz w:val="28"/>
                <w:szCs w:val="28"/>
              </w:rPr>
            </w:pPr>
          </w:p>
        </w:tc>
      </w:tr>
    </w:tbl>
    <w:p>
      <w:pPr>
        <w:ind w:right="420" w:firstLine="7920" w:firstLineChars="3600"/>
        <w:jc w:val="right"/>
        <w:rPr>
          <w:szCs w:val="21"/>
        </w:rPr>
      </w:pPr>
      <w:r>
        <w:rPr>
          <w:szCs w:val="21"/>
        </w:rPr>
        <w:t xml:space="preserve">                   </w:t>
      </w:r>
      <w:r>
        <w:rPr>
          <w:rFonts w:hint="eastAsia"/>
          <w:szCs w:val="21"/>
        </w:rPr>
        <w:t>日</w:t>
      </w:r>
      <w:r>
        <w:rPr>
          <w:szCs w:val="21"/>
        </w:rPr>
        <w:t xml:space="preserve">    </w:t>
      </w:r>
      <w:r>
        <w:rPr>
          <w:rFonts w:hint="eastAsia"/>
          <w:szCs w:val="21"/>
        </w:rPr>
        <w:t>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jc w:val="center"/>
        <w:rPr>
          <w:b/>
          <w:sz w:val="30"/>
          <w:szCs w:val="30"/>
        </w:rPr>
      </w:pPr>
    </w:p>
    <w:p>
      <w:pPr>
        <w:rPr>
          <w:b/>
          <w:sz w:val="30"/>
          <w:szCs w:val="30"/>
        </w:rPr>
      </w:pPr>
      <w:r>
        <w:rPr>
          <w:b/>
          <w:sz w:val="30"/>
          <w:szCs w:val="30"/>
        </w:rPr>
        <w:br w:type="page"/>
      </w:r>
    </w:p>
    <w:p>
      <w:pPr>
        <w:jc w:val="center"/>
        <w:rPr>
          <w:b/>
          <w:sz w:val="30"/>
          <w:szCs w:val="30"/>
        </w:rPr>
      </w:pPr>
      <w:r>
        <w:rPr>
          <w:rFonts w:hint="eastAsia"/>
          <w:b/>
          <w:sz w:val="30"/>
          <w:szCs w:val="30"/>
        </w:rPr>
        <w:t>技术负责人简历表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1"/>
        <w:gridCol w:w="1524"/>
        <w:gridCol w:w="1319"/>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21" w:type="dxa"/>
            <w:vAlign w:val="center"/>
          </w:tcPr>
          <w:p>
            <w:pPr>
              <w:jc w:val="center"/>
              <w:rPr>
                <w:szCs w:val="21"/>
              </w:rPr>
            </w:pPr>
            <w:r>
              <w:rPr>
                <w:rFonts w:hint="eastAsia"/>
                <w:szCs w:val="21"/>
              </w:rPr>
              <w:t>姓</w:t>
            </w:r>
            <w:r>
              <w:rPr>
                <w:szCs w:val="21"/>
              </w:rPr>
              <w:t xml:space="preserve"> </w:t>
            </w:r>
            <w:r>
              <w:rPr>
                <w:rFonts w:hint="eastAsia"/>
                <w:szCs w:val="21"/>
              </w:rPr>
              <w:t>名</w:t>
            </w:r>
          </w:p>
        </w:tc>
        <w:tc>
          <w:tcPr>
            <w:tcW w:w="1421" w:type="dxa"/>
            <w:vAlign w:val="center"/>
          </w:tcPr>
          <w:p>
            <w:pPr>
              <w:jc w:val="center"/>
              <w:rPr>
                <w:szCs w:val="21"/>
              </w:rPr>
            </w:pPr>
          </w:p>
        </w:tc>
        <w:tc>
          <w:tcPr>
            <w:tcW w:w="1421" w:type="dxa"/>
            <w:vAlign w:val="center"/>
          </w:tcPr>
          <w:p>
            <w:pPr>
              <w:jc w:val="center"/>
              <w:rPr>
                <w:szCs w:val="21"/>
              </w:rPr>
            </w:pPr>
            <w:r>
              <w:rPr>
                <w:rFonts w:hint="eastAsia"/>
                <w:szCs w:val="21"/>
              </w:rPr>
              <w:t>性</w:t>
            </w:r>
            <w:r>
              <w:rPr>
                <w:szCs w:val="21"/>
              </w:rPr>
              <w:t xml:space="preserve"> </w:t>
            </w:r>
            <w:r>
              <w:rPr>
                <w:rFonts w:hint="eastAsia"/>
                <w:szCs w:val="21"/>
              </w:rPr>
              <w:t>别</w:t>
            </w:r>
          </w:p>
        </w:tc>
        <w:tc>
          <w:tcPr>
            <w:tcW w:w="1524" w:type="dxa"/>
            <w:vAlign w:val="center"/>
          </w:tcPr>
          <w:p>
            <w:pPr>
              <w:jc w:val="center"/>
              <w:rPr>
                <w:szCs w:val="21"/>
              </w:rPr>
            </w:pPr>
          </w:p>
        </w:tc>
        <w:tc>
          <w:tcPr>
            <w:tcW w:w="1319" w:type="dxa"/>
            <w:vAlign w:val="center"/>
          </w:tcPr>
          <w:p>
            <w:pPr>
              <w:jc w:val="center"/>
              <w:rPr>
                <w:szCs w:val="21"/>
              </w:rPr>
            </w:pPr>
            <w:r>
              <w:rPr>
                <w:rFonts w:hint="eastAsia"/>
                <w:szCs w:val="21"/>
              </w:rPr>
              <w:t>年</w:t>
            </w:r>
            <w:r>
              <w:rPr>
                <w:szCs w:val="21"/>
              </w:rPr>
              <w:t xml:space="preserve"> </w:t>
            </w:r>
            <w:r>
              <w:rPr>
                <w:rFonts w:hint="eastAsia"/>
                <w:szCs w:val="21"/>
              </w:rPr>
              <w:t>龄</w:t>
            </w:r>
          </w:p>
        </w:tc>
        <w:tc>
          <w:tcPr>
            <w:tcW w:w="1422"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21" w:type="dxa"/>
            <w:vAlign w:val="center"/>
          </w:tcPr>
          <w:p>
            <w:pPr>
              <w:jc w:val="center"/>
              <w:rPr>
                <w:szCs w:val="21"/>
              </w:rPr>
            </w:pPr>
            <w:r>
              <w:rPr>
                <w:rFonts w:hint="eastAsia"/>
                <w:szCs w:val="21"/>
              </w:rPr>
              <w:t>职</w:t>
            </w:r>
            <w:r>
              <w:rPr>
                <w:szCs w:val="21"/>
              </w:rPr>
              <w:t xml:space="preserve"> </w:t>
            </w:r>
            <w:r>
              <w:rPr>
                <w:rFonts w:hint="eastAsia"/>
                <w:szCs w:val="21"/>
              </w:rPr>
              <w:t>务</w:t>
            </w:r>
          </w:p>
        </w:tc>
        <w:tc>
          <w:tcPr>
            <w:tcW w:w="1421" w:type="dxa"/>
            <w:vAlign w:val="center"/>
          </w:tcPr>
          <w:p>
            <w:pPr>
              <w:jc w:val="center"/>
              <w:rPr>
                <w:szCs w:val="21"/>
              </w:rPr>
            </w:pPr>
          </w:p>
        </w:tc>
        <w:tc>
          <w:tcPr>
            <w:tcW w:w="1421" w:type="dxa"/>
            <w:vAlign w:val="center"/>
          </w:tcPr>
          <w:p>
            <w:pPr>
              <w:jc w:val="center"/>
              <w:rPr>
                <w:szCs w:val="21"/>
              </w:rPr>
            </w:pPr>
            <w:r>
              <w:rPr>
                <w:rFonts w:hint="eastAsia"/>
                <w:szCs w:val="21"/>
              </w:rPr>
              <w:t>职</w:t>
            </w:r>
            <w:r>
              <w:rPr>
                <w:szCs w:val="21"/>
              </w:rPr>
              <w:t xml:space="preserve"> </w:t>
            </w:r>
            <w:r>
              <w:rPr>
                <w:rFonts w:hint="eastAsia"/>
                <w:szCs w:val="21"/>
              </w:rPr>
              <w:t>称</w:t>
            </w:r>
          </w:p>
        </w:tc>
        <w:tc>
          <w:tcPr>
            <w:tcW w:w="1524" w:type="dxa"/>
            <w:vAlign w:val="center"/>
          </w:tcPr>
          <w:p>
            <w:pPr>
              <w:jc w:val="center"/>
              <w:rPr>
                <w:szCs w:val="21"/>
              </w:rPr>
            </w:pPr>
          </w:p>
        </w:tc>
        <w:tc>
          <w:tcPr>
            <w:tcW w:w="1319" w:type="dxa"/>
            <w:vAlign w:val="center"/>
          </w:tcPr>
          <w:p>
            <w:pPr>
              <w:jc w:val="center"/>
              <w:rPr>
                <w:szCs w:val="21"/>
              </w:rPr>
            </w:pPr>
            <w:r>
              <w:rPr>
                <w:rFonts w:hint="eastAsia"/>
                <w:szCs w:val="21"/>
              </w:rPr>
              <w:t>学</w:t>
            </w:r>
            <w:r>
              <w:rPr>
                <w:szCs w:val="21"/>
              </w:rPr>
              <w:t xml:space="preserve"> </w:t>
            </w:r>
            <w:r>
              <w:rPr>
                <w:rFonts w:hint="eastAsia"/>
                <w:szCs w:val="21"/>
              </w:rPr>
              <w:t>历</w:t>
            </w:r>
          </w:p>
        </w:tc>
        <w:tc>
          <w:tcPr>
            <w:tcW w:w="1422"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528" w:type="dxa"/>
            <w:gridSpan w:val="6"/>
            <w:vAlign w:val="center"/>
          </w:tcPr>
          <w:p>
            <w:pPr>
              <w:jc w:val="center"/>
              <w:rPr>
                <w:szCs w:val="21"/>
              </w:rPr>
            </w:pPr>
            <w:r>
              <w:rPr>
                <w:rFonts w:hint="eastAsia"/>
                <w:szCs w:val="21"/>
              </w:rPr>
              <w:t>同类工程业绩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21" w:type="dxa"/>
            <w:vAlign w:val="center"/>
          </w:tcPr>
          <w:p>
            <w:pPr>
              <w:jc w:val="center"/>
              <w:rPr>
                <w:szCs w:val="21"/>
              </w:rPr>
            </w:pPr>
            <w:r>
              <w:rPr>
                <w:rFonts w:hint="eastAsia"/>
                <w:szCs w:val="21"/>
              </w:rPr>
              <w:t>建设单位</w:t>
            </w:r>
          </w:p>
        </w:tc>
        <w:tc>
          <w:tcPr>
            <w:tcW w:w="1421" w:type="dxa"/>
            <w:vAlign w:val="center"/>
          </w:tcPr>
          <w:p>
            <w:pPr>
              <w:jc w:val="center"/>
              <w:rPr>
                <w:szCs w:val="21"/>
              </w:rPr>
            </w:pPr>
            <w:r>
              <w:rPr>
                <w:rFonts w:hint="eastAsia"/>
                <w:szCs w:val="21"/>
              </w:rPr>
              <w:t>工程名称</w:t>
            </w:r>
          </w:p>
        </w:tc>
        <w:tc>
          <w:tcPr>
            <w:tcW w:w="1421" w:type="dxa"/>
            <w:vAlign w:val="center"/>
          </w:tcPr>
          <w:p>
            <w:pPr>
              <w:jc w:val="center"/>
              <w:rPr>
                <w:szCs w:val="21"/>
              </w:rPr>
            </w:pPr>
            <w:r>
              <w:rPr>
                <w:rFonts w:hint="eastAsia"/>
                <w:szCs w:val="21"/>
              </w:rPr>
              <w:t>建设规模</w:t>
            </w:r>
          </w:p>
        </w:tc>
        <w:tc>
          <w:tcPr>
            <w:tcW w:w="1524" w:type="dxa"/>
            <w:vAlign w:val="center"/>
          </w:tcPr>
          <w:p>
            <w:pPr>
              <w:jc w:val="center"/>
              <w:rPr>
                <w:szCs w:val="21"/>
              </w:rPr>
            </w:pPr>
            <w:r>
              <w:rPr>
                <w:rFonts w:hint="eastAsia"/>
                <w:szCs w:val="21"/>
              </w:rPr>
              <w:t>开竣工日期</w:t>
            </w:r>
          </w:p>
        </w:tc>
        <w:tc>
          <w:tcPr>
            <w:tcW w:w="1319" w:type="dxa"/>
            <w:vAlign w:val="center"/>
          </w:tcPr>
          <w:p>
            <w:pPr>
              <w:jc w:val="center"/>
              <w:rPr>
                <w:szCs w:val="21"/>
              </w:rPr>
            </w:pPr>
            <w:r>
              <w:rPr>
                <w:rFonts w:hint="eastAsia"/>
                <w:szCs w:val="21"/>
              </w:rPr>
              <w:t>该项目中任职</w:t>
            </w:r>
          </w:p>
        </w:tc>
        <w:tc>
          <w:tcPr>
            <w:tcW w:w="1422" w:type="dxa"/>
            <w:vAlign w:val="center"/>
          </w:tcPr>
          <w:p>
            <w:pPr>
              <w:jc w:val="center"/>
              <w:rPr>
                <w:szCs w:val="21"/>
              </w:rPr>
            </w:pPr>
            <w:r>
              <w:rPr>
                <w:rFonts w:hint="eastAsia"/>
                <w:szCs w:val="21"/>
              </w:rPr>
              <w:t>荣誉奖项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21" w:type="dxa"/>
          </w:tcPr>
          <w:p>
            <w:pPr>
              <w:rPr>
                <w:sz w:val="28"/>
                <w:szCs w:val="28"/>
              </w:rPr>
            </w:pPr>
          </w:p>
        </w:tc>
        <w:tc>
          <w:tcPr>
            <w:tcW w:w="1421" w:type="dxa"/>
          </w:tcPr>
          <w:p>
            <w:pPr>
              <w:rPr>
                <w:sz w:val="28"/>
                <w:szCs w:val="28"/>
              </w:rPr>
            </w:pPr>
          </w:p>
        </w:tc>
        <w:tc>
          <w:tcPr>
            <w:tcW w:w="1421" w:type="dxa"/>
          </w:tcPr>
          <w:p>
            <w:pPr>
              <w:rPr>
                <w:sz w:val="28"/>
                <w:szCs w:val="28"/>
              </w:rPr>
            </w:pPr>
          </w:p>
        </w:tc>
        <w:tc>
          <w:tcPr>
            <w:tcW w:w="1524" w:type="dxa"/>
          </w:tcPr>
          <w:p>
            <w:pPr>
              <w:rPr>
                <w:sz w:val="28"/>
                <w:szCs w:val="28"/>
              </w:rPr>
            </w:pPr>
          </w:p>
        </w:tc>
        <w:tc>
          <w:tcPr>
            <w:tcW w:w="1319" w:type="dxa"/>
          </w:tcPr>
          <w:p>
            <w:pPr>
              <w:rPr>
                <w:sz w:val="28"/>
                <w:szCs w:val="28"/>
              </w:rPr>
            </w:pPr>
          </w:p>
        </w:tc>
        <w:tc>
          <w:tcPr>
            <w:tcW w:w="1422"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21" w:type="dxa"/>
          </w:tcPr>
          <w:p>
            <w:pPr>
              <w:rPr>
                <w:sz w:val="28"/>
                <w:szCs w:val="28"/>
              </w:rPr>
            </w:pPr>
          </w:p>
        </w:tc>
        <w:tc>
          <w:tcPr>
            <w:tcW w:w="1421" w:type="dxa"/>
          </w:tcPr>
          <w:p>
            <w:pPr>
              <w:rPr>
                <w:sz w:val="28"/>
                <w:szCs w:val="28"/>
              </w:rPr>
            </w:pPr>
          </w:p>
        </w:tc>
        <w:tc>
          <w:tcPr>
            <w:tcW w:w="1421" w:type="dxa"/>
          </w:tcPr>
          <w:p>
            <w:pPr>
              <w:rPr>
                <w:sz w:val="28"/>
                <w:szCs w:val="28"/>
              </w:rPr>
            </w:pPr>
          </w:p>
        </w:tc>
        <w:tc>
          <w:tcPr>
            <w:tcW w:w="1524" w:type="dxa"/>
          </w:tcPr>
          <w:p>
            <w:pPr>
              <w:rPr>
                <w:sz w:val="28"/>
                <w:szCs w:val="28"/>
              </w:rPr>
            </w:pPr>
          </w:p>
        </w:tc>
        <w:tc>
          <w:tcPr>
            <w:tcW w:w="1319" w:type="dxa"/>
          </w:tcPr>
          <w:p>
            <w:pPr>
              <w:rPr>
                <w:sz w:val="28"/>
                <w:szCs w:val="28"/>
              </w:rPr>
            </w:pPr>
          </w:p>
        </w:tc>
        <w:tc>
          <w:tcPr>
            <w:tcW w:w="1422"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21" w:type="dxa"/>
          </w:tcPr>
          <w:p>
            <w:pPr>
              <w:rPr>
                <w:sz w:val="28"/>
                <w:szCs w:val="28"/>
              </w:rPr>
            </w:pPr>
          </w:p>
        </w:tc>
        <w:tc>
          <w:tcPr>
            <w:tcW w:w="1421" w:type="dxa"/>
          </w:tcPr>
          <w:p>
            <w:pPr>
              <w:rPr>
                <w:sz w:val="28"/>
                <w:szCs w:val="28"/>
              </w:rPr>
            </w:pPr>
          </w:p>
        </w:tc>
        <w:tc>
          <w:tcPr>
            <w:tcW w:w="1421" w:type="dxa"/>
          </w:tcPr>
          <w:p>
            <w:pPr>
              <w:rPr>
                <w:sz w:val="28"/>
                <w:szCs w:val="28"/>
              </w:rPr>
            </w:pPr>
          </w:p>
        </w:tc>
        <w:tc>
          <w:tcPr>
            <w:tcW w:w="1524" w:type="dxa"/>
          </w:tcPr>
          <w:p>
            <w:pPr>
              <w:rPr>
                <w:sz w:val="28"/>
                <w:szCs w:val="28"/>
              </w:rPr>
            </w:pPr>
          </w:p>
        </w:tc>
        <w:tc>
          <w:tcPr>
            <w:tcW w:w="1319" w:type="dxa"/>
          </w:tcPr>
          <w:p>
            <w:pPr>
              <w:rPr>
                <w:sz w:val="28"/>
                <w:szCs w:val="28"/>
              </w:rPr>
            </w:pPr>
          </w:p>
        </w:tc>
        <w:tc>
          <w:tcPr>
            <w:tcW w:w="1422"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21" w:type="dxa"/>
          </w:tcPr>
          <w:p>
            <w:pPr>
              <w:rPr>
                <w:sz w:val="28"/>
                <w:szCs w:val="28"/>
              </w:rPr>
            </w:pPr>
          </w:p>
        </w:tc>
        <w:tc>
          <w:tcPr>
            <w:tcW w:w="1421" w:type="dxa"/>
          </w:tcPr>
          <w:p>
            <w:pPr>
              <w:rPr>
                <w:sz w:val="28"/>
                <w:szCs w:val="28"/>
              </w:rPr>
            </w:pPr>
          </w:p>
        </w:tc>
        <w:tc>
          <w:tcPr>
            <w:tcW w:w="1421" w:type="dxa"/>
          </w:tcPr>
          <w:p>
            <w:pPr>
              <w:rPr>
                <w:sz w:val="28"/>
                <w:szCs w:val="28"/>
              </w:rPr>
            </w:pPr>
          </w:p>
        </w:tc>
        <w:tc>
          <w:tcPr>
            <w:tcW w:w="1524" w:type="dxa"/>
          </w:tcPr>
          <w:p>
            <w:pPr>
              <w:rPr>
                <w:sz w:val="28"/>
                <w:szCs w:val="28"/>
              </w:rPr>
            </w:pPr>
          </w:p>
        </w:tc>
        <w:tc>
          <w:tcPr>
            <w:tcW w:w="1319" w:type="dxa"/>
          </w:tcPr>
          <w:p>
            <w:pPr>
              <w:rPr>
                <w:sz w:val="28"/>
                <w:szCs w:val="28"/>
              </w:rPr>
            </w:pPr>
          </w:p>
        </w:tc>
        <w:tc>
          <w:tcPr>
            <w:tcW w:w="1422" w:type="dxa"/>
          </w:tcPr>
          <w:p>
            <w:pPr>
              <w:rPr>
                <w:sz w:val="28"/>
                <w:szCs w:val="28"/>
              </w:rPr>
            </w:pPr>
          </w:p>
        </w:tc>
      </w:tr>
    </w:tbl>
    <w:p>
      <w:pPr>
        <w:ind w:right="420" w:firstLine="7920" w:firstLineChars="3600"/>
        <w:jc w:val="right"/>
        <w:rPr>
          <w:szCs w:val="21"/>
        </w:rPr>
      </w:pPr>
      <w:r>
        <w:rPr>
          <w:szCs w:val="21"/>
        </w:rPr>
        <w:t xml:space="preserve">                              </w:t>
      </w:r>
      <w:r>
        <w:rPr>
          <w:rFonts w:hint="eastAsia"/>
          <w:szCs w:val="21"/>
        </w:rPr>
        <w:t>日</w:t>
      </w:r>
      <w:r>
        <w:rPr>
          <w:szCs w:val="21"/>
        </w:rPr>
        <w:t xml:space="preserve">    </w:t>
      </w:r>
      <w:r>
        <w:rPr>
          <w:rFonts w:hint="eastAsia"/>
          <w:szCs w:val="21"/>
        </w:rPr>
        <w:t>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rPr>
          <w:szCs w:val="21"/>
        </w:rPr>
      </w:pPr>
    </w:p>
    <w:p>
      <w:pPr>
        <w:jc w:val="center"/>
        <w:rPr>
          <w:b/>
          <w:sz w:val="24"/>
        </w:rPr>
      </w:pPr>
    </w:p>
    <w:p>
      <w:pPr>
        <w:rPr>
          <w:b/>
          <w:sz w:val="24"/>
        </w:rPr>
      </w:pPr>
      <w:r>
        <w:rPr>
          <w:b/>
          <w:sz w:val="24"/>
        </w:rPr>
        <w:br w:type="page"/>
      </w:r>
    </w:p>
    <w:p>
      <w:pPr>
        <w:jc w:val="center"/>
        <w:rPr>
          <w:b/>
          <w:sz w:val="24"/>
        </w:rPr>
      </w:pPr>
      <w:r>
        <w:rPr>
          <w:rFonts w:hint="eastAsia"/>
          <w:b/>
          <w:sz w:val="24"/>
        </w:rPr>
        <w:t>拟投入施工机械设备表</w:t>
      </w:r>
    </w:p>
    <w:p>
      <w:pPr>
        <w:jc w:val="center"/>
        <w:rPr>
          <w:color w:val="000000"/>
          <w:lang w:val="en-GB"/>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2056"/>
        <w:gridCol w:w="715"/>
        <w:gridCol w:w="635"/>
        <w:gridCol w:w="715"/>
        <w:gridCol w:w="793"/>
        <w:gridCol w:w="889"/>
        <w:gridCol w:w="793"/>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505" w:type="dxa"/>
            <w:vAlign w:val="center"/>
          </w:tcPr>
          <w:p>
            <w:pPr>
              <w:jc w:val="center"/>
              <w:rPr>
                <w:color w:val="000000"/>
                <w:sz w:val="24"/>
              </w:rPr>
            </w:pPr>
            <w:r>
              <w:rPr>
                <w:rFonts w:hint="eastAsia"/>
                <w:color w:val="000000"/>
                <w:sz w:val="24"/>
              </w:rPr>
              <w:t>序号</w:t>
            </w:r>
          </w:p>
        </w:tc>
        <w:tc>
          <w:tcPr>
            <w:tcW w:w="2056" w:type="dxa"/>
            <w:vAlign w:val="center"/>
          </w:tcPr>
          <w:p>
            <w:pPr>
              <w:jc w:val="center"/>
              <w:rPr>
                <w:color w:val="000000"/>
                <w:sz w:val="24"/>
              </w:rPr>
            </w:pPr>
            <w:r>
              <w:rPr>
                <w:rFonts w:hint="eastAsia"/>
                <w:color w:val="000000"/>
                <w:sz w:val="24"/>
              </w:rPr>
              <w:t>机械或设备名称</w:t>
            </w:r>
          </w:p>
        </w:tc>
        <w:tc>
          <w:tcPr>
            <w:tcW w:w="715" w:type="dxa"/>
            <w:vAlign w:val="center"/>
          </w:tcPr>
          <w:p>
            <w:pPr>
              <w:jc w:val="center"/>
              <w:rPr>
                <w:color w:val="000000"/>
                <w:sz w:val="24"/>
              </w:rPr>
            </w:pPr>
            <w:r>
              <w:rPr>
                <w:rFonts w:hint="eastAsia"/>
                <w:color w:val="000000"/>
                <w:sz w:val="24"/>
              </w:rPr>
              <w:t>型号规格</w:t>
            </w:r>
          </w:p>
        </w:tc>
        <w:tc>
          <w:tcPr>
            <w:tcW w:w="635" w:type="dxa"/>
            <w:vAlign w:val="center"/>
          </w:tcPr>
          <w:p>
            <w:pPr>
              <w:jc w:val="center"/>
              <w:rPr>
                <w:color w:val="000000"/>
                <w:sz w:val="24"/>
              </w:rPr>
            </w:pPr>
            <w:r>
              <w:rPr>
                <w:rFonts w:hint="eastAsia"/>
                <w:color w:val="000000"/>
                <w:sz w:val="24"/>
              </w:rPr>
              <w:t>数量</w:t>
            </w:r>
          </w:p>
        </w:tc>
        <w:tc>
          <w:tcPr>
            <w:tcW w:w="715" w:type="dxa"/>
            <w:vAlign w:val="center"/>
          </w:tcPr>
          <w:p>
            <w:pPr>
              <w:jc w:val="center"/>
              <w:rPr>
                <w:color w:val="000000"/>
                <w:sz w:val="24"/>
              </w:rPr>
            </w:pPr>
            <w:r>
              <w:rPr>
                <w:rFonts w:hint="eastAsia"/>
                <w:color w:val="000000"/>
                <w:sz w:val="24"/>
              </w:rPr>
              <w:t>国别产地</w:t>
            </w:r>
          </w:p>
        </w:tc>
        <w:tc>
          <w:tcPr>
            <w:tcW w:w="793" w:type="dxa"/>
            <w:vAlign w:val="center"/>
          </w:tcPr>
          <w:p>
            <w:pPr>
              <w:jc w:val="center"/>
              <w:rPr>
                <w:color w:val="000000"/>
                <w:sz w:val="24"/>
              </w:rPr>
            </w:pPr>
            <w:r>
              <w:rPr>
                <w:rFonts w:hint="eastAsia"/>
                <w:color w:val="000000"/>
                <w:sz w:val="24"/>
              </w:rPr>
              <w:t>出厂日期</w:t>
            </w:r>
          </w:p>
        </w:tc>
        <w:tc>
          <w:tcPr>
            <w:tcW w:w="889" w:type="dxa"/>
            <w:vAlign w:val="center"/>
          </w:tcPr>
          <w:p>
            <w:pPr>
              <w:jc w:val="center"/>
              <w:rPr>
                <w:color w:val="000000"/>
                <w:sz w:val="24"/>
              </w:rPr>
            </w:pPr>
            <w:r>
              <w:rPr>
                <w:rFonts w:hint="eastAsia"/>
                <w:color w:val="000000"/>
                <w:sz w:val="24"/>
              </w:rPr>
              <w:t>额定功率</w:t>
            </w:r>
            <w:r>
              <w:rPr>
                <w:color w:val="000000"/>
                <w:sz w:val="24"/>
              </w:rPr>
              <w:t>kw</w:t>
            </w:r>
          </w:p>
        </w:tc>
        <w:tc>
          <w:tcPr>
            <w:tcW w:w="793" w:type="dxa"/>
            <w:vAlign w:val="center"/>
          </w:tcPr>
          <w:p>
            <w:pPr>
              <w:jc w:val="center"/>
              <w:rPr>
                <w:color w:val="000000"/>
                <w:sz w:val="24"/>
              </w:rPr>
            </w:pPr>
            <w:r>
              <w:rPr>
                <w:rFonts w:hint="eastAsia"/>
                <w:color w:val="000000"/>
                <w:sz w:val="24"/>
              </w:rPr>
              <w:t>状况</w:t>
            </w:r>
          </w:p>
        </w:tc>
        <w:tc>
          <w:tcPr>
            <w:tcW w:w="1139" w:type="dxa"/>
            <w:vAlign w:val="center"/>
          </w:tcPr>
          <w:p>
            <w:pPr>
              <w:jc w:val="center"/>
              <w:rPr>
                <w:color w:val="000000"/>
                <w:sz w:val="24"/>
              </w:rPr>
            </w:pPr>
            <w:r>
              <w:rPr>
                <w:rFonts w:hint="eastAsia"/>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05" w:type="dxa"/>
          </w:tcPr>
          <w:p>
            <w:pPr>
              <w:rPr>
                <w:b/>
                <w:bCs/>
                <w:color w:val="000000"/>
                <w:sz w:val="28"/>
              </w:rPr>
            </w:pPr>
          </w:p>
        </w:tc>
        <w:tc>
          <w:tcPr>
            <w:tcW w:w="2056" w:type="dxa"/>
          </w:tcPr>
          <w:p>
            <w:pPr>
              <w:rPr>
                <w:b/>
                <w:bCs/>
                <w:color w:val="000000"/>
                <w:sz w:val="28"/>
              </w:rPr>
            </w:pPr>
          </w:p>
        </w:tc>
        <w:tc>
          <w:tcPr>
            <w:tcW w:w="715" w:type="dxa"/>
          </w:tcPr>
          <w:p>
            <w:pPr>
              <w:rPr>
                <w:b/>
                <w:bCs/>
                <w:color w:val="000000"/>
                <w:sz w:val="28"/>
              </w:rPr>
            </w:pPr>
          </w:p>
        </w:tc>
        <w:tc>
          <w:tcPr>
            <w:tcW w:w="635" w:type="dxa"/>
          </w:tcPr>
          <w:p>
            <w:pPr>
              <w:rPr>
                <w:b/>
                <w:bCs/>
                <w:color w:val="000000"/>
                <w:sz w:val="28"/>
              </w:rPr>
            </w:pPr>
          </w:p>
        </w:tc>
        <w:tc>
          <w:tcPr>
            <w:tcW w:w="715" w:type="dxa"/>
          </w:tcPr>
          <w:p>
            <w:pPr>
              <w:rPr>
                <w:b/>
                <w:bCs/>
                <w:color w:val="000000"/>
                <w:sz w:val="28"/>
              </w:rPr>
            </w:pPr>
          </w:p>
        </w:tc>
        <w:tc>
          <w:tcPr>
            <w:tcW w:w="793" w:type="dxa"/>
          </w:tcPr>
          <w:p>
            <w:pPr>
              <w:rPr>
                <w:b/>
                <w:bCs/>
                <w:color w:val="000000"/>
                <w:sz w:val="28"/>
              </w:rPr>
            </w:pPr>
          </w:p>
        </w:tc>
        <w:tc>
          <w:tcPr>
            <w:tcW w:w="889" w:type="dxa"/>
          </w:tcPr>
          <w:p>
            <w:pPr>
              <w:rPr>
                <w:b/>
                <w:bCs/>
                <w:color w:val="000000"/>
                <w:sz w:val="28"/>
              </w:rPr>
            </w:pPr>
          </w:p>
        </w:tc>
        <w:tc>
          <w:tcPr>
            <w:tcW w:w="793" w:type="dxa"/>
          </w:tcPr>
          <w:p>
            <w:pPr>
              <w:rPr>
                <w:b/>
                <w:bCs/>
                <w:color w:val="000000"/>
                <w:sz w:val="28"/>
              </w:rPr>
            </w:pPr>
          </w:p>
        </w:tc>
        <w:tc>
          <w:tcPr>
            <w:tcW w:w="1139" w:type="dxa"/>
          </w:tcPr>
          <w:p>
            <w:pPr>
              <w:rPr>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05" w:type="dxa"/>
          </w:tcPr>
          <w:p>
            <w:pPr>
              <w:rPr>
                <w:b/>
                <w:bCs/>
                <w:color w:val="000000"/>
                <w:sz w:val="28"/>
              </w:rPr>
            </w:pPr>
          </w:p>
        </w:tc>
        <w:tc>
          <w:tcPr>
            <w:tcW w:w="2056" w:type="dxa"/>
          </w:tcPr>
          <w:p>
            <w:pPr>
              <w:rPr>
                <w:b/>
                <w:bCs/>
                <w:color w:val="000000"/>
                <w:sz w:val="28"/>
              </w:rPr>
            </w:pPr>
          </w:p>
        </w:tc>
        <w:tc>
          <w:tcPr>
            <w:tcW w:w="715" w:type="dxa"/>
          </w:tcPr>
          <w:p>
            <w:pPr>
              <w:rPr>
                <w:b/>
                <w:bCs/>
                <w:color w:val="000000"/>
                <w:sz w:val="28"/>
              </w:rPr>
            </w:pPr>
          </w:p>
        </w:tc>
        <w:tc>
          <w:tcPr>
            <w:tcW w:w="635" w:type="dxa"/>
          </w:tcPr>
          <w:p>
            <w:pPr>
              <w:rPr>
                <w:b/>
                <w:bCs/>
                <w:color w:val="000000"/>
                <w:sz w:val="28"/>
              </w:rPr>
            </w:pPr>
          </w:p>
        </w:tc>
        <w:tc>
          <w:tcPr>
            <w:tcW w:w="715" w:type="dxa"/>
          </w:tcPr>
          <w:p>
            <w:pPr>
              <w:rPr>
                <w:b/>
                <w:bCs/>
                <w:color w:val="000000"/>
                <w:sz w:val="28"/>
              </w:rPr>
            </w:pPr>
          </w:p>
        </w:tc>
        <w:tc>
          <w:tcPr>
            <w:tcW w:w="793" w:type="dxa"/>
          </w:tcPr>
          <w:p>
            <w:pPr>
              <w:rPr>
                <w:b/>
                <w:bCs/>
                <w:color w:val="000000"/>
                <w:sz w:val="28"/>
              </w:rPr>
            </w:pPr>
          </w:p>
        </w:tc>
        <w:tc>
          <w:tcPr>
            <w:tcW w:w="889" w:type="dxa"/>
          </w:tcPr>
          <w:p>
            <w:pPr>
              <w:rPr>
                <w:b/>
                <w:bCs/>
                <w:color w:val="000000"/>
                <w:sz w:val="28"/>
              </w:rPr>
            </w:pPr>
          </w:p>
        </w:tc>
        <w:tc>
          <w:tcPr>
            <w:tcW w:w="793" w:type="dxa"/>
          </w:tcPr>
          <w:p>
            <w:pPr>
              <w:rPr>
                <w:b/>
                <w:bCs/>
                <w:color w:val="000000"/>
                <w:sz w:val="28"/>
              </w:rPr>
            </w:pPr>
          </w:p>
        </w:tc>
        <w:tc>
          <w:tcPr>
            <w:tcW w:w="1139" w:type="dxa"/>
          </w:tcPr>
          <w:p>
            <w:pPr>
              <w:rPr>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05" w:type="dxa"/>
          </w:tcPr>
          <w:p>
            <w:pPr>
              <w:rPr>
                <w:b/>
                <w:bCs/>
                <w:color w:val="000000"/>
                <w:sz w:val="28"/>
              </w:rPr>
            </w:pPr>
          </w:p>
        </w:tc>
        <w:tc>
          <w:tcPr>
            <w:tcW w:w="2056" w:type="dxa"/>
          </w:tcPr>
          <w:p>
            <w:pPr>
              <w:rPr>
                <w:b/>
                <w:bCs/>
                <w:color w:val="000000"/>
                <w:sz w:val="28"/>
              </w:rPr>
            </w:pPr>
          </w:p>
        </w:tc>
        <w:tc>
          <w:tcPr>
            <w:tcW w:w="715" w:type="dxa"/>
          </w:tcPr>
          <w:p>
            <w:pPr>
              <w:rPr>
                <w:b/>
                <w:bCs/>
                <w:color w:val="000000"/>
                <w:sz w:val="28"/>
              </w:rPr>
            </w:pPr>
          </w:p>
        </w:tc>
        <w:tc>
          <w:tcPr>
            <w:tcW w:w="635" w:type="dxa"/>
          </w:tcPr>
          <w:p>
            <w:pPr>
              <w:rPr>
                <w:b/>
                <w:bCs/>
                <w:color w:val="000000"/>
                <w:sz w:val="28"/>
              </w:rPr>
            </w:pPr>
          </w:p>
        </w:tc>
        <w:tc>
          <w:tcPr>
            <w:tcW w:w="715" w:type="dxa"/>
          </w:tcPr>
          <w:p>
            <w:pPr>
              <w:rPr>
                <w:b/>
                <w:bCs/>
                <w:color w:val="000000"/>
                <w:sz w:val="28"/>
              </w:rPr>
            </w:pPr>
          </w:p>
        </w:tc>
        <w:tc>
          <w:tcPr>
            <w:tcW w:w="793" w:type="dxa"/>
          </w:tcPr>
          <w:p>
            <w:pPr>
              <w:rPr>
                <w:b/>
                <w:bCs/>
                <w:color w:val="000000"/>
                <w:sz w:val="28"/>
              </w:rPr>
            </w:pPr>
          </w:p>
        </w:tc>
        <w:tc>
          <w:tcPr>
            <w:tcW w:w="889" w:type="dxa"/>
          </w:tcPr>
          <w:p>
            <w:pPr>
              <w:rPr>
                <w:b/>
                <w:bCs/>
                <w:color w:val="000000"/>
                <w:sz w:val="28"/>
              </w:rPr>
            </w:pPr>
          </w:p>
        </w:tc>
        <w:tc>
          <w:tcPr>
            <w:tcW w:w="793" w:type="dxa"/>
          </w:tcPr>
          <w:p>
            <w:pPr>
              <w:rPr>
                <w:b/>
                <w:bCs/>
                <w:color w:val="000000"/>
                <w:sz w:val="28"/>
              </w:rPr>
            </w:pPr>
          </w:p>
        </w:tc>
        <w:tc>
          <w:tcPr>
            <w:tcW w:w="1139" w:type="dxa"/>
          </w:tcPr>
          <w:p>
            <w:pPr>
              <w:rPr>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05" w:type="dxa"/>
          </w:tcPr>
          <w:p>
            <w:pPr>
              <w:rPr>
                <w:b/>
                <w:bCs/>
                <w:color w:val="000000"/>
                <w:sz w:val="28"/>
              </w:rPr>
            </w:pPr>
          </w:p>
        </w:tc>
        <w:tc>
          <w:tcPr>
            <w:tcW w:w="2056" w:type="dxa"/>
          </w:tcPr>
          <w:p>
            <w:pPr>
              <w:rPr>
                <w:b/>
                <w:bCs/>
                <w:color w:val="000000"/>
                <w:sz w:val="28"/>
              </w:rPr>
            </w:pPr>
          </w:p>
        </w:tc>
        <w:tc>
          <w:tcPr>
            <w:tcW w:w="715" w:type="dxa"/>
          </w:tcPr>
          <w:p>
            <w:pPr>
              <w:rPr>
                <w:b/>
                <w:bCs/>
                <w:color w:val="000000"/>
                <w:sz w:val="28"/>
              </w:rPr>
            </w:pPr>
          </w:p>
        </w:tc>
        <w:tc>
          <w:tcPr>
            <w:tcW w:w="635" w:type="dxa"/>
          </w:tcPr>
          <w:p>
            <w:pPr>
              <w:rPr>
                <w:b/>
                <w:bCs/>
                <w:color w:val="000000"/>
                <w:sz w:val="28"/>
              </w:rPr>
            </w:pPr>
          </w:p>
        </w:tc>
        <w:tc>
          <w:tcPr>
            <w:tcW w:w="715" w:type="dxa"/>
          </w:tcPr>
          <w:p>
            <w:pPr>
              <w:rPr>
                <w:b/>
                <w:bCs/>
                <w:color w:val="000000"/>
                <w:sz w:val="28"/>
              </w:rPr>
            </w:pPr>
          </w:p>
        </w:tc>
        <w:tc>
          <w:tcPr>
            <w:tcW w:w="793" w:type="dxa"/>
          </w:tcPr>
          <w:p>
            <w:pPr>
              <w:rPr>
                <w:b/>
                <w:bCs/>
                <w:color w:val="000000"/>
                <w:sz w:val="28"/>
              </w:rPr>
            </w:pPr>
          </w:p>
        </w:tc>
        <w:tc>
          <w:tcPr>
            <w:tcW w:w="889" w:type="dxa"/>
          </w:tcPr>
          <w:p>
            <w:pPr>
              <w:rPr>
                <w:b/>
                <w:bCs/>
                <w:color w:val="000000"/>
                <w:sz w:val="28"/>
              </w:rPr>
            </w:pPr>
          </w:p>
        </w:tc>
        <w:tc>
          <w:tcPr>
            <w:tcW w:w="793" w:type="dxa"/>
          </w:tcPr>
          <w:p>
            <w:pPr>
              <w:rPr>
                <w:b/>
                <w:bCs/>
                <w:color w:val="000000"/>
                <w:sz w:val="28"/>
              </w:rPr>
            </w:pPr>
          </w:p>
        </w:tc>
        <w:tc>
          <w:tcPr>
            <w:tcW w:w="1139" w:type="dxa"/>
          </w:tcPr>
          <w:p>
            <w:pPr>
              <w:rPr>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05" w:type="dxa"/>
          </w:tcPr>
          <w:p>
            <w:pPr>
              <w:rPr>
                <w:b/>
                <w:bCs/>
                <w:color w:val="000000"/>
                <w:sz w:val="28"/>
              </w:rPr>
            </w:pPr>
          </w:p>
        </w:tc>
        <w:tc>
          <w:tcPr>
            <w:tcW w:w="2056" w:type="dxa"/>
          </w:tcPr>
          <w:p>
            <w:pPr>
              <w:rPr>
                <w:b/>
                <w:bCs/>
                <w:color w:val="000000"/>
                <w:sz w:val="28"/>
              </w:rPr>
            </w:pPr>
          </w:p>
        </w:tc>
        <w:tc>
          <w:tcPr>
            <w:tcW w:w="715" w:type="dxa"/>
          </w:tcPr>
          <w:p>
            <w:pPr>
              <w:rPr>
                <w:b/>
                <w:bCs/>
                <w:color w:val="000000"/>
                <w:sz w:val="28"/>
              </w:rPr>
            </w:pPr>
          </w:p>
        </w:tc>
        <w:tc>
          <w:tcPr>
            <w:tcW w:w="635" w:type="dxa"/>
          </w:tcPr>
          <w:p>
            <w:pPr>
              <w:rPr>
                <w:b/>
                <w:bCs/>
                <w:color w:val="000000"/>
                <w:sz w:val="28"/>
              </w:rPr>
            </w:pPr>
          </w:p>
        </w:tc>
        <w:tc>
          <w:tcPr>
            <w:tcW w:w="715" w:type="dxa"/>
          </w:tcPr>
          <w:p>
            <w:pPr>
              <w:rPr>
                <w:b/>
                <w:bCs/>
                <w:color w:val="000000"/>
                <w:sz w:val="28"/>
              </w:rPr>
            </w:pPr>
          </w:p>
        </w:tc>
        <w:tc>
          <w:tcPr>
            <w:tcW w:w="793" w:type="dxa"/>
          </w:tcPr>
          <w:p>
            <w:pPr>
              <w:rPr>
                <w:b/>
                <w:bCs/>
                <w:color w:val="000000"/>
                <w:sz w:val="28"/>
              </w:rPr>
            </w:pPr>
          </w:p>
        </w:tc>
        <w:tc>
          <w:tcPr>
            <w:tcW w:w="889" w:type="dxa"/>
          </w:tcPr>
          <w:p>
            <w:pPr>
              <w:rPr>
                <w:b/>
                <w:bCs/>
                <w:color w:val="000000"/>
                <w:sz w:val="28"/>
              </w:rPr>
            </w:pPr>
          </w:p>
        </w:tc>
        <w:tc>
          <w:tcPr>
            <w:tcW w:w="793" w:type="dxa"/>
          </w:tcPr>
          <w:p>
            <w:pPr>
              <w:rPr>
                <w:b/>
                <w:bCs/>
                <w:color w:val="000000"/>
                <w:sz w:val="28"/>
              </w:rPr>
            </w:pPr>
          </w:p>
        </w:tc>
        <w:tc>
          <w:tcPr>
            <w:tcW w:w="1139" w:type="dxa"/>
          </w:tcPr>
          <w:p>
            <w:pPr>
              <w:rPr>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05" w:type="dxa"/>
          </w:tcPr>
          <w:p>
            <w:pPr>
              <w:rPr>
                <w:b/>
                <w:bCs/>
                <w:color w:val="000000"/>
                <w:sz w:val="28"/>
              </w:rPr>
            </w:pPr>
          </w:p>
        </w:tc>
        <w:tc>
          <w:tcPr>
            <w:tcW w:w="2056" w:type="dxa"/>
          </w:tcPr>
          <w:p>
            <w:pPr>
              <w:rPr>
                <w:b/>
                <w:bCs/>
                <w:color w:val="000000"/>
                <w:sz w:val="28"/>
              </w:rPr>
            </w:pPr>
          </w:p>
        </w:tc>
        <w:tc>
          <w:tcPr>
            <w:tcW w:w="715" w:type="dxa"/>
          </w:tcPr>
          <w:p>
            <w:pPr>
              <w:rPr>
                <w:b/>
                <w:bCs/>
                <w:color w:val="000000"/>
                <w:sz w:val="28"/>
              </w:rPr>
            </w:pPr>
          </w:p>
        </w:tc>
        <w:tc>
          <w:tcPr>
            <w:tcW w:w="635" w:type="dxa"/>
          </w:tcPr>
          <w:p>
            <w:pPr>
              <w:rPr>
                <w:b/>
                <w:bCs/>
                <w:color w:val="000000"/>
                <w:sz w:val="28"/>
              </w:rPr>
            </w:pPr>
          </w:p>
        </w:tc>
        <w:tc>
          <w:tcPr>
            <w:tcW w:w="715" w:type="dxa"/>
          </w:tcPr>
          <w:p>
            <w:pPr>
              <w:rPr>
                <w:b/>
                <w:bCs/>
                <w:color w:val="000000"/>
                <w:sz w:val="28"/>
              </w:rPr>
            </w:pPr>
          </w:p>
        </w:tc>
        <w:tc>
          <w:tcPr>
            <w:tcW w:w="793" w:type="dxa"/>
          </w:tcPr>
          <w:p>
            <w:pPr>
              <w:rPr>
                <w:b/>
                <w:bCs/>
                <w:color w:val="000000"/>
                <w:sz w:val="28"/>
              </w:rPr>
            </w:pPr>
          </w:p>
        </w:tc>
        <w:tc>
          <w:tcPr>
            <w:tcW w:w="889" w:type="dxa"/>
          </w:tcPr>
          <w:p>
            <w:pPr>
              <w:rPr>
                <w:b/>
                <w:bCs/>
                <w:color w:val="000000"/>
                <w:sz w:val="28"/>
              </w:rPr>
            </w:pPr>
          </w:p>
        </w:tc>
        <w:tc>
          <w:tcPr>
            <w:tcW w:w="793" w:type="dxa"/>
          </w:tcPr>
          <w:p>
            <w:pPr>
              <w:rPr>
                <w:b/>
                <w:bCs/>
                <w:color w:val="000000"/>
                <w:sz w:val="28"/>
              </w:rPr>
            </w:pPr>
          </w:p>
        </w:tc>
        <w:tc>
          <w:tcPr>
            <w:tcW w:w="1139" w:type="dxa"/>
          </w:tcPr>
          <w:p>
            <w:pPr>
              <w:rPr>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05" w:type="dxa"/>
          </w:tcPr>
          <w:p>
            <w:pPr>
              <w:rPr>
                <w:b/>
                <w:bCs/>
                <w:color w:val="000000"/>
                <w:sz w:val="28"/>
              </w:rPr>
            </w:pPr>
          </w:p>
        </w:tc>
        <w:tc>
          <w:tcPr>
            <w:tcW w:w="2056" w:type="dxa"/>
          </w:tcPr>
          <w:p>
            <w:pPr>
              <w:rPr>
                <w:b/>
                <w:bCs/>
                <w:color w:val="000000"/>
                <w:sz w:val="28"/>
              </w:rPr>
            </w:pPr>
          </w:p>
        </w:tc>
        <w:tc>
          <w:tcPr>
            <w:tcW w:w="715" w:type="dxa"/>
          </w:tcPr>
          <w:p>
            <w:pPr>
              <w:rPr>
                <w:b/>
                <w:bCs/>
                <w:color w:val="000000"/>
                <w:sz w:val="28"/>
              </w:rPr>
            </w:pPr>
          </w:p>
        </w:tc>
        <w:tc>
          <w:tcPr>
            <w:tcW w:w="635" w:type="dxa"/>
          </w:tcPr>
          <w:p>
            <w:pPr>
              <w:rPr>
                <w:b/>
                <w:bCs/>
                <w:color w:val="000000"/>
                <w:sz w:val="28"/>
              </w:rPr>
            </w:pPr>
          </w:p>
        </w:tc>
        <w:tc>
          <w:tcPr>
            <w:tcW w:w="715" w:type="dxa"/>
          </w:tcPr>
          <w:p>
            <w:pPr>
              <w:rPr>
                <w:b/>
                <w:bCs/>
                <w:color w:val="000000"/>
                <w:sz w:val="28"/>
              </w:rPr>
            </w:pPr>
          </w:p>
        </w:tc>
        <w:tc>
          <w:tcPr>
            <w:tcW w:w="793" w:type="dxa"/>
          </w:tcPr>
          <w:p>
            <w:pPr>
              <w:rPr>
                <w:b/>
                <w:bCs/>
                <w:color w:val="000000"/>
                <w:sz w:val="28"/>
              </w:rPr>
            </w:pPr>
          </w:p>
        </w:tc>
        <w:tc>
          <w:tcPr>
            <w:tcW w:w="889" w:type="dxa"/>
          </w:tcPr>
          <w:p>
            <w:pPr>
              <w:rPr>
                <w:b/>
                <w:bCs/>
                <w:color w:val="000000"/>
                <w:sz w:val="28"/>
              </w:rPr>
            </w:pPr>
          </w:p>
        </w:tc>
        <w:tc>
          <w:tcPr>
            <w:tcW w:w="793" w:type="dxa"/>
          </w:tcPr>
          <w:p>
            <w:pPr>
              <w:rPr>
                <w:b/>
                <w:bCs/>
                <w:color w:val="000000"/>
                <w:sz w:val="28"/>
              </w:rPr>
            </w:pPr>
          </w:p>
        </w:tc>
        <w:tc>
          <w:tcPr>
            <w:tcW w:w="1139" w:type="dxa"/>
          </w:tcPr>
          <w:p>
            <w:pPr>
              <w:rPr>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05" w:type="dxa"/>
          </w:tcPr>
          <w:p>
            <w:pPr>
              <w:rPr>
                <w:b/>
                <w:bCs/>
                <w:color w:val="000000"/>
                <w:sz w:val="28"/>
              </w:rPr>
            </w:pPr>
          </w:p>
        </w:tc>
        <w:tc>
          <w:tcPr>
            <w:tcW w:w="2056" w:type="dxa"/>
          </w:tcPr>
          <w:p>
            <w:pPr>
              <w:rPr>
                <w:b/>
                <w:bCs/>
                <w:color w:val="000000"/>
                <w:sz w:val="28"/>
              </w:rPr>
            </w:pPr>
          </w:p>
        </w:tc>
        <w:tc>
          <w:tcPr>
            <w:tcW w:w="715" w:type="dxa"/>
          </w:tcPr>
          <w:p>
            <w:pPr>
              <w:rPr>
                <w:b/>
                <w:bCs/>
                <w:color w:val="000000"/>
                <w:sz w:val="28"/>
              </w:rPr>
            </w:pPr>
          </w:p>
        </w:tc>
        <w:tc>
          <w:tcPr>
            <w:tcW w:w="635" w:type="dxa"/>
          </w:tcPr>
          <w:p>
            <w:pPr>
              <w:rPr>
                <w:b/>
                <w:bCs/>
                <w:color w:val="000000"/>
                <w:sz w:val="28"/>
              </w:rPr>
            </w:pPr>
          </w:p>
        </w:tc>
        <w:tc>
          <w:tcPr>
            <w:tcW w:w="715" w:type="dxa"/>
          </w:tcPr>
          <w:p>
            <w:pPr>
              <w:rPr>
                <w:b/>
                <w:bCs/>
                <w:color w:val="000000"/>
                <w:sz w:val="28"/>
              </w:rPr>
            </w:pPr>
          </w:p>
        </w:tc>
        <w:tc>
          <w:tcPr>
            <w:tcW w:w="793" w:type="dxa"/>
          </w:tcPr>
          <w:p>
            <w:pPr>
              <w:rPr>
                <w:b/>
                <w:bCs/>
                <w:color w:val="000000"/>
                <w:sz w:val="28"/>
              </w:rPr>
            </w:pPr>
          </w:p>
        </w:tc>
        <w:tc>
          <w:tcPr>
            <w:tcW w:w="889" w:type="dxa"/>
          </w:tcPr>
          <w:p>
            <w:pPr>
              <w:rPr>
                <w:b/>
                <w:bCs/>
                <w:color w:val="000000"/>
                <w:sz w:val="28"/>
              </w:rPr>
            </w:pPr>
          </w:p>
        </w:tc>
        <w:tc>
          <w:tcPr>
            <w:tcW w:w="793" w:type="dxa"/>
          </w:tcPr>
          <w:p>
            <w:pPr>
              <w:rPr>
                <w:b/>
                <w:bCs/>
                <w:color w:val="000000"/>
                <w:sz w:val="28"/>
              </w:rPr>
            </w:pPr>
          </w:p>
        </w:tc>
        <w:tc>
          <w:tcPr>
            <w:tcW w:w="1139" w:type="dxa"/>
          </w:tcPr>
          <w:p>
            <w:pPr>
              <w:rPr>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05" w:type="dxa"/>
          </w:tcPr>
          <w:p>
            <w:pPr>
              <w:rPr>
                <w:b/>
                <w:bCs/>
                <w:color w:val="000000"/>
                <w:sz w:val="28"/>
              </w:rPr>
            </w:pPr>
          </w:p>
        </w:tc>
        <w:tc>
          <w:tcPr>
            <w:tcW w:w="2056" w:type="dxa"/>
          </w:tcPr>
          <w:p>
            <w:pPr>
              <w:rPr>
                <w:b/>
                <w:bCs/>
                <w:color w:val="000000"/>
                <w:sz w:val="28"/>
              </w:rPr>
            </w:pPr>
          </w:p>
        </w:tc>
        <w:tc>
          <w:tcPr>
            <w:tcW w:w="715" w:type="dxa"/>
          </w:tcPr>
          <w:p>
            <w:pPr>
              <w:rPr>
                <w:b/>
                <w:bCs/>
                <w:color w:val="000000"/>
                <w:sz w:val="28"/>
              </w:rPr>
            </w:pPr>
          </w:p>
        </w:tc>
        <w:tc>
          <w:tcPr>
            <w:tcW w:w="635" w:type="dxa"/>
          </w:tcPr>
          <w:p>
            <w:pPr>
              <w:rPr>
                <w:b/>
                <w:bCs/>
                <w:color w:val="000000"/>
                <w:sz w:val="28"/>
              </w:rPr>
            </w:pPr>
          </w:p>
        </w:tc>
        <w:tc>
          <w:tcPr>
            <w:tcW w:w="715" w:type="dxa"/>
          </w:tcPr>
          <w:p>
            <w:pPr>
              <w:rPr>
                <w:b/>
                <w:bCs/>
                <w:color w:val="000000"/>
                <w:sz w:val="28"/>
              </w:rPr>
            </w:pPr>
          </w:p>
        </w:tc>
        <w:tc>
          <w:tcPr>
            <w:tcW w:w="793" w:type="dxa"/>
          </w:tcPr>
          <w:p>
            <w:pPr>
              <w:rPr>
                <w:b/>
                <w:bCs/>
                <w:color w:val="000000"/>
                <w:sz w:val="28"/>
              </w:rPr>
            </w:pPr>
          </w:p>
        </w:tc>
        <w:tc>
          <w:tcPr>
            <w:tcW w:w="889" w:type="dxa"/>
          </w:tcPr>
          <w:p>
            <w:pPr>
              <w:rPr>
                <w:b/>
                <w:bCs/>
                <w:color w:val="000000"/>
                <w:sz w:val="28"/>
              </w:rPr>
            </w:pPr>
          </w:p>
        </w:tc>
        <w:tc>
          <w:tcPr>
            <w:tcW w:w="793" w:type="dxa"/>
          </w:tcPr>
          <w:p>
            <w:pPr>
              <w:rPr>
                <w:b/>
                <w:bCs/>
                <w:color w:val="000000"/>
                <w:sz w:val="28"/>
              </w:rPr>
            </w:pPr>
          </w:p>
        </w:tc>
        <w:tc>
          <w:tcPr>
            <w:tcW w:w="1139" w:type="dxa"/>
          </w:tcPr>
          <w:p>
            <w:pPr>
              <w:rPr>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05" w:type="dxa"/>
          </w:tcPr>
          <w:p>
            <w:pPr>
              <w:rPr>
                <w:color w:val="000000"/>
              </w:rPr>
            </w:pPr>
          </w:p>
        </w:tc>
        <w:tc>
          <w:tcPr>
            <w:tcW w:w="2056" w:type="dxa"/>
          </w:tcPr>
          <w:p>
            <w:pPr>
              <w:rPr>
                <w:color w:val="000000"/>
              </w:rPr>
            </w:pPr>
          </w:p>
        </w:tc>
        <w:tc>
          <w:tcPr>
            <w:tcW w:w="715" w:type="dxa"/>
          </w:tcPr>
          <w:p>
            <w:pPr>
              <w:rPr>
                <w:color w:val="000000"/>
              </w:rPr>
            </w:pPr>
          </w:p>
        </w:tc>
        <w:tc>
          <w:tcPr>
            <w:tcW w:w="635" w:type="dxa"/>
          </w:tcPr>
          <w:p>
            <w:pPr>
              <w:rPr>
                <w:color w:val="000000"/>
              </w:rPr>
            </w:pPr>
          </w:p>
        </w:tc>
        <w:tc>
          <w:tcPr>
            <w:tcW w:w="715" w:type="dxa"/>
          </w:tcPr>
          <w:p>
            <w:pPr>
              <w:rPr>
                <w:color w:val="000000"/>
              </w:rPr>
            </w:pPr>
          </w:p>
        </w:tc>
        <w:tc>
          <w:tcPr>
            <w:tcW w:w="793" w:type="dxa"/>
          </w:tcPr>
          <w:p>
            <w:pPr>
              <w:rPr>
                <w:color w:val="000000"/>
              </w:rPr>
            </w:pPr>
          </w:p>
        </w:tc>
        <w:tc>
          <w:tcPr>
            <w:tcW w:w="889" w:type="dxa"/>
          </w:tcPr>
          <w:p>
            <w:pPr>
              <w:rPr>
                <w:color w:val="000000"/>
              </w:rPr>
            </w:pPr>
          </w:p>
        </w:tc>
        <w:tc>
          <w:tcPr>
            <w:tcW w:w="793" w:type="dxa"/>
          </w:tcPr>
          <w:p>
            <w:pPr>
              <w:rPr>
                <w:color w:val="000000"/>
              </w:rPr>
            </w:pPr>
          </w:p>
        </w:tc>
        <w:tc>
          <w:tcPr>
            <w:tcW w:w="1139"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05" w:type="dxa"/>
          </w:tcPr>
          <w:p>
            <w:pPr>
              <w:rPr>
                <w:color w:val="000000"/>
              </w:rPr>
            </w:pPr>
          </w:p>
        </w:tc>
        <w:tc>
          <w:tcPr>
            <w:tcW w:w="2056" w:type="dxa"/>
          </w:tcPr>
          <w:p>
            <w:pPr>
              <w:rPr>
                <w:color w:val="000000"/>
              </w:rPr>
            </w:pPr>
          </w:p>
        </w:tc>
        <w:tc>
          <w:tcPr>
            <w:tcW w:w="715" w:type="dxa"/>
          </w:tcPr>
          <w:p>
            <w:pPr>
              <w:rPr>
                <w:color w:val="000000"/>
              </w:rPr>
            </w:pPr>
          </w:p>
        </w:tc>
        <w:tc>
          <w:tcPr>
            <w:tcW w:w="635" w:type="dxa"/>
          </w:tcPr>
          <w:p>
            <w:pPr>
              <w:rPr>
                <w:color w:val="000000"/>
              </w:rPr>
            </w:pPr>
          </w:p>
        </w:tc>
        <w:tc>
          <w:tcPr>
            <w:tcW w:w="715" w:type="dxa"/>
          </w:tcPr>
          <w:p>
            <w:pPr>
              <w:rPr>
                <w:color w:val="000000"/>
              </w:rPr>
            </w:pPr>
          </w:p>
        </w:tc>
        <w:tc>
          <w:tcPr>
            <w:tcW w:w="793" w:type="dxa"/>
          </w:tcPr>
          <w:p>
            <w:pPr>
              <w:rPr>
                <w:color w:val="000000"/>
              </w:rPr>
            </w:pPr>
          </w:p>
        </w:tc>
        <w:tc>
          <w:tcPr>
            <w:tcW w:w="889" w:type="dxa"/>
          </w:tcPr>
          <w:p>
            <w:pPr>
              <w:rPr>
                <w:color w:val="000000"/>
              </w:rPr>
            </w:pPr>
          </w:p>
        </w:tc>
        <w:tc>
          <w:tcPr>
            <w:tcW w:w="793" w:type="dxa"/>
          </w:tcPr>
          <w:p>
            <w:pPr>
              <w:rPr>
                <w:color w:val="000000"/>
              </w:rPr>
            </w:pPr>
          </w:p>
        </w:tc>
        <w:tc>
          <w:tcPr>
            <w:tcW w:w="1139"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05" w:type="dxa"/>
          </w:tcPr>
          <w:p>
            <w:pPr>
              <w:rPr>
                <w:color w:val="000000"/>
              </w:rPr>
            </w:pPr>
          </w:p>
        </w:tc>
        <w:tc>
          <w:tcPr>
            <w:tcW w:w="2056" w:type="dxa"/>
          </w:tcPr>
          <w:p>
            <w:pPr>
              <w:rPr>
                <w:color w:val="000000"/>
              </w:rPr>
            </w:pPr>
          </w:p>
        </w:tc>
        <w:tc>
          <w:tcPr>
            <w:tcW w:w="715" w:type="dxa"/>
          </w:tcPr>
          <w:p>
            <w:pPr>
              <w:rPr>
                <w:color w:val="000000"/>
              </w:rPr>
            </w:pPr>
          </w:p>
        </w:tc>
        <w:tc>
          <w:tcPr>
            <w:tcW w:w="635" w:type="dxa"/>
          </w:tcPr>
          <w:p>
            <w:pPr>
              <w:rPr>
                <w:color w:val="000000"/>
              </w:rPr>
            </w:pPr>
          </w:p>
        </w:tc>
        <w:tc>
          <w:tcPr>
            <w:tcW w:w="715" w:type="dxa"/>
          </w:tcPr>
          <w:p>
            <w:pPr>
              <w:rPr>
                <w:color w:val="000000"/>
              </w:rPr>
            </w:pPr>
          </w:p>
        </w:tc>
        <w:tc>
          <w:tcPr>
            <w:tcW w:w="793" w:type="dxa"/>
          </w:tcPr>
          <w:p>
            <w:pPr>
              <w:rPr>
                <w:color w:val="000000"/>
              </w:rPr>
            </w:pPr>
          </w:p>
        </w:tc>
        <w:tc>
          <w:tcPr>
            <w:tcW w:w="889" w:type="dxa"/>
          </w:tcPr>
          <w:p>
            <w:pPr>
              <w:rPr>
                <w:color w:val="000000"/>
              </w:rPr>
            </w:pPr>
          </w:p>
        </w:tc>
        <w:tc>
          <w:tcPr>
            <w:tcW w:w="793" w:type="dxa"/>
          </w:tcPr>
          <w:p>
            <w:pPr>
              <w:rPr>
                <w:color w:val="000000"/>
              </w:rPr>
            </w:pPr>
          </w:p>
        </w:tc>
        <w:tc>
          <w:tcPr>
            <w:tcW w:w="1139"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05" w:type="dxa"/>
          </w:tcPr>
          <w:p>
            <w:pPr>
              <w:rPr>
                <w:color w:val="000000"/>
              </w:rPr>
            </w:pPr>
          </w:p>
        </w:tc>
        <w:tc>
          <w:tcPr>
            <w:tcW w:w="2056" w:type="dxa"/>
          </w:tcPr>
          <w:p>
            <w:pPr>
              <w:rPr>
                <w:color w:val="000000"/>
              </w:rPr>
            </w:pPr>
          </w:p>
        </w:tc>
        <w:tc>
          <w:tcPr>
            <w:tcW w:w="715" w:type="dxa"/>
          </w:tcPr>
          <w:p>
            <w:pPr>
              <w:rPr>
                <w:color w:val="000000"/>
              </w:rPr>
            </w:pPr>
          </w:p>
        </w:tc>
        <w:tc>
          <w:tcPr>
            <w:tcW w:w="635" w:type="dxa"/>
          </w:tcPr>
          <w:p>
            <w:pPr>
              <w:rPr>
                <w:color w:val="000000"/>
              </w:rPr>
            </w:pPr>
          </w:p>
        </w:tc>
        <w:tc>
          <w:tcPr>
            <w:tcW w:w="715" w:type="dxa"/>
          </w:tcPr>
          <w:p>
            <w:pPr>
              <w:rPr>
                <w:color w:val="000000"/>
              </w:rPr>
            </w:pPr>
          </w:p>
        </w:tc>
        <w:tc>
          <w:tcPr>
            <w:tcW w:w="793" w:type="dxa"/>
          </w:tcPr>
          <w:p>
            <w:pPr>
              <w:rPr>
                <w:color w:val="000000"/>
              </w:rPr>
            </w:pPr>
          </w:p>
        </w:tc>
        <w:tc>
          <w:tcPr>
            <w:tcW w:w="889" w:type="dxa"/>
          </w:tcPr>
          <w:p>
            <w:pPr>
              <w:rPr>
                <w:color w:val="000000"/>
              </w:rPr>
            </w:pPr>
          </w:p>
        </w:tc>
        <w:tc>
          <w:tcPr>
            <w:tcW w:w="793" w:type="dxa"/>
          </w:tcPr>
          <w:p>
            <w:pPr>
              <w:rPr>
                <w:color w:val="000000"/>
              </w:rPr>
            </w:pPr>
          </w:p>
        </w:tc>
        <w:tc>
          <w:tcPr>
            <w:tcW w:w="1139"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05" w:type="dxa"/>
          </w:tcPr>
          <w:p>
            <w:pPr>
              <w:rPr>
                <w:color w:val="000000"/>
              </w:rPr>
            </w:pPr>
          </w:p>
        </w:tc>
        <w:tc>
          <w:tcPr>
            <w:tcW w:w="2056" w:type="dxa"/>
          </w:tcPr>
          <w:p>
            <w:pPr>
              <w:rPr>
                <w:color w:val="000000"/>
              </w:rPr>
            </w:pPr>
          </w:p>
        </w:tc>
        <w:tc>
          <w:tcPr>
            <w:tcW w:w="715" w:type="dxa"/>
          </w:tcPr>
          <w:p>
            <w:pPr>
              <w:rPr>
                <w:color w:val="000000"/>
              </w:rPr>
            </w:pPr>
          </w:p>
        </w:tc>
        <w:tc>
          <w:tcPr>
            <w:tcW w:w="635" w:type="dxa"/>
          </w:tcPr>
          <w:p>
            <w:pPr>
              <w:rPr>
                <w:color w:val="000000"/>
              </w:rPr>
            </w:pPr>
          </w:p>
        </w:tc>
        <w:tc>
          <w:tcPr>
            <w:tcW w:w="715" w:type="dxa"/>
          </w:tcPr>
          <w:p>
            <w:pPr>
              <w:rPr>
                <w:color w:val="000000"/>
              </w:rPr>
            </w:pPr>
          </w:p>
        </w:tc>
        <w:tc>
          <w:tcPr>
            <w:tcW w:w="793" w:type="dxa"/>
          </w:tcPr>
          <w:p>
            <w:pPr>
              <w:rPr>
                <w:color w:val="000000"/>
              </w:rPr>
            </w:pPr>
          </w:p>
        </w:tc>
        <w:tc>
          <w:tcPr>
            <w:tcW w:w="889" w:type="dxa"/>
          </w:tcPr>
          <w:p>
            <w:pPr>
              <w:rPr>
                <w:color w:val="000000"/>
              </w:rPr>
            </w:pPr>
          </w:p>
        </w:tc>
        <w:tc>
          <w:tcPr>
            <w:tcW w:w="793" w:type="dxa"/>
          </w:tcPr>
          <w:p>
            <w:pPr>
              <w:rPr>
                <w:color w:val="000000"/>
              </w:rPr>
            </w:pPr>
          </w:p>
        </w:tc>
        <w:tc>
          <w:tcPr>
            <w:tcW w:w="1139"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05" w:type="dxa"/>
          </w:tcPr>
          <w:p>
            <w:pPr>
              <w:rPr>
                <w:color w:val="000000"/>
              </w:rPr>
            </w:pPr>
          </w:p>
        </w:tc>
        <w:tc>
          <w:tcPr>
            <w:tcW w:w="2056" w:type="dxa"/>
          </w:tcPr>
          <w:p>
            <w:pPr>
              <w:rPr>
                <w:color w:val="000000"/>
              </w:rPr>
            </w:pPr>
          </w:p>
        </w:tc>
        <w:tc>
          <w:tcPr>
            <w:tcW w:w="715" w:type="dxa"/>
          </w:tcPr>
          <w:p>
            <w:pPr>
              <w:rPr>
                <w:color w:val="000000"/>
              </w:rPr>
            </w:pPr>
          </w:p>
        </w:tc>
        <w:tc>
          <w:tcPr>
            <w:tcW w:w="635" w:type="dxa"/>
          </w:tcPr>
          <w:p>
            <w:pPr>
              <w:rPr>
                <w:color w:val="000000"/>
              </w:rPr>
            </w:pPr>
          </w:p>
        </w:tc>
        <w:tc>
          <w:tcPr>
            <w:tcW w:w="715" w:type="dxa"/>
          </w:tcPr>
          <w:p>
            <w:pPr>
              <w:rPr>
                <w:color w:val="000000"/>
              </w:rPr>
            </w:pPr>
          </w:p>
        </w:tc>
        <w:tc>
          <w:tcPr>
            <w:tcW w:w="793" w:type="dxa"/>
          </w:tcPr>
          <w:p>
            <w:pPr>
              <w:rPr>
                <w:color w:val="000000"/>
              </w:rPr>
            </w:pPr>
          </w:p>
        </w:tc>
        <w:tc>
          <w:tcPr>
            <w:tcW w:w="889" w:type="dxa"/>
          </w:tcPr>
          <w:p>
            <w:pPr>
              <w:rPr>
                <w:color w:val="000000"/>
              </w:rPr>
            </w:pPr>
          </w:p>
        </w:tc>
        <w:tc>
          <w:tcPr>
            <w:tcW w:w="793" w:type="dxa"/>
          </w:tcPr>
          <w:p>
            <w:pPr>
              <w:rPr>
                <w:color w:val="000000"/>
              </w:rPr>
            </w:pPr>
          </w:p>
        </w:tc>
        <w:tc>
          <w:tcPr>
            <w:tcW w:w="1139"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05" w:type="dxa"/>
          </w:tcPr>
          <w:p>
            <w:pPr>
              <w:rPr>
                <w:color w:val="000000"/>
              </w:rPr>
            </w:pPr>
          </w:p>
        </w:tc>
        <w:tc>
          <w:tcPr>
            <w:tcW w:w="2056" w:type="dxa"/>
          </w:tcPr>
          <w:p>
            <w:pPr>
              <w:rPr>
                <w:color w:val="000000"/>
              </w:rPr>
            </w:pPr>
          </w:p>
        </w:tc>
        <w:tc>
          <w:tcPr>
            <w:tcW w:w="715" w:type="dxa"/>
          </w:tcPr>
          <w:p>
            <w:pPr>
              <w:rPr>
                <w:color w:val="000000"/>
              </w:rPr>
            </w:pPr>
          </w:p>
        </w:tc>
        <w:tc>
          <w:tcPr>
            <w:tcW w:w="635" w:type="dxa"/>
          </w:tcPr>
          <w:p>
            <w:pPr>
              <w:rPr>
                <w:color w:val="000000"/>
              </w:rPr>
            </w:pPr>
          </w:p>
        </w:tc>
        <w:tc>
          <w:tcPr>
            <w:tcW w:w="715" w:type="dxa"/>
          </w:tcPr>
          <w:p>
            <w:pPr>
              <w:rPr>
                <w:color w:val="000000"/>
              </w:rPr>
            </w:pPr>
          </w:p>
        </w:tc>
        <w:tc>
          <w:tcPr>
            <w:tcW w:w="793" w:type="dxa"/>
          </w:tcPr>
          <w:p>
            <w:pPr>
              <w:rPr>
                <w:color w:val="000000"/>
              </w:rPr>
            </w:pPr>
          </w:p>
        </w:tc>
        <w:tc>
          <w:tcPr>
            <w:tcW w:w="889" w:type="dxa"/>
          </w:tcPr>
          <w:p>
            <w:pPr>
              <w:rPr>
                <w:color w:val="000000"/>
              </w:rPr>
            </w:pPr>
          </w:p>
        </w:tc>
        <w:tc>
          <w:tcPr>
            <w:tcW w:w="793" w:type="dxa"/>
          </w:tcPr>
          <w:p>
            <w:pPr>
              <w:rPr>
                <w:color w:val="000000"/>
              </w:rPr>
            </w:pPr>
          </w:p>
        </w:tc>
        <w:tc>
          <w:tcPr>
            <w:tcW w:w="1139"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05" w:type="dxa"/>
          </w:tcPr>
          <w:p>
            <w:pPr>
              <w:rPr>
                <w:color w:val="000000"/>
              </w:rPr>
            </w:pPr>
          </w:p>
        </w:tc>
        <w:tc>
          <w:tcPr>
            <w:tcW w:w="2056" w:type="dxa"/>
          </w:tcPr>
          <w:p>
            <w:pPr>
              <w:rPr>
                <w:color w:val="000000"/>
              </w:rPr>
            </w:pPr>
          </w:p>
        </w:tc>
        <w:tc>
          <w:tcPr>
            <w:tcW w:w="715" w:type="dxa"/>
          </w:tcPr>
          <w:p>
            <w:pPr>
              <w:rPr>
                <w:color w:val="000000"/>
              </w:rPr>
            </w:pPr>
          </w:p>
        </w:tc>
        <w:tc>
          <w:tcPr>
            <w:tcW w:w="635" w:type="dxa"/>
          </w:tcPr>
          <w:p>
            <w:pPr>
              <w:rPr>
                <w:color w:val="000000"/>
              </w:rPr>
            </w:pPr>
          </w:p>
        </w:tc>
        <w:tc>
          <w:tcPr>
            <w:tcW w:w="715" w:type="dxa"/>
          </w:tcPr>
          <w:p>
            <w:pPr>
              <w:rPr>
                <w:color w:val="000000"/>
              </w:rPr>
            </w:pPr>
          </w:p>
        </w:tc>
        <w:tc>
          <w:tcPr>
            <w:tcW w:w="793" w:type="dxa"/>
          </w:tcPr>
          <w:p>
            <w:pPr>
              <w:rPr>
                <w:color w:val="000000"/>
              </w:rPr>
            </w:pPr>
          </w:p>
        </w:tc>
        <w:tc>
          <w:tcPr>
            <w:tcW w:w="889" w:type="dxa"/>
          </w:tcPr>
          <w:p>
            <w:pPr>
              <w:rPr>
                <w:color w:val="000000"/>
              </w:rPr>
            </w:pPr>
          </w:p>
        </w:tc>
        <w:tc>
          <w:tcPr>
            <w:tcW w:w="793" w:type="dxa"/>
          </w:tcPr>
          <w:p>
            <w:pPr>
              <w:rPr>
                <w:color w:val="000000"/>
              </w:rPr>
            </w:pPr>
          </w:p>
        </w:tc>
        <w:tc>
          <w:tcPr>
            <w:tcW w:w="1139"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05" w:type="dxa"/>
          </w:tcPr>
          <w:p>
            <w:pPr>
              <w:rPr>
                <w:color w:val="000000"/>
              </w:rPr>
            </w:pPr>
          </w:p>
        </w:tc>
        <w:tc>
          <w:tcPr>
            <w:tcW w:w="2056" w:type="dxa"/>
          </w:tcPr>
          <w:p>
            <w:pPr>
              <w:rPr>
                <w:color w:val="000000"/>
              </w:rPr>
            </w:pPr>
          </w:p>
        </w:tc>
        <w:tc>
          <w:tcPr>
            <w:tcW w:w="715" w:type="dxa"/>
          </w:tcPr>
          <w:p>
            <w:pPr>
              <w:rPr>
                <w:color w:val="000000"/>
              </w:rPr>
            </w:pPr>
          </w:p>
        </w:tc>
        <w:tc>
          <w:tcPr>
            <w:tcW w:w="635" w:type="dxa"/>
          </w:tcPr>
          <w:p>
            <w:pPr>
              <w:rPr>
                <w:color w:val="000000"/>
              </w:rPr>
            </w:pPr>
          </w:p>
        </w:tc>
        <w:tc>
          <w:tcPr>
            <w:tcW w:w="715" w:type="dxa"/>
          </w:tcPr>
          <w:p>
            <w:pPr>
              <w:rPr>
                <w:color w:val="000000"/>
              </w:rPr>
            </w:pPr>
          </w:p>
        </w:tc>
        <w:tc>
          <w:tcPr>
            <w:tcW w:w="793" w:type="dxa"/>
          </w:tcPr>
          <w:p>
            <w:pPr>
              <w:rPr>
                <w:color w:val="000000"/>
              </w:rPr>
            </w:pPr>
          </w:p>
        </w:tc>
        <w:tc>
          <w:tcPr>
            <w:tcW w:w="889" w:type="dxa"/>
          </w:tcPr>
          <w:p>
            <w:pPr>
              <w:rPr>
                <w:color w:val="000000"/>
              </w:rPr>
            </w:pPr>
          </w:p>
        </w:tc>
        <w:tc>
          <w:tcPr>
            <w:tcW w:w="793" w:type="dxa"/>
          </w:tcPr>
          <w:p>
            <w:pPr>
              <w:rPr>
                <w:color w:val="000000"/>
              </w:rPr>
            </w:pPr>
          </w:p>
        </w:tc>
        <w:tc>
          <w:tcPr>
            <w:tcW w:w="1139"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05" w:type="dxa"/>
          </w:tcPr>
          <w:p>
            <w:pPr>
              <w:rPr>
                <w:color w:val="000000"/>
              </w:rPr>
            </w:pPr>
          </w:p>
        </w:tc>
        <w:tc>
          <w:tcPr>
            <w:tcW w:w="2056" w:type="dxa"/>
          </w:tcPr>
          <w:p>
            <w:pPr>
              <w:rPr>
                <w:color w:val="000000"/>
              </w:rPr>
            </w:pPr>
          </w:p>
        </w:tc>
        <w:tc>
          <w:tcPr>
            <w:tcW w:w="715" w:type="dxa"/>
          </w:tcPr>
          <w:p>
            <w:pPr>
              <w:rPr>
                <w:color w:val="000000"/>
              </w:rPr>
            </w:pPr>
          </w:p>
        </w:tc>
        <w:tc>
          <w:tcPr>
            <w:tcW w:w="635" w:type="dxa"/>
          </w:tcPr>
          <w:p>
            <w:pPr>
              <w:rPr>
                <w:color w:val="000000"/>
              </w:rPr>
            </w:pPr>
          </w:p>
        </w:tc>
        <w:tc>
          <w:tcPr>
            <w:tcW w:w="715" w:type="dxa"/>
          </w:tcPr>
          <w:p>
            <w:pPr>
              <w:rPr>
                <w:color w:val="000000"/>
              </w:rPr>
            </w:pPr>
          </w:p>
        </w:tc>
        <w:tc>
          <w:tcPr>
            <w:tcW w:w="793" w:type="dxa"/>
          </w:tcPr>
          <w:p>
            <w:pPr>
              <w:rPr>
                <w:color w:val="000000"/>
              </w:rPr>
            </w:pPr>
          </w:p>
        </w:tc>
        <w:tc>
          <w:tcPr>
            <w:tcW w:w="889" w:type="dxa"/>
          </w:tcPr>
          <w:p>
            <w:pPr>
              <w:rPr>
                <w:color w:val="000000"/>
              </w:rPr>
            </w:pPr>
          </w:p>
        </w:tc>
        <w:tc>
          <w:tcPr>
            <w:tcW w:w="793" w:type="dxa"/>
          </w:tcPr>
          <w:p>
            <w:pPr>
              <w:rPr>
                <w:color w:val="000000"/>
              </w:rPr>
            </w:pPr>
          </w:p>
        </w:tc>
        <w:tc>
          <w:tcPr>
            <w:tcW w:w="1139"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05" w:type="dxa"/>
          </w:tcPr>
          <w:p>
            <w:pPr>
              <w:rPr>
                <w:color w:val="000000"/>
              </w:rPr>
            </w:pPr>
          </w:p>
        </w:tc>
        <w:tc>
          <w:tcPr>
            <w:tcW w:w="2056" w:type="dxa"/>
          </w:tcPr>
          <w:p>
            <w:pPr>
              <w:rPr>
                <w:color w:val="000000"/>
              </w:rPr>
            </w:pPr>
          </w:p>
        </w:tc>
        <w:tc>
          <w:tcPr>
            <w:tcW w:w="715" w:type="dxa"/>
          </w:tcPr>
          <w:p>
            <w:pPr>
              <w:rPr>
                <w:color w:val="000000"/>
              </w:rPr>
            </w:pPr>
          </w:p>
        </w:tc>
        <w:tc>
          <w:tcPr>
            <w:tcW w:w="635" w:type="dxa"/>
          </w:tcPr>
          <w:p>
            <w:pPr>
              <w:rPr>
                <w:color w:val="000000"/>
              </w:rPr>
            </w:pPr>
          </w:p>
        </w:tc>
        <w:tc>
          <w:tcPr>
            <w:tcW w:w="715" w:type="dxa"/>
          </w:tcPr>
          <w:p>
            <w:pPr>
              <w:rPr>
                <w:color w:val="000000"/>
              </w:rPr>
            </w:pPr>
          </w:p>
        </w:tc>
        <w:tc>
          <w:tcPr>
            <w:tcW w:w="793" w:type="dxa"/>
          </w:tcPr>
          <w:p>
            <w:pPr>
              <w:rPr>
                <w:color w:val="000000"/>
              </w:rPr>
            </w:pPr>
          </w:p>
        </w:tc>
        <w:tc>
          <w:tcPr>
            <w:tcW w:w="889" w:type="dxa"/>
          </w:tcPr>
          <w:p>
            <w:pPr>
              <w:rPr>
                <w:color w:val="000000"/>
              </w:rPr>
            </w:pPr>
          </w:p>
        </w:tc>
        <w:tc>
          <w:tcPr>
            <w:tcW w:w="793" w:type="dxa"/>
          </w:tcPr>
          <w:p>
            <w:pPr>
              <w:rPr>
                <w:color w:val="000000"/>
              </w:rPr>
            </w:pPr>
          </w:p>
        </w:tc>
        <w:tc>
          <w:tcPr>
            <w:tcW w:w="1139"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05" w:type="dxa"/>
          </w:tcPr>
          <w:p>
            <w:pPr>
              <w:rPr>
                <w:color w:val="000000"/>
              </w:rPr>
            </w:pPr>
          </w:p>
        </w:tc>
        <w:tc>
          <w:tcPr>
            <w:tcW w:w="2056" w:type="dxa"/>
          </w:tcPr>
          <w:p>
            <w:pPr>
              <w:rPr>
                <w:color w:val="000000"/>
              </w:rPr>
            </w:pPr>
          </w:p>
        </w:tc>
        <w:tc>
          <w:tcPr>
            <w:tcW w:w="715" w:type="dxa"/>
          </w:tcPr>
          <w:p>
            <w:pPr>
              <w:rPr>
                <w:color w:val="000000"/>
              </w:rPr>
            </w:pPr>
          </w:p>
        </w:tc>
        <w:tc>
          <w:tcPr>
            <w:tcW w:w="635" w:type="dxa"/>
          </w:tcPr>
          <w:p>
            <w:pPr>
              <w:rPr>
                <w:color w:val="000000"/>
              </w:rPr>
            </w:pPr>
          </w:p>
        </w:tc>
        <w:tc>
          <w:tcPr>
            <w:tcW w:w="715" w:type="dxa"/>
          </w:tcPr>
          <w:p>
            <w:pPr>
              <w:rPr>
                <w:color w:val="000000"/>
              </w:rPr>
            </w:pPr>
          </w:p>
        </w:tc>
        <w:tc>
          <w:tcPr>
            <w:tcW w:w="793" w:type="dxa"/>
          </w:tcPr>
          <w:p>
            <w:pPr>
              <w:rPr>
                <w:color w:val="000000"/>
              </w:rPr>
            </w:pPr>
          </w:p>
        </w:tc>
        <w:tc>
          <w:tcPr>
            <w:tcW w:w="889" w:type="dxa"/>
          </w:tcPr>
          <w:p>
            <w:pPr>
              <w:rPr>
                <w:color w:val="000000"/>
              </w:rPr>
            </w:pPr>
          </w:p>
        </w:tc>
        <w:tc>
          <w:tcPr>
            <w:tcW w:w="793" w:type="dxa"/>
          </w:tcPr>
          <w:p>
            <w:pPr>
              <w:rPr>
                <w:color w:val="000000"/>
              </w:rPr>
            </w:pPr>
          </w:p>
        </w:tc>
        <w:tc>
          <w:tcPr>
            <w:tcW w:w="1139"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05" w:type="dxa"/>
          </w:tcPr>
          <w:p>
            <w:pPr>
              <w:rPr>
                <w:color w:val="000000"/>
              </w:rPr>
            </w:pPr>
          </w:p>
        </w:tc>
        <w:tc>
          <w:tcPr>
            <w:tcW w:w="2056" w:type="dxa"/>
          </w:tcPr>
          <w:p>
            <w:pPr>
              <w:rPr>
                <w:color w:val="000000"/>
              </w:rPr>
            </w:pPr>
          </w:p>
        </w:tc>
        <w:tc>
          <w:tcPr>
            <w:tcW w:w="715" w:type="dxa"/>
          </w:tcPr>
          <w:p>
            <w:pPr>
              <w:rPr>
                <w:color w:val="000000"/>
              </w:rPr>
            </w:pPr>
          </w:p>
        </w:tc>
        <w:tc>
          <w:tcPr>
            <w:tcW w:w="635" w:type="dxa"/>
          </w:tcPr>
          <w:p>
            <w:pPr>
              <w:rPr>
                <w:color w:val="000000"/>
              </w:rPr>
            </w:pPr>
          </w:p>
        </w:tc>
        <w:tc>
          <w:tcPr>
            <w:tcW w:w="715" w:type="dxa"/>
          </w:tcPr>
          <w:p>
            <w:pPr>
              <w:rPr>
                <w:color w:val="000000"/>
              </w:rPr>
            </w:pPr>
          </w:p>
        </w:tc>
        <w:tc>
          <w:tcPr>
            <w:tcW w:w="793" w:type="dxa"/>
          </w:tcPr>
          <w:p>
            <w:pPr>
              <w:rPr>
                <w:color w:val="000000"/>
              </w:rPr>
            </w:pPr>
          </w:p>
        </w:tc>
        <w:tc>
          <w:tcPr>
            <w:tcW w:w="889" w:type="dxa"/>
          </w:tcPr>
          <w:p>
            <w:pPr>
              <w:rPr>
                <w:color w:val="000000"/>
              </w:rPr>
            </w:pPr>
          </w:p>
        </w:tc>
        <w:tc>
          <w:tcPr>
            <w:tcW w:w="793" w:type="dxa"/>
          </w:tcPr>
          <w:p>
            <w:pPr>
              <w:rPr>
                <w:color w:val="000000"/>
              </w:rPr>
            </w:pPr>
          </w:p>
        </w:tc>
        <w:tc>
          <w:tcPr>
            <w:tcW w:w="1139" w:type="dxa"/>
          </w:tcPr>
          <w:p>
            <w:pPr>
              <w:rPr>
                <w:color w:val="000000"/>
              </w:rPr>
            </w:pPr>
          </w:p>
        </w:tc>
      </w:tr>
    </w:tbl>
    <w:p>
      <w:pPr>
        <w:ind w:firstLine="240" w:firstLineChars="100"/>
        <w:rPr>
          <w:sz w:val="24"/>
        </w:rPr>
      </w:pPr>
      <w:r>
        <w:rPr>
          <w:rFonts w:hint="eastAsia"/>
          <w:sz w:val="24"/>
        </w:rPr>
        <w:t>备注：本表可横向编排，可按同样格式扩展。</w:t>
      </w:r>
    </w:p>
    <w:p>
      <w:pPr>
        <w:ind w:firstLine="220" w:firstLineChars="100"/>
      </w:pPr>
    </w:p>
    <w:p>
      <w:pPr>
        <w:jc w:val="center"/>
        <w:rPr>
          <w:b/>
          <w:sz w:val="24"/>
        </w:rPr>
      </w:pPr>
      <w:r>
        <w:rPr>
          <w:rFonts w:hint="eastAsia"/>
          <w:b/>
          <w:sz w:val="24"/>
        </w:rPr>
        <w:t>目前在施和新承接工程一览表</w:t>
      </w:r>
    </w:p>
    <w:p>
      <w:pPr>
        <w:jc w:val="center"/>
        <w:rPr>
          <w:b/>
          <w:sz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809"/>
        <w:gridCol w:w="1356"/>
        <w:gridCol w:w="1173"/>
        <w:gridCol w:w="1188"/>
        <w:gridCol w:w="1387"/>
        <w:gridCol w:w="1505"/>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356" w:type="dxa"/>
            <w:gridSpan w:val="2"/>
            <w:vAlign w:val="center"/>
          </w:tcPr>
          <w:p>
            <w:pPr>
              <w:jc w:val="center"/>
              <w:rPr>
                <w:color w:val="000000"/>
                <w:sz w:val="24"/>
              </w:rPr>
            </w:pPr>
            <w:r>
              <w:rPr>
                <w:rFonts w:hint="eastAsia"/>
                <w:color w:val="000000"/>
                <w:sz w:val="24"/>
              </w:rPr>
              <w:t>工程名称</w:t>
            </w:r>
          </w:p>
        </w:tc>
        <w:tc>
          <w:tcPr>
            <w:tcW w:w="1356" w:type="dxa"/>
            <w:vAlign w:val="center"/>
          </w:tcPr>
          <w:p>
            <w:pPr>
              <w:jc w:val="center"/>
              <w:rPr>
                <w:color w:val="000000"/>
                <w:sz w:val="24"/>
              </w:rPr>
            </w:pPr>
            <w:r>
              <w:rPr>
                <w:rFonts w:hint="eastAsia"/>
                <w:color w:val="000000"/>
                <w:sz w:val="24"/>
              </w:rPr>
              <w:t>工程类型</w:t>
            </w:r>
          </w:p>
        </w:tc>
        <w:tc>
          <w:tcPr>
            <w:tcW w:w="1173" w:type="dxa"/>
            <w:vAlign w:val="center"/>
          </w:tcPr>
          <w:p>
            <w:pPr>
              <w:jc w:val="center"/>
              <w:rPr>
                <w:color w:val="000000"/>
                <w:sz w:val="24"/>
              </w:rPr>
            </w:pPr>
            <w:r>
              <w:rPr>
                <w:rFonts w:hint="eastAsia"/>
                <w:color w:val="000000"/>
                <w:sz w:val="24"/>
              </w:rPr>
              <w:t>建筑规模（</w:t>
            </w:r>
            <w:r>
              <w:rPr>
                <w:color w:val="000000"/>
                <w:sz w:val="24"/>
              </w:rPr>
              <w:t>m2</w:t>
            </w:r>
            <w:r>
              <w:rPr>
                <w:rFonts w:hint="eastAsia"/>
                <w:color w:val="000000"/>
                <w:sz w:val="24"/>
              </w:rPr>
              <w:t>）</w:t>
            </w:r>
          </w:p>
        </w:tc>
        <w:tc>
          <w:tcPr>
            <w:tcW w:w="1188" w:type="dxa"/>
            <w:vAlign w:val="center"/>
          </w:tcPr>
          <w:p>
            <w:pPr>
              <w:jc w:val="center"/>
              <w:rPr>
                <w:color w:val="000000"/>
                <w:sz w:val="24"/>
              </w:rPr>
            </w:pPr>
            <w:r>
              <w:rPr>
                <w:rFonts w:hint="eastAsia"/>
                <w:color w:val="000000"/>
                <w:sz w:val="24"/>
              </w:rPr>
              <w:t>合同金额（万元）</w:t>
            </w:r>
          </w:p>
        </w:tc>
        <w:tc>
          <w:tcPr>
            <w:tcW w:w="1387" w:type="dxa"/>
            <w:vAlign w:val="center"/>
          </w:tcPr>
          <w:p>
            <w:pPr>
              <w:jc w:val="center"/>
              <w:rPr>
                <w:color w:val="000000"/>
                <w:sz w:val="24"/>
              </w:rPr>
            </w:pPr>
            <w:r>
              <w:rPr>
                <w:rFonts w:hint="eastAsia"/>
                <w:color w:val="000000"/>
                <w:sz w:val="24"/>
              </w:rPr>
              <w:t>开竣工日期</w:t>
            </w:r>
          </w:p>
        </w:tc>
        <w:tc>
          <w:tcPr>
            <w:tcW w:w="1505" w:type="dxa"/>
            <w:vAlign w:val="center"/>
          </w:tcPr>
          <w:p>
            <w:pPr>
              <w:jc w:val="center"/>
              <w:rPr>
                <w:color w:val="000000"/>
                <w:sz w:val="24"/>
              </w:rPr>
            </w:pPr>
            <w:r>
              <w:rPr>
                <w:rFonts w:hint="eastAsia"/>
                <w:color w:val="000000"/>
                <w:sz w:val="24"/>
              </w:rPr>
              <w:t>已投入的资金和技术人员数量</w:t>
            </w:r>
          </w:p>
        </w:tc>
        <w:tc>
          <w:tcPr>
            <w:tcW w:w="1585" w:type="dxa"/>
            <w:vAlign w:val="center"/>
          </w:tcPr>
          <w:p>
            <w:pPr>
              <w:jc w:val="center"/>
              <w:rPr>
                <w:color w:val="000000"/>
                <w:sz w:val="24"/>
              </w:rPr>
            </w:pPr>
            <w:r>
              <w:rPr>
                <w:rFonts w:hint="eastAsia"/>
                <w:color w:val="000000"/>
                <w:sz w:val="24"/>
              </w:rPr>
              <w:t>建设单位</w:t>
            </w:r>
          </w:p>
          <w:p>
            <w:pPr>
              <w:jc w:val="center"/>
              <w:rPr>
                <w:color w:val="000000"/>
                <w:sz w:val="24"/>
              </w:rPr>
            </w:pPr>
            <w:r>
              <w:rPr>
                <w:rFonts w:hint="eastAsia"/>
                <w:color w:val="000000"/>
                <w:sz w:val="24"/>
              </w:rPr>
              <w:t>（名称、联系人和联系电话）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356" w:type="dxa"/>
            <w:gridSpan w:val="2"/>
          </w:tcPr>
          <w:p>
            <w:pPr>
              <w:rPr>
                <w:color w:val="000000"/>
                <w:sz w:val="28"/>
              </w:rPr>
            </w:pPr>
          </w:p>
        </w:tc>
        <w:tc>
          <w:tcPr>
            <w:tcW w:w="1356" w:type="dxa"/>
          </w:tcPr>
          <w:p>
            <w:pPr>
              <w:rPr>
                <w:color w:val="000000"/>
                <w:sz w:val="28"/>
              </w:rPr>
            </w:pPr>
          </w:p>
        </w:tc>
        <w:tc>
          <w:tcPr>
            <w:tcW w:w="1173" w:type="dxa"/>
          </w:tcPr>
          <w:p>
            <w:pPr>
              <w:rPr>
                <w:color w:val="000000"/>
                <w:sz w:val="28"/>
              </w:rPr>
            </w:pPr>
          </w:p>
        </w:tc>
        <w:tc>
          <w:tcPr>
            <w:tcW w:w="1188" w:type="dxa"/>
          </w:tcPr>
          <w:p>
            <w:pPr>
              <w:rPr>
                <w:color w:val="000000"/>
                <w:sz w:val="28"/>
              </w:rPr>
            </w:pPr>
          </w:p>
        </w:tc>
        <w:tc>
          <w:tcPr>
            <w:tcW w:w="1387" w:type="dxa"/>
          </w:tcPr>
          <w:p>
            <w:pPr>
              <w:rPr>
                <w:color w:val="000000"/>
                <w:sz w:val="28"/>
              </w:rPr>
            </w:pPr>
          </w:p>
        </w:tc>
        <w:tc>
          <w:tcPr>
            <w:tcW w:w="1505" w:type="dxa"/>
          </w:tcPr>
          <w:p>
            <w:pPr>
              <w:rPr>
                <w:color w:val="000000"/>
                <w:sz w:val="28"/>
              </w:rPr>
            </w:pPr>
          </w:p>
        </w:tc>
        <w:tc>
          <w:tcPr>
            <w:tcW w:w="1585" w:type="dxa"/>
          </w:tcPr>
          <w:p>
            <w:pP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56" w:type="dxa"/>
            <w:gridSpan w:val="2"/>
          </w:tcPr>
          <w:p>
            <w:pPr>
              <w:rPr>
                <w:color w:val="000000"/>
                <w:sz w:val="28"/>
              </w:rPr>
            </w:pPr>
          </w:p>
        </w:tc>
        <w:tc>
          <w:tcPr>
            <w:tcW w:w="1356" w:type="dxa"/>
          </w:tcPr>
          <w:p>
            <w:pPr>
              <w:rPr>
                <w:color w:val="000000"/>
                <w:sz w:val="28"/>
              </w:rPr>
            </w:pPr>
          </w:p>
        </w:tc>
        <w:tc>
          <w:tcPr>
            <w:tcW w:w="1173" w:type="dxa"/>
          </w:tcPr>
          <w:p>
            <w:pPr>
              <w:rPr>
                <w:color w:val="000000"/>
                <w:sz w:val="28"/>
              </w:rPr>
            </w:pPr>
          </w:p>
        </w:tc>
        <w:tc>
          <w:tcPr>
            <w:tcW w:w="1188" w:type="dxa"/>
          </w:tcPr>
          <w:p>
            <w:pPr>
              <w:rPr>
                <w:color w:val="000000"/>
                <w:sz w:val="28"/>
              </w:rPr>
            </w:pPr>
          </w:p>
        </w:tc>
        <w:tc>
          <w:tcPr>
            <w:tcW w:w="1387" w:type="dxa"/>
          </w:tcPr>
          <w:p>
            <w:pPr>
              <w:rPr>
                <w:color w:val="000000"/>
                <w:sz w:val="28"/>
              </w:rPr>
            </w:pPr>
          </w:p>
        </w:tc>
        <w:tc>
          <w:tcPr>
            <w:tcW w:w="1505" w:type="dxa"/>
          </w:tcPr>
          <w:p>
            <w:pPr>
              <w:rPr>
                <w:color w:val="000000"/>
                <w:sz w:val="28"/>
              </w:rPr>
            </w:pPr>
          </w:p>
        </w:tc>
        <w:tc>
          <w:tcPr>
            <w:tcW w:w="1585" w:type="dxa"/>
          </w:tcPr>
          <w:p>
            <w:pP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56" w:type="dxa"/>
            <w:gridSpan w:val="2"/>
          </w:tcPr>
          <w:p>
            <w:pPr>
              <w:rPr>
                <w:color w:val="000000"/>
                <w:sz w:val="28"/>
              </w:rPr>
            </w:pPr>
          </w:p>
        </w:tc>
        <w:tc>
          <w:tcPr>
            <w:tcW w:w="1356" w:type="dxa"/>
          </w:tcPr>
          <w:p>
            <w:pPr>
              <w:rPr>
                <w:color w:val="000000"/>
                <w:sz w:val="28"/>
              </w:rPr>
            </w:pPr>
          </w:p>
        </w:tc>
        <w:tc>
          <w:tcPr>
            <w:tcW w:w="1173" w:type="dxa"/>
          </w:tcPr>
          <w:p>
            <w:pPr>
              <w:rPr>
                <w:color w:val="000000"/>
                <w:sz w:val="28"/>
              </w:rPr>
            </w:pPr>
          </w:p>
        </w:tc>
        <w:tc>
          <w:tcPr>
            <w:tcW w:w="1188" w:type="dxa"/>
          </w:tcPr>
          <w:p>
            <w:pPr>
              <w:rPr>
                <w:color w:val="000000"/>
                <w:sz w:val="28"/>
              </w:rPr>
            </w:pPr>
          </w:p>
        </w:tc>
        <w:tc>
          <w:tcPr>
            <w:tcW w:w="1387" w:type="dxa"/>
          </w:tcPr>
          <w:p>
            <w:pPr>
              <w:rPr>
                <w:color w:val="000000"/>
                <w:sz w:val="28"/>
              </w:rPr>
            </w:pPr>
          </w:p>
        </w:tc>
        <w:tc>
          <w:tcPr>
            <w:tcW w:w="1505" w:type="dxa"/>
          </w:tcPr>
          <w:p>
            <w:pPr>
              <w:rPr>
                <w:color w:val="000000"/>
                <w:sz w:val="28"/>
              </w:rPr>
            </w:pPr>
          </w:p>
        </w:tc>
        <w:tc>
          <w:tcPr>
            <w:tcW w:w="1585" w:type="dxa"/>
          </w:tcPr>
          <w:p>
            <w:pP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356" w:type="dxa"/>
            <w:gridSpan w:val="2"/>
          </w:tcPr>
          <w:p>
            <w:pPr>
              <w:rPr>
                <w:color w:val="000000"/>
                <w:sz w:val="28"/>
              </w:rPr>
            </w:pPr>
          </w:p>
        </w:tc>
        <w:tc>
          <w:tcPr>
            <w:tcW w:w="1356" w:type="dxa"/>
          </w:tcPr>
          <w:p>
            <w:pPr>
              <w:rPr>
                <w:color w:val="000000"/>
                <w:sz w:val="28"/>
              </w:rPr>
            </w:pPr>
          </w:p>
        </w:tc>
        <w:tc>
          <w:tcPr>
            <w:tcW w:w="1173" w:type="dxa"/>
          </w:tcPr>
          <w:p>
            <w:pPr>
              <w:rPr>
                <w:color w:val="000000"/>
                <w:sz w:val="28"/>
              </w:rPr>
            </w:pPr>
          </w:p>
        </w:tc>
        <w:tc>
          <w:tcPr>
            <w:tcW w:w="1188" w:type="dxa"/>
          </w:tcPr>
          <w:p>
            <w:pPr>
              <w:rPr>
                <w:color w:val="000000"/>
                <w:sz w:val="28"/>
              </w:rPr>
            </w:pPr>
          </w:p>
        </w:tc>
        <w:tc>
          <w:tcPr>
            <w:tcW w:w="1387" w:type="dxa"/>
          </w:tcPr>
          <w:p>
            <w:pPr>
              <w:rPr>
                <w:color w:val="000000"/>
                <w:sz w:val="28"/>
              </w:rPr>
            </w:pPr>
          </w:p>
        </w:tc>
        <w:tc>
          <w:tcPr>
            <w:tcW w:w="1505" w:type="dxa"/>
          </w:tcPr>
          <w:p>
            <w:pPr>
              <w:rPr>
                <w:color w:val="000000"/>
                <w:sz w:val="28"/>
              </w:rPr>
            </w:pPr>
          </w:p>
        </w:tc>
        <w:tc>
          <w:tcPr>
            <w:tcW w:w="1585" w:type="dxa"/>
          </w:tcPr>
          <w:p>
            <w:pP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356" w:type="dxa"/>
            <w:gridSpan w:val="2"/>
          </w:tcPr>
          <w:p>
            <w:pPr>
              <w:rPr>
                <w:color w:val="000000"/>
                <w:sz w:val="28"/>
              </w:rPr>
            </w:pPr>
          </w:p>
        </w:tc>
        <w:tc>
          <w:tcPr>
            <w:tcW w:w="1356" w:type="dxa"/>
          </w:tcPr>
          <w:p>
            <w:pPr>
              <w:rPr>
                <w:color w:val="000000"/>
                <w:sz w:val="28"/>
              </w:rPr>
            </w:pPr>
          </w:p>
        </w:tc>
        <w:tc>
          <w:tcPr>
            <w:tcW w:w="1173" w:type="dxa"/>
          </w:tcPr>
          <w:p>
            <w:pPr>
              <w:rPr>
                <w:color w:val="000000"/>
                <w:sz w:val="28"/>
              </w:rPr>
            </w:pPr>
          </w:p>
        </w:tc>
        <w:tc>
          <w:tcPr>
            <w:tcW w:w="1188" w:type="dxa"/>
          </w:tcPr>
          <w:p>
            <w:pPr>
              <w:rPr>
                <w:color w:val="000000"/>
                <w:sz w:val="28"/>
              </w:rPr>
            </w:pPr>
          </w:p>
        </w:tc>
        <w:tc>
          <w:tcPr>
            <w:tcW w:w="1387" w:type="dxa"/>
          </w:tcPr>
          <w:p>
            <w:pPr>
              <w:rPr>
                <w:color w:val="000000"/>
                <w:sz w:val="28"/>
              </w:rPr>
            </w:pPr>
          </w:p>
        </w:tc>
        <w:tc>
          <w:tcPr>
            <w:tcW w:w="1505" w:type="dxa"/>
          </w:tcPr>
          <w:p>
            <w:pPr>
              <w:rPr>
                <w:color w:val="000000"/>
                <w:sz w:val="28"/>
              </w:rPr>
            </w:pPr>
          </w:p>
        </w:tc>
        <w:tc>
          <w:tcPr>
            <w:tcW w:w="1585" w:type="dxa"/>
          </w:tcPr>
          <w:p>
            <w:pP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356" w:type="dxa"/>
            <w:gridSpan w:val="2"/>
          </w:tcPr>
          <w:p>
            <w:pPr>
              <w:rPr>
                <w:color w:val="000000"/>
                <w:sz w:val="28"/>
              </w:rPr>
            </w:pPr>
          </w:p>
        </w:tc>
        <w:tc>
          <w:tcPr>
            <w:tcW w:w="1356" w:type="dxa"/>
          </w:tcPr>
          <w:p>
            <w:pPr>
              <w:rPr>
                <w:color w:val="000000"/>
                <w:sz w:val="28"/>
              </w:rPr>
            </w:pPr>
          </w:p>
        </w:tc>
        <w:tc>
          <w:tcPr>
            <w:tcW w:w="1173" w:type="dxa"/>
          </w:tcPr>
          <w:p>
            <w:pPr>
              <w:rPr>
                <w:color w:val="000000"/>
                <w:sz w:val="28"/>
              </w:rPr>
            </w:pPr>
          </w:p>
        </w:tc>
        <w:tc>
          <w:tcPr>
            <w:tcW w:w="1188" w:type="dxa"/>
          </w:tcPr>
          <w:p>
            <w:pPr>
              <w:rPr>
                <w:color w:val="000000"/>
                <w:sz w:val="28"/>
              </w:rPr>
            </w:pPr>
          </w:p>
        </w:tc>
        <w:tc>
          <w:tcPr>
            <w:tcW w:w="1387" w:type="dxa"/>
          </w:tcPr>
          <w:p>
            <w:pPr>
              <w:rPr>
                <w:color w:val="000000"/>
                <w:sz w:val="28"/>
              </w:rPr>
            </w:pPr>
          </w:p>
        </w:tc>
        <w:tc>
          <w:tcPr>
            <w:tcW w:w="1505" w:type="dxa"/>
          </w:tcPr>
          <w:p>
            <w:pPr>
              <w:rPr>
                <w:color w:val="000000"/>
                <w:sz w:val="28"/>
              </w:rPr>
            </w:pPr>
          </w:p>
        </w:tc>
        <w:tc>
          <w:tcPr>
            <w:tcW w:w="1585" w:type="dxa"/>
          </w:tcPr>
          <w:p>
            <w:pP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356" w:type="dxa"/>
            <w:gridSpan w:val="2"/>
          </w:tcPr>
          <w:p>
            <w:pPr>
              <w:rPr>
                <w:color w:val="000000"/>
                <w:sz w:val="28"/>
              </w:rPr>
            </w:pPr>
          </w:p>
        </w:tc>
        <w:tc>
          <w:tcPr>
            <w:tcW w:w="1356" w:type="dxa"/>
          </w:tcPr>
          <w:p>
            <w:pPr>
              <w:rPr>
                <w:color w:val="000000"/>
                <w:sz w:val="28"/>
              </w:rPr>
            </w:pPr>
          </w:p>
        </w:tc>
        <w:tc>
          <w:tcPr>
            <w:tcW w:w="1173" w:type="dxa"/>
          </w:tcPr>
          <w:p>
            <w:pPr>
              <w:rPr>
                <w:color w:val="000000"/>
                <w:sz w:val="28"/>
              </w:rPr>
            </w:pPr>
          </w:p>
        </w:tc>
        <w:tc>
          <w:tcPr>
            <w:tcW w:w="1188" w:type="dxa"/>
          </w:tcPr>
          <w:p>
            <w:pPr>
              <w:rPr>
                <w:color w:val="000000"/>
                <w:sz w:val="28"/>
              </w:rPr>
            </w:pPr>
          </w:p>
        </w:tc>
        <w:tc>
          <w:tcPr>
            <w:tcW w:w="1387" w:type="dxa"/>
          </w:tcPr>
          <w:p>
            <w:pPr>
              <w:rPr>
                <w:color w:val="000000"/>
                <w:sz w:val="28"/>
              </w:rPr>
            </w:pPr>
          </w:p>
        </w:tc>
        <w:tc>
          <w:tcPr>
            <w:tcW w:w="1505" w:type="dxa"/>
          </w:tcPr>
          <w:p>
            <w:pPr>
              <w:rPr>
                <w:color w:val="000000"/>
                <w:sz w:val="28"/>
              </w:rPr>
            </w:pPr>
          </w:p>
        </w:tc>
        <w:tc>
          <w:tcPr>
            <w:tcW w:w="1585" w:type="dxa"/>
          </w:tcPr>
          <w:p>
            <w:pP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356" w:type="dxa"/>
            <w:gridSpan w:val="2"/>
          </w:tcPr>
          <w:p>
            <w:pPr>
              <w:rPr>
                <w:color w:val="000000"/>
                <w:sz w:val="28"/>
              </w:rPr>
            </w:pPr>
          </w:p>
          <w:p>
            <w:pPr>
              <w:rPr>
                <w:color w:val="000000"/>
                <w:sz w:val="28"/>
              </w:rPr>
            </w:pPr>
          </w:p>
        </w:tc>
        <w:tc>
          <w:tcPr>
            <w:tcW w:w="1356" w:type="dxa"/>
          </w:tcPr>
          <w:p>
            <w:pPr>
              <w:widowControl/>
              <w:rPr>
                <w:color w:val="000000"/>
                <w:sz w:val="28"/>
              </w:rPr>
            </w:pPr>
          </w:p>
          <w:p>
            <w:pPr>
              <w:rPr>
                <w:color w:val="000000"/>
                <w:sz w:val="28"/>
              </w:rPr>
            </w:pPr>
          </w:p>
        </w:tc>
        <w:tc>
          <w:tcPr>
            <w:tcW w:w="1173" w:type="dxa"/>
          </w:tcPr>
          <w:p>
            <w:pPr>
              <w:rPr>
                <w:color w:val="000000"/>
                <w:sz w:val="28"/>
              </w:rPr>
            </w:pPr>
          </w:p>
        </w:tc>
        <w:tc>
          <w:tcPr>
            <w:tcW w:w="1188" w:type="dxa"/>
          </w:tcPr>
          <w:p>
            <w:pPr>
              <w:rPr>
                <w:color w:val="000000"/>
                <w:sz w:val="28"/>
              </w:rPr>
            </w:pPr>
          </w:p>
        </w:tc>
        <w:tc>
          <w:tcPr>
            <w:tcW w:w="1387" w:type="dxa"/>
          </w:tcPr>
          <w:p>
            <w:pPr>
              <w:rPr>
                <w:color w:val="000000"/>
                <w:sz w:val="28"/>
              </w:rPr>
            </w:pPr>
          </w:p>
        </w:tc>
        <w:tc>
          <w:tcPr>
            <w:tcW w:w="1505" w:type="dxa"/>
          </w:tcPr>
          <w:p>
            <w:pPr>
              <w:rPr>
                <w:color w:val="000000"/>
                <w:sz w:val="28"/>
              </w:rPr>
            </w:pPr>
          </w:p>
        </w:tc>
        <w:tc>
          <w:tcPr>
            <w:tcW w:w="1585" w:type="dxa"/>
          </w:tcPr>
          <w:p>
            <w:pP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356" w:type="dxa"/>
            <w:gridSpan w:val="2"/>
          </w:tcPr>
          <w:p>
            <w:pPr>
              <w:rPr>
                <w:color w:val="000000"/>
                <w:sz w:val="28"/>
              </w:rPr>
            </w:pPr>
          </w:p>
        </w:tc>
        <w:tc>
          <w:tcPr>
            <w:tcW w:w="1356" w:type="dxa"/>
          </w:tcPr>
          <w:p>
            <w:pPr>
              <w:rPr>
                <w:color w:val="000000"/>
                <w:sz w:val="28"/>
              </w:rPr>
            </w:pPr>
          </w:p>
        </w:tc>
        <w:tc>
          <w:tcPr>
            <w:tcW w:w="1173" w:type="dxa"/>
          </w:tcPr>
          <w:p>
            <w:pPr>
              <w:rPr>
                <w:color w:val="000000"/>
                <w:sz w:val="28"/>
              </w:rPr>
            </w:pPr>
          </w:p>
        </w:tc>
        <w:tc>
          <w:tcPr>
            <w:tcW w:w="1188" w:type="dxa"/>
          </w:tcPr>
          <w:p>
            <w:pPr>
              <w:rPr>
                <w:color w:val="000000"/>
                <w:sz w:val="28"/>
              </w:rPr>
            </w:pPr>
          </w:p>
        </w:tc>
        <w:tc>
          <w:tcPr>
            <w:tcW w:w="1387" w:type="dxa"/>
          </w:tcPr>
          <w:p>
            <w:pPr>
              <w:rPr>
                <w:color w:val="000000"/>
                <w:sz w:val="28"/>
              </w:rPr>
            </w:pPr>
          </w:p>
        </w:tc>
        <w:tc>
          <w:tcPr>
            <w:tcW w:w="1505" w:type="dxa"/>
          </w:tcPr>
          <w:p>
            <w:pPr>
              <w:rPr>
                <w:color w:val="000000"/>
                <w:sz w:val="28"/>
              </w:rPr>
            </w:pPr>
          </w:p>
        </w:tc>
        <w:tc>
          <w:tcPr>
            <w:tcW w:w="1585" w:type="dxa"/>
          </w:tcPr>
          <w:p>
            <w:pP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jc w:val="center"/>
        </w:trPr>
        <w:tc>
          <w:tcPr>
            <w:tcW w:w="547" w:type="dxa"/>
            <w:vAlign w:val="center"/>
          </w:tcPr>
          <w:p>
            <w:pPr>
              <w:jc w:val="center"/>
              <w:rPr>
                <w:color w:val="000000"/>
                <w:sz w:val="28"/>
              </w:rPr>
            </w:pPr>
            <w:r>
              <w:rPr>
                <w:rFonts w:hint="eastAsia"/>
                <w:color w:val="000000"/>
                <w:sz w:val="28"/>
              </w:rPr>
              <w:t>备</w:t>
            </w:r>
          </w:p>
          <w:p>
            <w:pPr>
              <w:jc w:val="center"/>
              <w:rPr>
                <w:color w:val="000000"/>
                <w:sz w:val="28"/>
              </w:rPr>
            </w:pPr>
            <w:r>
              <w:rPr>
                <w:rFonts w:hint="eastAsia"/>
                <w:color w:val="000000"/>
                <w:sz w:val="28"/>
              </w:rPr>
              <w:t>注</w:t>
            </w:r>
          </w:p>
        </w:tc>
        <w:tc>
          <w:tcPr>
            <w:tcW w:w="9003" w:type="dxa"/>
            <w:gridSpan w:val="7"/>
            <w:vAlign w:val="center"/>
          </w:tcPr>
          <w:p>
            <w:pPr>
              <w:rPr>
                <w:color w:val="000000"/>
                <w:sz w:val="28"/>
              </w:rPr>
            </w:pPr>
          </w:p>
        </w:tc>
      </w:tr>
    </w:tbl>
    <w:p>
      <w:pPr>
        <w:rPr>
          <w:color w:val="000000"/>
          <w:sz w:val="24"/>
        </w:rPr>
      </w:pPr>
      <w:r>
        <w:rPr>
          <w:rFonts w:hint="eastAsia"/>
          <w:color w:val="000000"/>
          <w:sz w:val="24"/>
        </w:rPr>
        <w:t>备注：本表可横向编排，可按同样格式扩展。</w:t>
      </w:r>
    </w:p>
    <w:p>
      <w:pPr>
        <w:rPr>
          <w:color w:val="000000"/>
          <w:sz w:val="24"/>
        </w:rPr>
      </w:pPr>
    </w:p>
    <w:p>
      <w:pPr>
        <w:rPr>
          <w:szCs w:val="21"/>
        </w:rPr>
      </w:pPr>
    </w:p>
    <w:p>
      <w:pPr>
        <w:pStyle w:val="50"/>
        <w:numPr>
          <w:ilvl w:val="0"/>
          <w:numId w:val="0"/>
        </w:numPr>
        <w:spacing w:line="360" w:lineRule="auto"/>
        <w:rPr>
          <w:sz w:val="28"/>
        </w:rPr>
      </w:pPr>
    </w:p>
    <w:p/>
    <w:sectPr>
      <w:headerReference r:id="rId1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Helv">
    <w:altName w:val="Segoe Print"/>
    <w:panose1 w:val="020B060402020203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ind w:firstLine="360"/>
      <w:jc w:val="center"/>
    </w:pPr>
    <w:r>
      <w:fldChar w:fldCharType="begin"/>
    </w:r>
    <w:r>
      <w:instrText xml:space="preserve"> PAGE   \* MERGEFORMAT </w:instrText>
    </w:r>
    <w:r>
      <w:fldChar w:fldCharType="separate"/>
    </w:r>
    <w:r>
      <w:rPr>
        <w:lang w:val="zh-CN"/>
      </w:rPr>
      <w:t>54</w:t>
    </w:r>
    <w:r>
      <w:rPr>
        <w:lang w:val="zh-CN"/>
      </w:rPr>
      <w:fldChar w:fldCharType="end"/>
    </w:r>
  </w:p>
  <w:p>
    <w:pPr>
      <w:pStyle w:val="11"/>
      <w:tabs>
        <w:tab w:val="left" w:pos="7830"/>
        <w:tab w:val="right" w:pos="13598"/>
      </w:tabs>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120</w:t>
    </w:r>
    <w:r>
      <w:rPr>
        <w:lang w:val="zh-CN"/>
      </w:rPr>
      <w:fldChar w:fldCharType="end"/>
    </w:r>
  </w:p>
  <w:p>
    <w:pPr>
      <w:pStyle w:val="1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47</w:t>
    </w:r>
    <w:r>
      <w:rPr>
        <w:lang w:val="zh-CN"/>
      </w:rPr>
      <w:fldChar w:fldCharType="end"/>
    </w:r>
  </w:p>
  <w:p>
    <w:pPr>
      <w:pStyle w:val="11"/>
      <w:tabs>
        <w:tab w:val="left" w:pos="4668"/>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125</w:t>
    </w:r>
    <w:r>
      <w:rPr>
        <w:lang w:val="zh-CN"/>
      </w:rPr>
      <w:fldChar w:fldCharType="end"/>
    </w:r>
  </w:p>
  <w:p>
    <w:pPr>
      <w:pStyle w:val="1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single" w:color="auto" w:sz="4" w:space="0"/>
        <w:right w:val="none" w:color="auto" w:sz="0" w:space="0"/>
      </w:pBdr>
      <w:rPr>
        <w:u w:val="single"/>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0"/>
        <w:right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eastAsia="zh-CN"/>
      </w:rPr>
      <mc:AlternateContent>
        <mc:Choice Requires="wpg">
          <w:drawing>
            <wp:anchor distT="0" distB="0" distL="114300" distR="114300" simplePos="0" relativeHeight="251659264" behindDoc="1" locked="0" layoutInCell="1" allowOverlap="1">
              <wp:simplePos x="0" y="0"/>
              <wp:positionH relativeFrom="page">
                <wp:posOffset>1122680</wp:posOffset>
              </wp:positionH>
              <wp:positionV relativeFrom="page">
                <wp:posOffset>713740</wp:posOffset>
              </wp:positionV>
              <wp:extent cx="5317490" cy="37465"/>
              <wp:effectExtent l="0" t="0" r="16510" b="635"/>
              <wp:wrapNone/>
              <wp:docPr id="3" name="组合 28"/>
              <wp:cNvGraphicFramePr/>
              <a:graphic xmlns:a="http://schemas.openxmlformats.org/drawingml/2006/main">
                <a:graphicData uri="http://schemas.microsoft.com/office/word/2010/wordprocessingGroup">
                  <wpg:wgp>
                    <wpg:cNvGrpSpPr/>
                    <wpg:grpSpPr>
                      <a:xfrm>
                        <a:off x="0" y="0"/>
                        <a:ext cx="5317490" cy="37465"/>
                        <a:chOff x="1768" y="1124"/>
                        <a:chExt cx="8374" cy="59"/>
                      </a:xfrm>
                    </wpg:grpSpPr>
                    <wps:wsp>
                      <wps:cNvPr id="1" name="直接连接符 16"/>
                      <wps:cNvSpPr/>
                      <wps:spPr>
                        <a:xfrm>
                          <a:off x="1768" y="1176"/>
                          <a:ext cx="8373" cy="0"/>
                        </a:xfrm>
                        <a:prstGeom prst="line">
                          <a:avLst/>
                        </a:prstGeom>
                        <a:ln w="9144" cap="flat" cmpd="sng">
                          <a:solidFill>
                            <a:srgbClr val="000000"/>
                          </a:solidFill>
                          <a:prstDash val="solid"/>
                          <a:headEnd type="none" w="med" len="med"/>
                          <a:tailEnd type="none" w="med" len="med"/>
                        </a:ln>
                      </wps:spPr>
                      <wps:bodyPr upright="1"/>
                    </wps:wsp>
                    <wps:wsp>
                      <wps:cNvPr id="2" name="直接连接符 17"/>
                      <wps:cNvSpPr/>
                      <wps:spPr>
                        <a:xfrm>
                          <a:off x="1768" y="1139"/>
                          <a:ext cx="8373" cy="0"/>
                        </a:xfrm>
                        <a:prstGeom prst="line">
                          <a:avLst/>
                        </a:prstGeom>
                        <a:ln w="19050" cap="flat" cmpd="sng">
                          <a:solidFill>
                            <a:srgbClr val="000000"/>
                          </a:solidFill>
                          <a:prstDash val="solid"/>
                          <a:headEnd type="none" w="med" len="med"/>
                          <a:tailEnd type="none" w="med" len="med"/>
                        </a:ln>
                      </wps:spPr>
                      <wps:bodyPr upright="1"/>
                    </wps:wsp>
                  </wpg:wgp>
                </a:graphicData>
              </a:graphic>
            </wp:anchor>
          </w:drawing>
        </mc:Choice>
        <mc:Fallback>
          <w:pict>
            <v:group id="组合 28" o:spid="_x0000_s1026" o:spt="203" style="position:absolute;left:0pt;margin-left:88.4pt;margin-top:56.2pt;height:2.95pt;width:418.7pt;mso-position-horizontal-relative:page;mso-position-vertical-relative:page;z-index:-251657216;mso-width-relative:page;mso-height-relative:page;" coordorigin="1768,1124" coordsize="8374,59" o:gfxdata="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VrJAR2gAAAAwB&#10;AAAPAAAAAAAAAAEAIAAAACIAAABkcnMvZG93bnJldi54bWxQSwECFAAUAAAACACHTuJAXoDVZYsC&#10;AAAhBwAADgAAAAAAAAABACAAAAApAQAAZHJzL2Uyb0RvYy54bWxQSwUGAAAAAAYABgBZAQAAJgYA&#10;AAAA&#10;">
              <o:lock v:ext="edit" aspectratio="f"/>
              <v:line id="直接连接符 16" o:spid="_x0000_s1026" o:spt="20" style="position:absolute;left:1768;top:1176;height:0;width:837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v:line id="直接连接符 17" o:spid="_x0000_s1026" o:spt="20" style="position:absolute;left:1768;top:1139;height:0;width:8373;" filled="f" stroked="t" coordsize="21600,21600" o:gfxdata="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s2zougAAANoA&#10;AAAPAAAAAAAAAAEAIAAAACIAAABkcnMvZG93bnJldi54bWxQSwECFAAUAAAACACHTuJAMy8FnjsA&#10;AAA5AAAAEAAAAAAAAAABACAAAAAJAQAAZHJzL3NoYXBleG1sLnhtbFBLBQYAAAAABgAGAFsBAACz&#10;AwAAAAA=&#10;">
                <v:fill on="f" focussize="0,0"/>
                <v:stroke weight="1.5pt" color="#000000" joinstyle="round"/>
                <v:imagedata o:title=""/>
                <o:lock v:ext="edit" aspectratio="f"/>
              </v:line>
            </v:group>
          </w:pict>
        </mc:Fallback>
      </mc:AlternateContent>
    </w:r>
    <w:r>
      <w:rPr>
        <w:lang w:val="en-US" w:eastAsia="zh-CN"/>
      </w:rPr>
      <mc:AlternateContent>
        <mc:Choice Requires="wps">
          <w:drawing>
            <wp:anchor distT="0" distB="0" distL="114300" distR="114300" simplePos="0" relativeHeight="251660288" behindDoc="1" locked="0" layoutInCell="1" allowOverlap="1">
              <wp:simplePos x="0" y="0"/>
              <wp:positionH relativeFrom="page">
                <wp:posOffset>1129030</wp:posOffset>
              </wp:positionH>
              <wp:positionV relativeFrom="page">
                <wp:posOffset>540385</wp:posOffset>
              </wp:positionV>
              <wp:extent cx="4393565" cy="153035"/>
              <wp:effectExtent l="0" t="0" r="0" b="0"/>
              <wp:wrapNone/>
              <wp:docPr id="4" name="文本框 22"/>
              <wp:cNvGraphicFramePr/>
              <a:graphic xmlns:a="http://schemas.openxmlformats.org/drawingml/2006/main">
                <a:graphicData uri="http://schemas.microsoft.com/office/word/2010/wordprocessingShape">
                  <wps:wsp>
                    <wps:cNvSpPr txBox="1"/>
                    <wps:spPr>
                      <a:xfrm>
                        <a:off x="0" y="0"/>
                        <a:ext cx="4393565" cy="153035"/>
                      </a:xfrm>
                      <a:prstGeom prst="rect">
                        <a:avLst/>
                      </a:prstGeom>
                      <a:noFill/>
                      <a:ln>
                        <a:noFill/>
                      </a:ln>
                    </wps:spPr>
                    <wps:txbx>
                      <w:txbxContent>
                        <w:p>
                          <w:pPr>
                            <w:ind w:left="20"/>
                            <w:rPr>
                              <w:sz w:val="18"/>
                            </w:rPr>
                          </w:pPr>
                          <w:r>
                            <w:rPr>
                              <w:rFonts w:ascii="Times New Roman" w:eastAsia="Times New Roman"/>
                              <w:sz w:val="18"/>
                            </w:rPr>
                            <w:t>.</w:t>
                          </w:r>
                          <w:r>
                            <w:rPr>
                              <w:rFonts w:ascii="Times New Roman" w:eastAsia="Times New Roman"/>
                              <w:sz w:val="18"/>
                            </w:rPr>
                            <w:fldChar w:fldCharType="begin"/>
                          </w:r>
                          <w:r>
                            <w:rPr>
                              <w:rFonts w:ascii="Times New Roman" w:eastAsia="Times New Roman"/>
                              <w:sz w:val="18"/>
                            </w:rPr>
                            <w:instrText xml:space="preserve"> PAGE </w:instrText>
                          </w:r>
                          <w:r>
                            <w:rPr>
                              <w:rFonts w:ascii="Times New Roman" w:eastAsia="Times New Roman"/>
                              <w:sz w:val="18"/>
                            </w:rPr>
                            <w:fldChar w:fldCharType="separate"/>
                          </w:r>
                          <w:r>
                            <w:t>110</w:t>
                          </w:r>
                          <w:r>
                            <w:rPr>
                              <w:rFonts w:ascii="Times New Roman" w:eastAsia="Times New Roman"/>
                              <w:sz w:val="18"/>
                            </w:rPr>
                            <w:fldChar w:fldCharType="end"/>
                          </w:r>
                          <w:r>
                            <w:rPr>
                              <w:rFonts w:ascii="Times New Roman" w:eastAsia="Times New Roman"/>
                              <w:sz w:val="18"/>
                            </w:rPr>
                            <w:t xml:space="preserve">. </w:t>
                          </w:r>
                          <w:r>
                            <w:rPr>
                              <w:rFonts w:hint="eastAsia"/>
                              <w:sz w:val="18"/>
                            </w:rPr>
                            <w:t>北京市房屋建筑和市政工程专业承包施工招标文件示范文本（</w:t>
                          </w:r>
                          <w:r>
                            <w:rPr>
                              <w:rFonts w:ascii="Times New Roman" w:eastAsia="Times New Roman"/>
                              <w:sz w:val="18"/>
                            </w:rPr>
                            <w:t xml:space="preserve">2018 </w:t>
                          </w:r>
                          <w:r>
                            <w:rPr>
                              <w:rFonts w:hint="eastAsia"/>
                              <w:sz w:val="18"/>
                            </w:rPr>
                            <w:t>版）</w:t>
                          </w:r>
                          <w:r>
                            <w:rPr>
                              <w:sz w:val="18"/>
                            </w:rPr>
                            <w:t xml:space="preserve"> </w:t>
                          </w:r>
                          <w:r>
                            <w:rPr>
                              <w:rFonts w:hint="eastAsia"/>
                              <w:sz w:val="18"/>
                            </w:rPr>
                            <w:t>专用部分</w:t>
                          </w:r>
                        </w:p>
                      </w:txbxContent>
                    </wps:txbx>
                    <wps:bodyPr lIns="0" tIns="0" rIns="0" bIns="0" upright="1"/>
                  </wps:wsp>
                </a:graphicData>
              </a:graphic>
            </wp:anchor>
          </w:drawing>
        </mc:Choice>
        <mc:Fallback>
          <w:pict>
            <v:shape id="文本框 22" o:spid="_x0000_s1026" o:spt="202" type="#_x0000_t202" style="position:absolute;left:0pt;margin-left:88.9pt;margin-top:42.55pt;height:12.05pt;width:345.95pt;mso-position-horizontal-relative:page;mso-position-vertical-relative:page;z-index:-251656192;mso-width-relative:page;mso-height-relative:page;" filled="f" stroked="f" coordsize="21600,21600" o:gfxdata="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AAdtcAAAAKAQAADwAAAAAAAAABACAAAAAiAAAAZHJzL2Rvd25yZXYueG1sUEsB&#10;AhQAFAAAAAgAh07iQKiydE+9AQAAcwMAAA4AAAAAAAAAAQAgAAAAJgEAAGRycy9lMm9Eb2MueG1s&#10;UEsFBgAAAAAGAAYAWQEAAFUFAAAAAA==&#10;">
              <v:fill on="f" focussize="0,0"/>
              <v:stroke on="f"/>
              <v:imagedata o:title=""/>
              <o:lock v:ext="edit" aspectratio="f"/>
              <v:textbox inset="0mm,0mm,0mm,0mm">
                <w:txbxContent>
                  <w:p>
                    <w:pPr>
                      <w:ind w:left="20"/>
                      <w:rPr>
                        <w:sz w:val="18"/>
                      </w:rPr>
                    </w:pPr>
                    <w:r>
                      <w:rPr>
                        <w:rFonts w:ascii="Times New Roman" w:eastAsia="Times New Roman"/>
                        <w:sz w:val="18"/>
                      </w:rPr>
                      <w:t>.</w:t>
                    </w:r>
                    <w:r>
                      <w:rPr>
                        <w:rFonts w:ascii="Times New Roman" w:eastAsia="Times New Roman"/>
                        <w:sz w:val="18"/>
                      </w:rPr>
                      <w:fldChar w:fldCharType="begin"/>
                    </w:r>
                    <w:r>
                      <w:rPr>
                        <w:rFonts w:ascii="Times New Roman" w:eastAsia="Times New Roman"/>
                        <w:sz w:val="18"/>
                      </w:rPr>
                      <w:instrText xml:space="preserve"> PAGE </w:instrText>
                    </w:r>
                    <w:r>
                      <w:rPr>
                        <w:rFonts w:ascii="Times New Roman" w:eastAsia="Times New Roman"/>
                        <w:sz w:val="18"/>
                      </w:rPr>
                      <w:fldChar w:fldCharType="separate"/>
                    </w:r>
                    <w:r>
                      <w:t>110</w:t>
                    </w:r>
                    <w:r>
                      <w:rPr>
                        <w:rFonts w:ascii="Times New Roman" w:eastAsia="Times New Roman"/>
                        <w:sz w:val="18"/>
                      </w:rPr>
                      <w:fldChar w:fldCharType="end"/>
                    </w:r>
                    <w:r>
                      <w:rPr>
                        <w:rFonts w:ascii="Times New Roman" w:eastAsia="Times New Roman"/>
                        <w:sz w:val="18"/>
                      </w:rPr>
                      <w:t xml:space="preserve">. </w:t>
                    </w:r>
                    <w:r>
                      <w:rPr>
                        <w:rFonts w:hint="eastAsia"/>
                        <w:sz w:val="18"/>
                      </w:rPr>
                      <w:t>北京市房屋建筑和市政工程专业承包施工招标文件示范文本（</w:t>
                    </w:r>
                    <w:r>
                      <w:rPr>
                        <w:rFonts w:ascii="Times New Roman" w:eastAsia="Times New Roman"/>
                        <w:sz w:val="18"/>
                      </w:rPr>
                      <w:t xml:space="preserve">2018 </w:t>
                    </w:r>
                    <w:r>
                      <w:rPr>
                        <w:rFonts w:hint="eastAsia"/>
                        <w:sz w:val="18"/>
                      </w:rPr>
                      <w:t>版）</w:t>
                    </w:r>
                    <w:r>
                      <w:rPr>
                        <w:sz w:val="18"/>
                      </w:rPr>
                      <w:t xml:space="preserve"> </w:t>
                    </w:r>
                    <w:r>
                      <w:rPr>
                        <w:rFonts w:hint="eastAsia"/>
                        <w:sz w:val="18"/>
                      </w:rPr>
                      <w:t>专用部分</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eastAsia="zh-CN"/>
      </w:rPr>
      <mc:AlternateContent>
        <mc:Choice Requires="wpg">
          <w:drawing>
            <wp:anchor distT="0" distB="0" distL="114300" distR="114300" simplePos="0" relativeHeight="251661312" behindDoc="1" locked="0" layoutInCell="1" allowOverlap="1">
              <wp:simplePos x="0" y="0"/>
              <wp:positionH relativeFrom="page">
                <wp:posOffset>1122680</wp:posOffset>
              </wp:positionH>
              <wp:positionV relativeFrom="page">
                <wp:posOffset>699770</wp:posOffset>
              </wp:positionV>
              <wp:extent cx="5317490" cy="37465"/>
              <wp:effectExtent l="0" t="0" r="16510" b="635"/>
              <wp:wrapNone/>
              <wp:docPr id="7" name="组合 35"/>
              <wp:cNvGraphicFramePr/>
              <a:graphic xmlns:a="http://schemas.openxmlformats.org/drawingml/2006/main">
                <a:graphicData uri="http://schemas.microsoft.com/office/word/2010/wordprocessingGroup">
                  <wpg:wgp>
                    <wpg:cNvGrpSpPr/>
                    <wpg:grpSpPr>
                      <a:xfrm>
                        <a:off x="0" y="0"/>
                        <a:ext cx="5317490" cy="37465"/>
                        <a:chOff x="1768" y="1103"/>
                        <a:chExt cx="8374" cy="59"/>
                      </a:xfrm>
                    </wpg:grpSpPr>
                    <wps:wsp>
                      <wps:cNvPr id="5" name="直接连接符 1"/>
                      <wps:cNvSpPr/>
                      <wps:spPr>
                        <a:xfrm>
                          <a:off x="1768" y="1154"/>
                          <a:ext cx="8373" cy="0"/>
                        </a:xfrm>
                        <a:prstGeom prst="line">
                          <a:avLst/>
                        </a:prstGeom>
                        <a:ln w="9144" cap="flat" cmpd="sng">
                          <a:solidFill>
                            <a:srgbClr val="000000"/>
                          </a:solidFill>
                          <a:prstDash val="solid"/>
                          <a:headEnd type="none" w="med" len="med"/>
                          <a:tailEnd type="none" w="med" len="med"/>
                        </a:ln>
                      </wps:spPr>
                      <wps:bodyPr upright="1"/>
                    </wps:wsp>
                    <wps:wsp>
                      <wps:cNvPr id="6" name="直接连接符 2"/>
                      <wps:cNvSpPr/>
                      <wps:spPr>
                        <a:xfrm>
                          <a:off x="1768" y="1118"/>
                          <a:ext cx="8373" cy="0"/>
                        </a:xfrm>
                        <a:prstGeom prst="line">
                          <a:avLst/>
                        </a:prstGeom>
                        <a:ln w="19050" cap="flat" cmpd="sng">
                          <a:solidFill>
                            <a:srgbClr val="000000"/>
                          </a:solidFill>
                          <a:prstDash val="solid"/>
                          <a:headEnd type="none" w="med" len="med"/>
                          <a:tailEnd type="none" w="med" len="med"/>
                        </a:ln>
                      </wps:spPr>
                      <wps:bodyPr upright="1"/>
                    </wps:wsp>
                  </wpg:wgp>
                </a:graphicData>
              </a:graphic>
            </wp:anchor>
          </w:drawing>
        </mc:Choice>
        <mc:Fallback>
          <w:pict>
            <v:group id="组合 35" o:spid="_x0000_s1026" o:spt="203" style="position:absolute;left:0pt;margin-left:88.4pt;margin-top:55.1pt;height:2.95pt;width:418.7pt;mso-position-horizontal-relative:page;mso-position-vertical-relative:page;z-index:-251655168;mso-width-relative:page;mso-height-relative:page;" coordorigin="1768,1103" coordsize="8374,59" o:gfxdata="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f9h562QAA&#10;AAwBAAAPAAAAAAAAAAEAIAAAACIAAABkcnMvZG93bnJldi54bWxQSwECFAAUAAAACACHTuJAI7zD&#10;5Y8CAAAfBwAADgAAAAAAAAABACAAAAAoAQAAZHJzL2Uyb0RvYy54bWxQSwUGAAAAAAYABgBZAQAA&#10;KQYAAAAA&#10;">
              <o:lock v:ext="edit" aspectratio="f"/>
              <v:line id="直接连接符 1" o:spid="_x0000_s1026" o:spt="20" style="position:absolute;left:1768;top:1154;height:0;width:837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v:line id="直接连接符 2" o:spid="_x0000_s1026" o:spt="20" style="position:absolute;left:1768;top:1118;height:0;width:8373;" filled="f" stroked="t" coordsize="21600,21600" o:gfxdata="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iGrrugAAANoA&#10;AAAPAAAAAAAAAAEAIAAAACIAAABkcnMvZG93bnJldi54bWxQSwECFAAUAAAACACHTuJAMy8FnjsA&#10;AAA5AAAAEAAAAAAAAAABACAAAAAJAQAAZHJzL3NoYXBleG1sLnhtbFBLBQYAAAAABgAGAFsBAACz&#10;AwAAAAA=&#10;">
                <v:fill on="f" focussize="0,0"/>
                <v:stroke weight="1.5pt" color="#000000" joinstyle="round"/>
                <v:imagedata o:title=""/>
                <o:lock v:ext="edit" aspectratio="f"/>
              </v:line>
            </v:group>
          </w:pict>
        </mc:Fallback>
      </mc:AlternateContent>
    </w:r>
    <w:r>
      <w:rPr>
        <w:lang w:val="en-US" w:eastAsia="zh-CN"/>
      </w:rPr>
      <mc:AlternateContent>
        <mc:Choice Requires="wps">
          <w:drawing>
            <wp:anchor distT="0" distB="0" distL="114300" distR="114300" simplePos="0" relativeHeight="251662336" behindDoc="1" locked="0" layoutInCell="1" allowOverlap="1">
              <wp:simplePos x="0" y="0"/>
              <wp:positionH relativeFrom="page">
                <wp:posOffset>1129030</wp:posOffset>
              </wp:positionH>
              <wp:positionV relativeFrom="page">
                <wp:posOffset>540385</wp:posOffset>
              </wp:positionV>
              <wp:extent cx="4393565" cy="152400"/>
              <wp:effectExtent l="0" t="0" r="0" b="0"/>
              <wp:wrapNone/>
              <wp:docPr id="8" name="文本框 23"/>
              <wp:cNvGraphicFramePr/>
              <a:graphic xmlns:a="http://schemas.openxmlformats.org/drawingml/2006/main">
                <a:graphicData uri="http://schemas.microsoft.com/office/word/2010/wordprocessingShape">
                  <wps:wsp>
                    <wps:cNvSpPr txBox="1"/>
                    <wps:spPr>
                      <a:xfrm>
                        <a:off x="0" y="0"/>
                        <a:ext cx="4393565" cy="152400"/>
                      </a:xfrm>
                      <a:prstGeom prst="rect">
                        <a:avLst/>
                      </a:prstGeom>
                      <a:noFill/>
                      <a:ln>
                        <a:noFill/>
                      </a:ln>
                    </wps:spPr>
                    <wps:txbx>
                      <w:txbxContent>
                        <w:p>
                          <w:pPr>
                            <w:ind w:left="20"/>
                            <w:rPr>
                              <w:sz w:val="18"/>
                            </w:rPr>
                          </w:pPr>
                          <w:r>
                            <w:rPr>
                              <w:rFonts w:ascii="Times New Roman" w:eastAsia="Times New Roman"/>
                              <w:sz w:val="18"/>
                            </w:rPr>
                            <w:t>.</w:t>
                          </w:r>
                          <w:r>
                            <w:rPr>
                              <w:rFonts w:ascii="Times New Roman" w:eastAsia="Times New Roman"/>
                              <w:sz w:val="18"/>
                            </w:rPr>
                            <w:fldChar w:fldCharType="begin"/>
                          </w:r>
                          <w:r>
                            <w:rPr>
                              <w:rFonts w:ascii="Times New Roman" w:eastAsia="Times New Roman"/>
                              <w:sz w:val="18"/>
                            </w:rPr>
                            <w:instrText xml:space="preserve"> PAGE </w:instrText>
                          </w:r>
                          <w:r>
                            <w:rPr>
                              <w:rFonts w:ascii="Times New Roman" w:eastAsia="Times New Roman"/>
                              <w:sz w:val="18"/>
                            </w:rPr>
                            <w:fldChar w:fldCharType="separate"/>
                          </w:r>
                          <w:r>
                            <w:t>112</w:t>
                          </w:r>
                          <w:r>
                            <w:rPr>
                              <w:rFonts w:ascii="Times New Roman" w:eastAsia="Times New Roman"/>
                              <w:sz w:val="18"/>
                            </w:rPr>
                            <w:fldChar w:fldCharType="end"/>
                          </w:r>
                          <w:r>
                            <w:rPr>
                              <w:rFonts w:ascii="Times New Roman" w:eastAsia="Times New Roman"/>
                              <w:sz w:val="18"/>
                            </w:rPr>
                            <w:t xml:space="preserve">. </w:t>
                          </w:r>
                          <w:r>
                            <w:rPr>
                              <w:rFonts w:hint="eastAsia"/>
                              <w:sz w:val="18"/>
                            </w:rPr>
                            <w:t>北京市房屋建筑和市政工程专业承包施工招标文件示范文本（</w:t>
                          </w:r>
                          <w:r>
                            <w:rPr>
                              <w:rFonts w:ascii="Times New Roman" w:eastAsia="Times New Roman"/>
                              <w:sz w:val="18"/>
                            </w:rPr>
                            <w:t xml:space="preserve">2018 </w:t>
                          </w:r>
                          <w:r>
                            <w:rPr>
                              <w:rFonts w:hint="eastAsia"/>
                              <w:sz w:val="18"/>
                            </w:rPr>
                            <w:t>版）</w:t>
                          </w:r>
                          <w:r>
                            <w:rPr>
                              <w:sz w:val="18"/>
                            </w:rPr>
                            <w:t xml:space="preserve"> </w:t>
                          </w:r>
                          <w:r>
                            <w:rPr>
                              <w:rFonts w:hint="eastAsia"/>
                              <w:sz w:val="18"/>
                            </w:rPr>
                            <w:t>专用部分</w:t>
                          </w:r>
                        </w:p>
                      </w:txbxContent>
                    </wps:txbx>
                    <wps:bodyPr lIns="0" tIns="0" rIns="0" bIns="0" upright="1"/>
                  </wps:wsp>
                </a:graphicData>
              </a:graphic>
            </wp:anchor>
          </w:drawing>
        </mc:Choice>
        <mc:Fallback>
          <w:pict>
            <v:shape id="文本框 23" o:spid="_x0000_s1026" o:spt="202" type="#_x0000_t202" style="position:absolute;left:0pt;margin-left:88.9pt;margin-top:42.55pt;height:12pt;width:345.95pt;mso-position-horizontal-relative:page;mso-position-vertical-relative:page;z-index:-251654144;mso-width-relative:page;mso-height-relative:page;" filled="f" stroked="f" coordsize="21600,21600" o:gfxdata="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mZW1dcAAAAKAQAADwAAAAAAAAABACAAAAAiAAAAZHJzL2Rvd25yZXYueG1sUEsB&#10;AhQAFAAAAAgAh07iQMxah/69AQAAcwMAAA4AAAAAAAAAAQAgAAAAJgEAAGRycy9lMm9Eb2MueG1s&#10;UEsFBgAAAAAGAAYAWQEAAFUFAAAAAA==&#10;">
              <v:fill on="f" focussize="0,0"/>
              <v:stroke on="f"/>
              <v:imagedata o:title=""/>
              <o:lock v:ext="edit" aspectratio="f"/>
              <v:textbox inset="0mm,0mm,0mm,0mm">
                <w:txbxContent>
                  <w:p>
                    <w:pPr>
                      <w:ind w:left="20"/>
                      <w:rPr>
                        <w:sz w:val="18"/>
                      </w:rPr>
                    </w:pPr>
                    <w:r>
                      <w:rPr>
                        <w:rFonts w:ascii="Times New Roman" w:eastAsia="Times New Roman"/>
                        <w:sz w:val="18"/>
                      </w:rPr>
                      <w:t>.</w:t>
                    </w:r>
                    <w:r>
                      <w:rPr>
                        <w:rFonts w:ascii="Times New Roman" w:eastAsia="Times New Roman"/>
                        <w:sz w:val="18"/>
                      </w:rPr>
                      <w:fldChar w:fldCharType="begin"/>
                    </w:r>
                    <w:r>
                      <w:rPr>
                        <w:rFonts w:ascii="Times New Roman" w:eastAsia="Times New Roman"/>
                        <w:sz w:val="18"/>
                      </w:rPr>
                      <w:instrText xml:space="preserve"> PAGE </w:instrText>
                    </w:r>
                    <w:r>
                      <w:rPr>
                        <w:rFonts w:ascii="Times New Roman" w:eastAsia="Times New Roman"/>
                        <w:sz w:val="18"/>
                      </w:rPr>
                      <w:fldChar w:fldCharType="separate"/>
                    </w:r>
                    <w:r>
                      <w:t>112</w:t>
                    </w:r>
                    <w:r>
                      <w:rPr>
                        <w:rFonts w:ascii="Times New Roman" w:eastAsia="Times New Roman"/>
                        <w:sz w:val="18"/>
                      </w:rPr>
                      <w:fldChar w:fldCharType="end"/>
                    </w:r>
                    <w:r>
                      <w:rPr>
                        <w:rFonts w:ascii="Times New Roman" w:eastAsia="Times New Roman"/>
                        <w:sz w:val="18"/>
                      </w:rPr>
                      <w:t xml:space="preserve">. </w:t>
                    </w:r>
                    <w:r>
                      <w:rPr>
                        <w:rFonts w:hint="eastAsia"/>
                        <w:sz w:val="18"/>
                      </w:rPr>
                      <w:t>北京市房屋建筑和市政工程专业承包施工招标文件示范文本（</w:t>
                    </w:r>
                    <w:r>
                      <w:rPr>
                        <w:rFonts w:ascii="Times New Roman" w:eastAsia="Times New Roman"/>
                        <w:sz w:val="18"/>
                      </w:rPr>
                      <w:t xml:space="preserve">2018 </w:t>
                    </w:r>
                    <w:r>
                      <w:rPr>
                        <w:rFonts w:hint="eastAsia"/>
                        <w:sz w:val="18"/>
                      </w:rPr>
                      <w:t>版）</w:t>
                    </w:r>
                    <w:r>
                      <w:rPr>
                        <w:sz w:val="18"/>
                      </w:rPr>
                      <w:t xml:space="preserve"> </w:t>
                    </w:r>
                    <w:r>
                      <w:rPr>
                        <w:rFonts w:hint="eastAsia"/>
                        <w:sz w:val="18"/>
                      </w:rPr>
                      <w:t>专用部分</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F05207"/>
    <w:multiLevelType w:val="multilevel"/>
    <w:tmpl w:val="A0F05207"/>
    <w:lvl w:ilvl="0" w:tentative="0">
      <w:start w:val="24"/>
      <w:numFmt w:val="decimal"/>
      <w:lvlText w:val="%1."/>
      <w:lvlJc w:val="left"/>
      <w:pPr>
        <w:ind w:left="1259" w:hanging="422"/>
      </w:pPr>
      <w:rPr>
        <w:rFonts w:hint="default" w:ascii="宋体" w:hAnsi="宋体" w:eastAsia="宋体" w:cs="宋体"/>
        <w:w w:val="99"/>
        <w:sz w:val="26"/>
        <w:szCs w:val="26"/>
      </w:rPr>
    </w:lvl>
    <w:lvl w:ilvl="1" w:tentative="0">
      <w:start w:val="1"/>
      <w:numFmt w:val="decimal"/>
      <w:lvlText w:val="%1.%2"/>
      <w:lvlJc w:val="left"/>
      <w:pPr>
        <w:ind w:left="1319" w:hanging="481"/>
      </w:pPr>
      <w:rPr>
        <w:rFonts w:hint="default" w:ascii="宋体" w:hAnsi="宋体" w:eastAsia="宋体" w:cs="宋体"/>
        <w:w w:val="100"/>
        <w:sz w:val="22"/>
        <w:szCs w:val="22"/>
      </w:rPr>
    </w:lvl>
    <w:lvl w:ilvl="2" w:tentative="0">
      <w:start w:val="0"/>
      <w:numFmt w:val="bullet"/>
      <w:lvlText w:val="•"/>
      <w:lvlJc w:val="left"/>
      <w:pPr>
        <w:ind w:left="2389" w:hanging="481"/>
      </w:pPr>
      <w:rPr>
        <w:rFonts w:hint="default"/>
      </w:rPr>
    </w:lvl>
    <w:lvl w:ilvl="3" w:tentative="0">
      <w:start w:val="0"/>
      <w:numFmt w:val="bullet"/>
      <w:lvlText w:val="•"/>
      <w:lvlJc w:val="left"/>
      <w:pPr>
        <w:ind w:left="3459" w:hanging="481"/>
      </w:pPr>
      <w:rPr>
        <w:rFonts w:hint="default"/>
      </w:rPr>
    </w:lvl>
    <w:lvl w:ilvl="4" w:tentative="0">
      <w:start w:val="0"/>
      <w:numFmt w:val="bullet"/>
      <w:lvlText w:val="•"/>
      <w:lvlJc w:val="left"/>
      <w:pPr>
        <w:ind w:left="4528" w:hanging="481"/>
      </w:pPr>
      <w:rPr>
        <w:rFonts w:hint="default"/>
      </w:rPr>
    </w:lvl>
    <w:lvl w:ilvl="5" w:tentative="0">
      <w:start w:val="0"/>
      <w:numFmt w:val="bullet"/>
      <w:lvlText w:val="•"/>
      <w:lvlJc w:val="left"/>
      <w:pPr>
        <w:ind w:left="5598" w:hanging="481"/>
      </w:pPr>
      <w:rPr>
        <w:rFonts w:hint="default"/>
      </w:rPr>
    </w:lvl>
    <w:lvl w:ilvl="6" w:tentative="0">
      <w:start w:val="0"/>
      <w:numFmt w:val="bullet"/>
      <w:lvlText w:val="•"/>
      <w:lvlJc w:val="left"/>
      <w:pPr>
        <w:ind w:left="6668" w:hanging="481"/>
      </w:pPr>
      <w:rPr>
        <w:rFonts w:hint="default"/>
      </w:rPr>
    </w:lvl>
    <w:lvl w:ilvl="7" w:tentative="0">
      <w:start w:val="0"/>
      <w:numFmt w:val="bullet"/>
      <w:lvlText w:val="•"/>
      <w:lvlJc w:val="left"/>
      <w:pPr>
        <w:ind w:left="7737" w:hanging="481"/>
      </w:pPr>
      <w:rPr>
        <w:rFonts w:hint="default"/>
      </w:rPr>
    </w:lvl>
    <w:lvl w:ilvl="8" w:tentative="0">
      <w:start w:val="0"/>
      <w:numFmt w:val="bullet"/>
      <w:lvlText w:val="•"/>
      <w:lvlJc w:val="left"/>
      <w:pPr>
        <w:ind w:left="8807" w:hanging="481"/>
      </w:pPr>
      <w:rPr>
        <w:rFonts w:hint="default"/>
      </w:rPr>
    </w:lvl>
  </w:abstractNum>
  <w:abstractNum w:abstractNumId="1">
    <w:nsid w:val="B23A94A9"/>
    <w:multiLevelType w:val="multilevel"/>
    <w:tmpl w:val="B23A94A9"/>
    <w:lvl w:ilvl="0" w:tentative="0">
      <w:start w:val="18"/>
      <w:numFmt w:val="decimal"/>
      <w:lvlText w:val="%1"/>
      <w:lvlJc w:val="left"/>
      <w:pPr>
        <w:ind w:left="1319" w:hanging="481"/>
      </w:pPr>
      <w:rPr>
        <w:rFonts w:hint="default" w:cs="Times New Roman"/>
      </w:rPr>
    </w:lvl>
    <w:lvl w:ilvl="1" w:tentative="0">
      <w:start w:val="5"/>
      <w:numFmt w:val="decimal"/>
      <w:lvlText w:val="%1.%2"/>
      <w:lvlJc w:val="left"/>
      <w:pPr>
        <w:ind w:left="1319" w:hanging="481"/>
      </w:pPr>
      <w:rPr>
        <w:rFonts w:hint="default" w:ascii="宋体" w:hAnsi="宋体" w:eastAsia="宋体" w:cs="宋体"/>
        <w:w w:val="100"/>
        <w:sz w:val="22"/>
        <w:szCs w:val="22"/>
      </w:rPr>
    </w:lvl>
    <w:lvl w:ilvl="2" w:tentative="0">
      <w:start w:val="1"/>
      <w:numFmt w:val="decimal"/>
      <w:lvlText w:val="%1.%2.%3"/>
      <w:lvlJc w:val="left"/>
      <w:pPr>
        <w:ind w:left="838" w:hanging="631"/>
      </w:pPr>
      <w:rPr>
        <w:rFonts w:hint="default" w:ascii="宋体" w:hAnsi="宋体" w:eastAsia="宋体" w:cs="宋体"/>
        <w:spacing w:val="-88"/>
        <w:w w:val="100"/>
        <w:sz w:val="19"/>
        <w:szCs w:val="19"/>
      </w:rPr>
    </w:lvl>
    <w:lvl w:ilvl="3" w:tentative="0">
      <w:start w:val="0"/>
      <w:numFmt w:val="bullet"/>
      <w:lvlText w:val="•"/>
      <w:lvlJc w:val="left"/>
      <w:pPr>
        <w:ind w:left="3459" w:hanging="631"/>
      </w:pPr>
      <w:rPr>
        <w:rFonts w:hint="default"/>
      </w:rPr>
    </w:lvl>
    <w:lvl w:ilvl="4" w:tentative="0">
      <w:start w:val="0"/>
      <w:numFmt w:val="bullet"/>
      <w:lvlText w:val="•"/>
      <w:lvlJc w:val="left"/>
      <w:pPr>
        <w:ind w:left="4528" w:hanging="631"/>
      </w:pPr>
      <w:rPr>
        <w:rFonts w:hint="default"/>
      </w:rPr>
    </w:lvl>
    <w:lvl w:ilvl="5" w:tentative="0">
      <w:start w:val="0"/>
      <w:numFmt w:val="bullet"/>
      <w:lvlText w:val="•"/>
      <w:lvlJc w:val="left"/>
      <w:pPr>
        <w:ind w:left="5598" w:hanging="631"/>
      </w:pPr>
      <w:rPr>
        <w:rFonts w:hint="default"/>
      </w:rPr>
    </w:lvl>
    <w:lvl w:ilvl="6" w:tentative="0">
      <w:start w:val="0"/>
      <w:numFmt w:val="bullet"/>
      <w:lvlText w:val="•"/>
      <w:lvlJc w:val="left"/>
      <w:pPr>
        <w:ind w:left="6668" w:hanging="631"/>
      </w:pPr>
      <w:rPr>
        <w:rFonts w:hint="default"/>
      </w:rPr>
    </w:lvl>
    <w:lvl w:ilvl="7" w:tentative="0">
      <w:start w:val="0"/>
      <w:numFmt w:val="bullet"/>
      <w:lvlText w:val="•"/>
      <w:lvlJc w:val="left"/>
      <w:pPr>
        <w:ind w:left="7737" w:hanging="631"/>
      </w:pPr>
      <w:rPr>
        <w:rFonts w:hint="default"/>
      </w:rPr>
    </w:lvl>
    <w:lvl w:ilvl="8" w:tentative="0">
      <w:start w:val="0"/>
      <w:numFmt w:val="bullet"/>
      <w:lvlText w:val="•"/>
      <w:lvlJc w:val="left"/>
      <w:pPr>
        <w:ind w:left="8807" w:hanging="631"/>
      </w:pPr>
      <w:rPr>
        <w:rFonts w:hint="default"/>
      </w:rPr>
    </w:lvl>
  </w:abstractNum>
  <w:abstractNum w:abstractNumId="2">
    <w:nsid w:val="B53F3350"/>
    <w:multiLevelType w:val="multilevel"/>
    <w:tmpl w:val="B53F3350"/>
    <w:lvl w:ilvl="0" w:tentative="0">
      <w:start w:val="13"/>
      <w:numFmt w:val="decimal"/>
      <w:lvlText w:val="%1"/>
      <w:lvlJc w:val="left"/>
      <w:pPr>
        <w:ind w:left="1319" w:hanging="481"/>
      </w:pPr>
      <w:rPr>
        <w:rFonts w:hint="default" w:cs="Times New Roman"/>
      </w:rPr>
    </w:lvl>
    <w:lvl w:ilvl="1" w:tentative="0">
      <w:start w:val="2"/>
      <w:numFmt w:val="decimal"/>
      <w:lvlText w:val="%1.%2"/>
      <w:lvlJc w:val="left"/>
      <w:pPr>
        <w:ind w:left="1319" w:hanging="481"/>
      </w:pPr>
      <w:rPr>
        <w:rFonts w:hint="default" w:ascii="宋体" w:hAnsi="宋体" w:eastAsia="宋体" w:cs="宋体"/>
        <w:w w:val="100"/>
        <w:sz w:val="22"/>
        <w:szCs w:val="22"/>
      </w:rPr>
    </w:lvl>
    <w:lvl w:ilvl="2" w:tentative="0">
      <w:start w:val="0"/>
      <w:numFmt w:val="bullet"/>
      <w:lvlText w:val="•"/>
      <w:lvlJc w:val="left"/>
      <w:pPr>
        <w:ind w:left="3245" w:hanging="481"/>
      </w:pPr>
      <w:rPr>
        <w:rFonts w:hint="default"/>
      </w:rPr>
    </w:lvl>
    <w:lvl w:ilvl="3" w:tentative="0">
      <w:start w:val="0"/>
      <w:numFmt w:val="bullet"/>
      <w:lvlText w:val="•"/>
      <w:lvlJc w:val="left"/>
      <w:pPr>
        <w:ind w:left="4207" w:hanging="481"/>
      </w:pPr>
      <w:rPr>
        <w:rFonts w:hint="default"/>
      </w:rPr>
    </w:lvl>
    <w:lvl w:ilvl="4" w:tentative="0">
      <w:start w:val="0"/>
      <w:numFmt w:val="bullet"/>
      <w:lvlText w:val="•"/>
      <w:lvlJc w:val="left"/>
      <w:pPr>
        <w:ind w:left="5170" w:hanging="481"/>
      </w:pPr>
      <w:rPr>
        <w:rFonts w:hint="default"/>
      </w:rPr>
    </w:lvl>
    <w:lvl w:ilvl="5" w:tentative="0">
      <w:start w:val="0"/>
      <w:numFmt w:val="bullet"/>
      <w:lvlText w:val="•"/>
      <w:lvlJc w:val="left"/>
      <w:pPr>
        <w:ind w:left="6133" w:hanging="481"/>
      </w:pPr>
      <w:rPr>
        <w:rFonts w:hint="default"/>
      </w:rPr>
    </w:lvl>
    <w:lvl w:ilvl="6" w:tentative="0">
      <w:start w:val="0"/>
      <w:numFmt w:val="bullet"/>
      <w:lvlText w:val="•"/>
      <w:lvlJc w:val="left"/>
      <w:pPr>
        <w:ind w:left="7095" w:hanging="481"/>
      </w:pPr>
      <w:rPr>
        <w:rFonts w:hint="default"/>
      </w:rPr>
    </w:lvl>
    <w:lvl w:ilvl="7" w:tentative="0">
      <w:start w:val="0"/>
      <w:numFmt w:val="bullet"/>
      <w:lvlText w:val="•"/>
      <w:lvlJc w:val="left"/>
      <w:pPr>
        <w:ind w:left="8058" w:hanging="481"/>
      </w:pPr>
      <w:rPr>
        <w:rFonts w:hint="default"/>
      </w:rPr>
    </w:lvl>
    <w:lvl w:ilvl="8" w:tentative="0">
      <w:start w:val="0"/>
      <w:numFmt w:val="bullet"/>
      <w:lvlText w:val="•"/>
      <w:lvlJc w:val="left"/>
      <w:pPr>
        <w:ind w:left="9021" w:hanging="481"/>
      </w:pPr>
      <w:rPr>
        <w:rFonts w:hint="default"/>
      </w:rPr>
    </w:lvl>
  </w:abstractNum>
  <w:abstractNum w:abstractNumId="3">
    <w:nsid w:val="C0915F4F"/>
    <w:multiLevelType w:val="multilevel"/>
    <w:tmpl w:val="C0915F4F"/>
    <w:lvl w:ilvl="0" w:tentative="0">
      <w:start w:val="17"/>
      <w:numFmt w:val="decimal"/>
      <w:lvlText w:val="%1"/>
      <w:lvlJc w:val="left"/>
      <w:pPr>
        <w:ind w:left="1319" w:hanging="481"/>
      </w:pPr>
      <w:rPr>
        <w:rFonts w:hint="default" w:cs="Times New Roman"/>
      </w:rPr>
    </w:lvl>
    <w:lvl w:ilvl="1" w:tentative="0">
      <w:start w:val="2"/>
      <w:numFmt w:val="decimal"/>
      <w:lvlText w:val="%1.%2"/>
      <w:lvlJc w:val="left"/>
      <w:pPr>
        <w:ind w:left="1319" w:hanging="481"/>
      </w:pPr>
      <w:rPr>
        <w:rFonts w:hint="default" w:ascii="宋体" w:hAnsi="宋体" w:eastAsia="宋体" w:cs="宋体"/>
        <w:w w:val="100"/>
        <w:sz w:val="22"/>
        <w:szCs w:val="22"/>
      </w:rPr>
    </w:lvl>
    <w:lvl w:ilvl="2" w:tentative="0">
      <w:start w:val="1"/>
      <w:numFmt w:val="decimal"/>
      <w:lvlText w:val="%1.%2.%3"/>
      <w:lvlJc w:val="left"/>
      <w:pPr>
        <w:ind w:left="1889" w:hanging="631"/>
      </w:pPr>
      <w:rPr>
        <w:rFonts w:hint="default" w:ascii="宋体" w:hAnsi="宋体" w:eastAsia="宋体" w:cs="宋体"/>
        <w:spacing w:val="-2"/>
        <w:w w:val="100"/>
        <w:sz w:val="19"/>
        <w:szCs w:val="19"/>
      </w:rPr>
    </w:lvl>
    <w:lvl w:ilvl="3" w:tentative="0">
      <w:start w:val="0"/>
      <w:numFmt w:val="bullet"/>
      <w:lvlText w:val="•"/>
      <w:lvlJc w:val="left"/>
      <w:pPr>
        <w:ind w:left="3894" w:hanging="631"/>
      </w:pPr>
      <w:rPr>
        <w:rFonts w:hint="default"/>
      </w:rPr>
    </w:lvl>
    <w:lvl w:ilvl="4" w:tentative="0">
      <w:start w:val="0"/>
      <w:numFmt w:val="bullet"/>
      <w:lvlText w:val="•"/>
      <w:lvlJc w:val="left"/>
      <w:pPr>
        <w:ind w:left="4902" w:hanging="631"/>
      </w:pPr>
      <w:rPr>
        <w:rFonts w:hint="default"/>
      </w:rPr>
    </w:lvl>
    <w:lvl w:ilvl="5" w:tentative="0">
      <w:start w:val="0"/>
      <w:numFmt w:val="bullet"/>
      <w:lvlText w:val="•"/>
      <w:lvlJc w:val="left"/>
      <w:pPr>
        <w:ind w:left="5909" w:hanging="631"/>
      </w:pPr>
      <w:rPr>
        <w:rFonts w:hint="default"/>
      </w:rPr>
    </w:lvl>
    <w:lvl w:ilvl="6" w:tentative="0">
      <w:start w:val="0"/>
      <w:numFmt w:val="bullet"/>
      <w:lvlText w:val="•"/>
      <w:lvlJc w:val="left"/>
      <w:pPr>
        <w:ind w:left="6916" w:hanging="631"/>
      </w:pPr>
      <w:rPr>
        <w:rFonts w:hint="default"/>
      </w:rPr>
    </w:lvl>
    <w:lvl w:ilvl="7" w:tentative="0">
      <w:start w:val="0"/>
      <w:numFmt w:val="bullet"/>
      <w:lvlText w:val="•"/>
      <w:lvlJc w:val="left"/>
      <w:pPr>
        <w:ind w:left="7924" w:hanging="631"/>
      </w:pPr>
      <w:rPr>
        <w:rFonts w:hint="default"/>
      </w:rPr>
    </w:lvl>
    <w:lvl w:ilvl="8" w:tentative="0">
      <w:start w:val="0"/>
      <w:numFmt w:val="bullet"/>
      <w:lvlText w:val="•"/>
      <w:lvlJc w:val="left"/>
      <w:pPr>
        <w:ind w:left="8931" w:hanging="631"/>
      </w:pPr>
      <w:rPr>
        <w:rFonts w:hint="default"/>
      </w:rPr>
    </w:lvl>
  </w:abstractNum>
  <w:abstractNum w:abstractNumId="4">
    <w:nsid w:val="D3F24CBC"/>
    <w:multiLevelType w:val="singleLevel"/>
    <w:tmpl w:val="D3F24CBC"/>
    <w:lvl w:ilvl="0" w:tentative="0">
      <w:start w:val="1"/>
      <w:numFmt w:val="decimal"/>
      <w:suff w:val="nothing"/>
      <w:lvlText w:val="（%1）"/>
      <w:lvlJc w:val="left"/>
      <w:rPr>
        <w:rFonts w:cs="Times New Roman"/>
      </w:rPr>
    </w:lvl>
  </w:abstractNum>
  <w:abstractNum w:abstractNumId="5">
    <w:nsid w:val="D6F9E650"/>
    <w:multiLevelType w:val="singleLevel"/>
    <w:tmpl w:val="D6F9E650"/>
    <w:lvl w:ilvl="0" w:tentative="0">
      <w:start w:val="13"/>
      <w:numFmt w:val="decimal"/>
      <w:lvlText w:val="%1."/>
      <w:lvlJc w:val="left"/>
      <w:pPr>
        <w:tabs>
          <w:tab w:val="left" w:pos="312"/>
        </w:tabs>
      </w:pPr>
      <w:rPr>
        <w:rFonts w:cs="Times New Roman"/>
      </w:rPr>
    </w:lvl>
  </w:abstractNum>
  <w:abstractNum w:abstractNumId="6">
    <w:nsid w:val="D7D140E4"/>
    <w:multiLevelType w:val="multilevel"/>
    <w:tmpl w:val="D7D140E4"/>
    <w:lvl w:ilvl="0" w:tentative="0">
      <w:start w:val="2"/>
      <w:numFmt w:val="decimal"/>
      <w:lvlText w:val="%1"/>
      <w:lvlJc w:val="left"/>
      <w:pPr>
        <w:ind w:left="1199" w:hanging="361"/>
      </w:pPr>
      <w:rPr>
        <w:rFonts w:hint="default" w:cs="Times New Roman"/>
      </w:rPr>
    </w:lvl>
    <w:lvl w:ilvl="1" w:tentative="0">
      <w:start w:val="3"/>
      <w:numFmt w:val="decimal"/>
      <w:lvlText w:val="%1.%2"/>
      <w:lvlJc w:val="left"/>
      <w:pPr>
        <w:ind w:left="1199" w:hanging="361"/>
      </w:pPr>
      <w:rPr>
        <w:rFonts w:hint="default" w:ascii="宋体" w:hAnsi="宋体" w:eastAsia="宋体" w:cs="宋体"/>
        <w:w w:val="100"/>
        <w:sz w:val="22"/>
        <w:szCs w:val="22"/>
      </w:rPr>
    </w:lvl>
    <w:lvl w:ilvl="2" w:tentative="0">
      <w:start w:val="1"/>
      <w:numFmt w:val="decimal"/>
      <w:lvlText w:val="%1.%2.%3"/>
      <w:lvlJc w:val="left"/>
      <w:pPr>
        <w:ind w:left="1784" w:hanging="526"/>
      </w:pPr>
      <w:rPr>
        <w:rFonts w:hint="default" w:ascii="宋体" w:hAnsi="宋体" w:eastAsia="宋体" w:cs="宋体"/>
        <w:spacing w:val="-1"/>
        <w:w w:val="100"/>
        <w:sz w:val="19"/>
        <w:szCs w:val="19"/>
      </w:rPr>
    </w:lvl>
    <w:lvl w:ilvl="3" w:tentative="0">
      <w:start w:val="0"/>
      <w:numFmt w:val="bullet"/>
      <w:lvlText w:val="•"/>
      <w:lvlJc w:val="left"/>
      <w:pPr>
        <w:ind w:left="3816" w:hanging="526"/>
      </w:pPr>
      <w:rPr>
        <w:rFonts w:hint="default"/>
      </w:rPr>
    </w:lvl>
    <w:lvl w:ilvl="4" w:tentative="0">
      <w:start w:val="0"/>
      <w:numFmt w:val="bullet"/>
      <w:lvlText w:val="•"/>
      <w:lvlJc w:val="left"/>
      <w:pPr>
        <w:ind w:left="4835" w:hanging="526"/>
      </w:pPr>
      <w:rPr>
        <w:rFonts w:hint="default"/>
      </w:rPr>
    </w:lvl>
    <w:lvl w:ilvl="5" w:tentative="0">
      <w:start w:val="0"/>
      <w:numFmt w:val="bullet"/>
      <w:lvlText w:val="•"/>
      <w:lvlJc w:val="left"/>
      <w:pPr>
        <w:ind w:left="5853" w:hanging="526"/>
      </w:pPr>
      <w:rPr>
        <w:rFonts w:hint="default"/>
      </w:rPr>
    </w:lvl>
    <w:lvl w:ilvl="6" w:tentative="0">
      <w:start w:val="0"/>
      <w:numFmt w:val="bullet"/>
      <w:lvlText w:val="•"/>
      <w:lvlJc w:val="left"/>
      <w:pPr>
        <w:ind w:left="6872" w:hanging="526"/>
      </w:pPr>
      <w:rPr>
        <w:rFonts w:hint="default"/>
      </w:rPr>
    </w:lvl>
    <w:lvl w:ilvl="7" w:tentative="0">
      <w:start w:val="0"/>
      <w:numFmt w:val="bullet"/>
      <w:lvlText w:val="•"/>
      <w:lvlJc w:val="left"/>
      <w:pPr>
        <w:ind w:left="7890" w:hanging="526"/>
      </w:pPr>
      <w:rPr>
        <w:rFonts w:hint="default"/>
      </w:rPr>
    </w:lvl>
    <w:lvl w:ilvl="8" w:tentative="0">
      <w:start w:val="0"/>
      <w:numFmt w:val="bullet"/>
      <w:lvlText w:val="•"/>
      <w:lvlJc w:val="left"/>
      <w:pPr>
        <w:ind w:left="8909" w:hanging="526"/>
      </w:pPr>
      <w:rPr>
        <w:rFonts w:hint="default"/>
      </w:rPr>
    </w:lvl>
  </w:abstractNum>
  <w:abstractNum w:abstractNumId="7">
    <w:nsid w:val="F0E89278"/>
    <w:multiLevelType w:val="multilevel"/>
    <w:tmpl w:val="F0E89278"/>
    <w:lvl w:ilvl="0" w:tentative="0">
      <w:start w:val="9"/>
      <w:numFmt w:val="decimal"/>
      <w:lvlText w:val="%1"/>
      <w:lvlJc w:val="left"/>
      <w:pPr>
        <w:ind w:left="1199" w:hanging="361"/>
      </w:pPr>
      <w:rPr>
        <w:rFonts w:hint="default" w:cs="Times New Roman"/>
      </w:rPr>
    </w:lvl>
    <w:lvl w:ilvl="1" w:tentative="0">
      <w:start w:val="6"/>
      <w:numFmt w:val="decimal"/>
      <w:lvlText w:val="%1.%2"/>
      <w:lvlJc w:val="left"/>
      <w:pPr>
        <w:ind w:left="1199" w:hanging="361"/>
      </w:pPr>
      <w:rPr>
        <w:rFonts w:hint="default" w:ascii="宋体" w:hAnsi="宋体" w:eastAsia="宋体" w:cs="宋体"/>
        <w:w w:val="100"/>
        <w:sz w:val="22"/>
        <w:szCs w:val="22"/>
      </w:rPr>
    </w:lvl>
    <w:lvl w:ilvl="2" w:tentative="0">
      <w:start w:val="1"/>
      <w:numFmt w:val="decimal"/>
      <w:lvlText w:val="%1.%2.%3"/>
      <w:lvlJc w:val="left"/>
      <w:pPr>
        <w:ind w:left="1784" w:hanging="526"/>
      </w:pPr>
      <w:rPr>
        <w:rFonts w:hint="default" w:ascii="宋体" w:hAnsi="宋体" w:eastAsia="宋体" w:cs="宋体"/>
        <w:spacing w:val="-1"/>
        <w:w w:val="100"/>
        <w:sz w:val="19"/>
        <w:szCs w:val="19"/>
      </w:rPr>
    </w:lvl>
    <w:lvl w:ilvl="3" w:tentative="0">
      <w:start w:val="0"/>
      <w:numFmt w:val="bullet"/>
      <w:lvlText w:val="•"/>
      <w:lvlJc w:val="left"/>
      <w:pPr>
        <w:ind w:left="3816" w:hanging="526"/>
      </w:pPr>
      <w:rPr>
        <w:rFonts w:hint="default"/>
      </w:rPr>
    </w:lvl>
    <w:lvl w:ilvl="4" w:tentative="0">
      <w:start w:val="0"/>
      <w:numFmt w:val="bullet"/>
      <w:lvlText w:val="•"/>
      <w:lvlJc w:val="left"/>
      <w:pPr>
        <w:ind w:left="4835" w:hanging="526"/>
      </w:pPr>
      <w:rPr>
        <w:rFonts w:hint="default"/>
      </w:rPr>
    </w:lvl>
    <w:lvl w:ilvl="5" w:tentative="0">
      <w:start w:val="0"/>
      <w:numFmt w:val="bullet"/>
      <w:lvlText w:val="•"/>
      <w:lvlJc w:val="left"/>
      <w:pPr>
        <w:ind w:left="5853" w:hanging="526"/>
      </w:pPr>
      <w:rPr>
        <w:rFonts w:hint="default"/>
      </w:rPr>
    </w:lvl>
    <w:lvl w:ilvl="6" w:tentative="0">
      <w:start w:val="0"/>
      <w:numFmt w:val="bullet"/>
      <w:lvlText w:val="•"/>
      <w:lvlJc w:val="left"/>
      <w:pPr>
        <w:ind w:left="6872" w:hanging="526"/>
      </w:pPr>
      <w:rPr>
        <w:rFonts w:hint="default"/>
      </w:rPr>
    </w:lvl>
    <w:lvl w:ilvl="7" w:tentative="0">
      <w:start w:val="0"/>
      <w:numFmt w:val="bullet"/>
      <w:lvlText w:val="•"/>
      <w:lvlJc w:val="left"/>
      <w:pPr>
        <w:ind w:left="7890" w:hanging="526"/>
      </w:pPr>
      <w:rPr>
        <w:rFonts w:hint="default"/>
      </w:rPr>
    </w:lvl>
    <w:lvl w:ilvl="8" w:tentative="0">
      <w:start w:val="0"/>
      <w:numFmt w:val="bullet"/>
      <w:lvlText w:val="•"/>
      <w:lvlJc w:val="left"/>
      <w:pPr>
        <w:ind w:left="8909" w:hanging="526"/>
      </w:pPr>
      <w:rPr>
        <w:rFonts w:hint="default"/>
      </w:rPr>
    </w:lvl>
  </w:abstractNum>
  <w:abstractNum w:abstractNumId="8">
    <w:nsid w:val="FEC2EA36"/>
    <w:multiLevelType w:val="multilevel"/>
    <w:tmpl w:val="FEC2EA36"/>
    <w:lvl w:ilvl="0" w:tentative="0">
      <w:start w:val="2"/>
      <w:numFmt w:val="decimal"/>
      <w:lvlText w:val="%1"/>
      <w:lvlJc w:val="left"/>
      <w:pPr>
        <w:ind w:left="838" w:hanging="369"/>
      </w:pPr>
      <w:rPr>
        <w:rFonts w:hint="default" w:cs="Times New Roman"/>
      </w:rPr>
    </w:lvl>
    <w:lvl w:ilvl="1" w:tentative="0">
      <w:start w:val="1"/>
      <w:numFmt w:val="decimal"/>
      <w:lvlText w:val="%1.%2"/>
      <w:lvlJc w:val="left"/>
      <w:pPr>
        <w:ind w:left="838" w:hanging="369"/>
      </w:pPr>
      <w:rPr>
        <w:rFonts w:hint="default" w:ascii="宋体" w:hAnsi="宋体" w:eastAsia="宋体" w:cs="宋体"/>
        <w:spacing w:val="-1"/>
        <w:w w:val="100"/>
        <w:sz w:val="21"/>
        <w:szCs w:val="21"/>
      </w:rPr>
    </w:lvl>
    <w:lvl w:ilvl="2" w:tentative="0">
      <w:start w:val="0"/>
      <w:numFmt w:val="bullet"/>
      <w:lvlText w:val="•"/>
      <w:lvlJc w:val="left"/>
      <w:pPr>
        <w:ind w:left="2861" w:hanging="369"/>
      </w:pPr>
      <w:rPr>
        <w:rFonts w:hint="default"/>
      </w:rPr>
    </w:lvl>
    <w:lvl w:ilvl="3" w:tentative="0">
      <w:start w:val="0"/>
      <w:numFmt w:val="bullet"/>
      <w:lvlText w:val="•"/>
      <w:lvlJc w:val="left"/>
      <w:pPr>
        <w:ind w:left="3871" w:hanging="369"/>
      </w:pPr>
      <w:rPr>
        <w:rFonts w:hint="default"/>
      </w:rPr>
    </w:lvl>
    <w:lvl w:ilvl="4" w:tentative="0">
      <w:start w:val="0"/>
      <w:numFmt w:val="bullet"/>
      <w:lvlText w:val="•"/>
      <w:lvlJc w:val="left"/>
      <w:pPr>
        <w:ind w:left="4882" w:hanging="369"/>
      </w:pPr>
      <w:rPr>
        <w:rFonts w:hint="default"/>
      </w:rPr>
    </w:lvl>
    <w:lvl w:ilvl="5" w:tentative="0">
      <w:start w:val="0"/>
      <w:numFmt w:val="bullet"/>
      <w:lvlText w:val="•"/>
      <w:lvlJc w:val="left"/>
      <w:pPr>
        <w:ind w:left="5893" w:hanging="369"/>
      </w:pPr>
      <w:rPr>
        <w:rFonts w:hint="default"/>
      </w:rPr>
    </w:lvl>
    <w:lvl w:ilvl="6" w:tentative="0">
      <w:start w:val="0"/>
      <w:numFmt w:val="bullet"/>
      <w:lvlText w:val="•"/>
      <w:lvlJc w:val="left"/>
      <w:pPr>
        <w:ind w:left="6903" w:hanging="369"/>
      </w:pPr>
      <w:rPr>
        <w:rFonts w:hint="default"/>
      </w:rPr>
    </w:lvl>
    <w:lvl w:ilvl="7" w:tentative="0">
      <w:start w:val="0"/>
      <w:numFmt w:val="bullet"/>
      <w:lvlText w:val="•"/>
      <w:lvlJc w:val="left"/>
      <w:pPr>
        <w:ind w:left="7914" w:hanging="369"/>
      </w:pPr>
      <w:rPr>
        <w:rFonts w:hint="default"/>
      </w:rPr>
    </w:lvl>
    <w:lvl w:ilvl="8" w:tentative="0">
      <w:start w:val="0"/>
      <w:numFmt w:val="bullet"/>
      <w:lvlText w:val="•"/>
      <w:lvlJc w:val="left"/>
      <w:pPr>
        <w:ind w:left="8925" w:hanging="369"/>
      </w:pPr>
      <w:rPr>
        <w:rFonts w:hint="default"/>
      </w:rPr>
    </w:lvl>
  </w:abstractNum>
  <w:abstractNum w:abstractNumId="9">
    <w:nsid w:val="00000004"/>
    <w:multiLevelType w:val="multilevel"/>
    <w:tmpl w:val="00000004"/>
    <w:lvl w:ilvl="0" w:tentative="0">
      <w:start w:val="1"/>
      <w:numFmt w:val="none"/>
      <w:suff w:val="nothing"/>
      <w:lvlText w:val="第五部分"/>
      <w:lvlJc w:val="center"/>
      <w:pPr>
        <w:ind w:left="2412" w:firstLine="288"/>
      </w:pPr>
      <w:rPr>
        <w:rFonts w:hint="eastAsia" w:cs="Times New Roman"/>
      </w:rPr>
    </w:lvl>
    <w:lvl w:ilvl="1" w:tentative="0">
      <w:start w:val="1"/>
      <w:numFmt w:val="japaneseCounting"/>
      <w:lvlText w:val="第%2章"/>
      <w:lvlJc w:val="left"/>
      <w:pPr>
        <w:tabs>
          <w:tab w:val="left" w:pos="720"/>
        </w:tabs>
        <w:ind w:left="720" w:hanging="720"/>
      </w:pPr>
      <w:rPr>
        <w:rFonts w:hint="eastAsia" w:cs="Times New Roman"/>
      </w:rPr>
    </w:lvl>
    <w:lvl w:ilvl="2" w:tentative="0">
      <w:start w:val="1"/>
      <w:numFmt w:val="chineseCountingThousand"/>
      <w:pStyle w:val="4"/>
      <w:suff w:val="nothing"/>
      <w:lvlText w:val="(%3)"/>
      <w:lvlJc w:val="left"/>
      <w:rPr>
        <w:rFonts w:hint="eastAsia" w:cs="Times New Roman"/>
      </w:rPr>
    </w:lvl>
    <w:lvl w:ilvl="3" w:tentative="0">
      <w:start w:val="1"/>
      <w:numFmt w:val="decimal"/>
      <w:pStyle w:val="5"/>
      <w:suff w:val="nothing"/>
      <w:lvlText w:val="%4、"/>
      <w:lvlJc w:val="left"/>
      <w:rPr>
        <w:rFonts w:hint="eastAsia" w:cs="Times New Roman"/>
      </w:rPr>
    </w:lvl>
    <w:lvl w:ilvl="4" w:tentative="0">
      <w:start w:val="1"/>
      <w:numFmt w:val="upperLetter"/>
      <w:suff w:val="nothing"/>
      <w:lvlText w:val="%5、"/>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10">
    <w:nsid w:val="00000006"/>
    <w:multiLevelType w:val="multilevel"/>
    <w:tmpl w:val="00000006"/>
    <w:lvl w:ilvl="0" w:tentative="0">
      <w:start w:val="18"/>
      <w:numFmt w:val="decimal"/>
      <w:lvlText w:val="%1."/>
      <w:lvlJc w:val="left"/>
      <w:pPr>
        <w:tabs>
          <w:tab w:val="left" w:pos="360"/>
        </w:tabs>
        <w:ind w:left="360" w:hanging="360"/>
      </w:pPr>
      <w:rPr>
        <w:rFonts w:cs="Times New Roman"/>
      </w:rPr>
    </w:lvl>
    <w:lvl w:ilvl="1" w:tentative="0">
      <w:start w:val="1"/>
      <w:numFmt w:val="decimal"/>
      <w:lvlText w:val="%1.%2"/>
      <w:lvlJc w:val="left"/>
      <w:pPr>
        <w:tabs>
          <w:tab w:val="left" w:pos="709"/>
        </w:tabs>
        <w:ind w:left="709" w:hanging="709"/>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440"/>
        </w:tabs>
        <w:ind w:left="1440" w:hanging="1440"/>
      </w:pPr>
      <w:rPr>
        <w:rFonts w:cs="Times New Roman"/>
      </w:rPr>
    </w:lvl>
    <w:lvl w:ilvl="6" w:tentative="0">
      <w:start w:val="1"/>
      <w:numFmt w:val="decimal"/>
      <w:lvlText w:val="%1.%2.%3.%4.%5.%6.%7"/>
      <w:lvlJc w:val="left"/>
      <w:pPr>
        <w:tabs>
          <w:tab w:val="left" w:pos="1440"/>
        </w:tabs>
        <w:ind w:left="1440" w:hanging="1440"/>
      </w:pPr>
      <w:rPr>
        <w:rFonts w:cs="Times New Roman"/>
      </w:rPr>
    </w:lvl>
    <w:lvl w:ilvl="7" w:tentative="0">
      <w:start w:val="1"/>
      <w:numFmt w:val="decimal"/>
      <w:lvlText w:val="%1.%2.%3.%4.%5.%6.%7.%8"/>
      <w:lvlJc w:val="left"/>
      <w:pPr>
        <w:tabs>
          <w:tab w:val="left" w:pos="1800"/>
        </w:tabs>
        <w:ind w:left="1800" w:hanging="180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11">
    <w:nsid w:val="00000007"/>
    <w:multiLevelType w:val="multilevel"/>
    <w:tmpl w:val="00000007"/>
    <w:lvl w:ilvl="0" w:tentative="0">
      <w:start w:val="4"/>
      <w:numFmt w:val="decimal"/>
      <w:lvlText w:val="%1."/>
      <w:lvlJc w:val="left"/>
      <w:pPr>
        <w:tabs>
          <w:tab w:val="left" w:pos="432"/>
        </w:tabs>
        <w:ind w:left="432" w:hanging="432"/>
      </w:pPr>
      <w:rPr>
        <w:rFonts w:cs="Times New Roman"/>
      </w:rPr>
    </w:lvl>
    <w:lvl w:ilvl="1" w:tentative="0">
      <w:start w:val="1"/>
      <w:numFmt w:val="decimal"/>
      <w:lvlText w:val="%1.%2"/>
      <w:lvlJc w:val="left"/>
      <w:pPr>
        <w:tabs>
          <w:tab w:val="left" w:pos="709"/>
        </w:tabs>
        <w:ind w:left="709" w:hanging="709"/>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lvlText w:val="%1.%2.%3.%4.%5"/>
      <w:lvlJc w:val="left"/>
      <w:pPr>
        <w:tabs>
          <w:tab w:val="left" w:pos="1008"/>
        </w:tabs>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abstractNum w:abstractNumId="12">
    <w:nsid w:val="00000008"/>
    <w:multiLevelType w:val="multilevel"/>
    <w:tmpl w:val="00000008"/>
    <w:lvl w:ilvl="0" w:tentative="0">
      <w:start w:val="1"/>
      <w:numFmt w:val="decimal"/>
      <w:lvlText w:val="（%1）"/>
      <w:lvlJc w:val="left"/>
      <w:pPr>
        <w:tabs>
          <w:tab w:val="left" w:pos="1429"/>
        </w:tabs>
        <w:ind w:left="1429" w:hanging="72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3">
    <w:nsid w:val="0000000A"/>
    <w:multiLevelType w:val="multilevel"/>
    <w:tmpl w:val="0000000A"/>
    <w:lvl w:ilvl="0" w:tentative="0">
      <w:start w:val="10"/>
      <w:numFmt w:val="decimal"/>
      <w:lvlText w:val="%1"/>
      <w:lvlJc w:val="left"/>
      <w:pPr>
        <w:tabs>
          <w:tab w:val="left" w:pos="420"/>
        </w:tabs>
        <w:ind w:left="420" w:hanging="420"/>
      </w:pPr>
      <w:rPr>
        <w:rFonts w:cs="Times New Roman"/>
      </w:rPr>
    </w:lvl>
    <w:lvl w:ilvl="1" w:tentative="0">
      <w:start w:val="1"/>
      <w:numFmt w:val="decimal"/>
      <w:lvlText w:val="%1.%2"/>
      <w:lvlJc w:val="left"/>
      <w:pPr>
        <w:tabs>
          <w:tab w:val="left" w:pos="709"/>
        </w:tabs>
        <w:ind w:left="709" w:hanging="709"/>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440"/>
        </w:tabs>
        <w:ind w:left="1440" w:hanging="1440"/>
      </w:pPr>
      <w:rPr>
        <w:rFonts w:cs="Times New Roman"/>
      </w:rPr>
    </w:lvl>
    <w:lvl w:ilvl="6" w:tentative="0">
      <w:start w:val="1"/>
      <w:numFmt w:val="decimal"/>
      <w:lvlText w:val="%1.%2.%3.%4.%5.%6.%7"/>
      <w:lvlJc w:val="left"/>
      <w:pPr>
        <w:tabs>
          <w:tab w:val="left" w:pos="1440"/>
        </w:tabs>
        <w:ind w:left="1440" w:hanging="1440"/>
      </w:pPr>
      <w:rPr>
        <w:rFonts w:cs="Times New Roman"/>
      </w:rPr>
    </w:lvl>
    <w:lvl w:ilvl="7" w:tentative="0">
      <w:start w:val="1"/>
      <w:numFmt w:val="decimal"/>
      <w:lvlText w:val="%1.%2.%3.%4.%5.%6.%7.%8"/>
      <w:lvlJc w:val="left"/>
      <w:pPr>
        <w:tabs>
          <w:tab w:val="left" w:pos="1800"/>
        </w:tabs>
        <w:ind w:left="1800" w:hanging="180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14">
    <w:nsid w:val="0000000B"/>
    <w:multiLevelType w:val="multilevel"/>
    <w:tmpl w:val="0000000B"/>
    <w:lvl w:ilvl="0" w:tentative="0">
      <w:start w:val="2"/>
      <w:numFmt w:val="decimal"/>
      <w:lvlText w:val="%1"/>
      <w:lvlJc w:val="left"/>
      <w:pPr>
        <w:tabs>
          <w:tab w:val="left" w:pos="360"/>
        </w:tabs>
        <w:ind w:left="360" w:hanging="360"/>
      </w:pPr>
      <w:rPr>
        <w:rFonts w:cs="Times New Roman"/>
      </w:rPr>
    </w:lvl>
    <w:lvl w:ilvl="1" w:tentative="0">
      <w:start w:val="1"/>
      <w:numFmt w:val="decimal"/>
      <w:lvlText w:val="%1.%2"/>
      <w:lvlJc w:val="left"/>
      <w:pPr>
        <w:tabs>
          <w:tab w:val="left" w:pos="709"/>
        </w:tabs>
        <w:ind w:left="709" w:hanging="709"/>
      </w:pPr>
      <w:rPr>
        <w:rFonts w:hint="default" w:cs="Times New Roman"/>
      </w:rPr>
    </w:lvl>
    <w:lvl w:ilvl="2" w:tentative="0">
      <w:start w:val="1"/>
      <w:numFmt w:val="decimal"/>
      <w:lvlText w:val="%1.%2.%3"/>
      <w:lvlJc w:val="left"/>
      <w:pPr>
        <w:tabs>
          <w:tab w:val="left" w:pos="720"/>
        </w:tabs>
        <w:ind w:left="720" w:hanging="720"/>
      </w:pPr>
      <w:rPr>
        <w:rFonts w:hint="default" w:ascii="宋体" w:hAnsi="宋体" w:eastAsia="宋体"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440"/>
        </w:tabs>
        <w:ind w:left="1440" w:hanging="1440"/>
      </w:pPr>
      <w:rPr>
        <w:rFonts w:cs="Times New Roman"/>
      </w:rPr>
    </w:lvl>
    <w:lvl w:ilvl="6" w:tentative="0">
      <w:start w:val="1"/>
      <w:numFmt w:val="decimal"/>
      <w:lvlText w:val="%1.%2.%3.%4.%5.%6.%7"/>
      <w:lvlJc w:val="left"/>
      <w:pPr>
        <w:tabs>
          <w:tab w:val="left" w:pos="1440"/>
        </w:tabs>
        <w:ind w:left="1440" w:hanging="1440"/>
      </w:pPr>
      <w:rPr>
        <w:rFonts w:cs="Times New Roman"/>
      </w:rPr>
    </w:lvl>
    <w:lvl w:ilvl="7" w:tentative="0">
      <w:start w:val="1"/>
      <w:numFmt w:val="decimal"/>
      <w:lvlText w:val="%1.%2.%3.%4.%5.%6.%7.%8"/>
      <w:lvlJc w:val="left"/>
      <w:pPr>
        <w:tabs>
          <w:tab w:val="left" w:pos="1800"/>
        </w:tabs>
        <w:ind w:left="1800" w:hanging="180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15">
    <w:nsid w:val="0000000E"/>
    <w:multiLevelType w:val="multilevel"/>
    <w:tmpl w:val="0000000E"/>
    <w:lvl w:ilvl="0" w:tentative="0">
      <w:start w:val="9"/>
      <w:numFmt w:val="decimal"/>
      <w:lvlText w:val="%1"/>
      <w:lvlJc w:val="left"/>
      <w:pPr>
        <w:tabs>
          <w:tab w:val="left" w:pos="360"/>
        </w:tabs>
        <w:ind w:left="360" w:hanging="360"/>
      </w:pPr>
      <w:rPr>
        <w:rFonts w:cs="Times New Roman"/>
      </w:rPr>
    </w:lvl>
    <w:lvl w:ilvl="1" w:tentative="0">
      <w:start w:val="1"/>
      <w:numFmt w:val="decimal"/>
      <w:lvlText w:val="%1.%2"/>
      <w:lvlJc w:val="left"/>
      <w:pPr>
        <w:tabs>
          <w:tab w:val="left" w:pos="709"/>
        </w:tabs>
        <w:ind w:left="709" w:hanging="709"/>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440"/>
        </w:tabs>
        <w:ind w:left="1440" w:hanging="1440"/>
      </w:pPr>
      <w:rPr>
        <w:rFonts w:cs="Times New Roman"/>
      </w:rPr>
    </w:lvl>
    <w:lvl w:ilvl="6" w:tentative="0">
      <w:start w:val="1"/>
      <w:numFmt w:val="decimal"/>
      <w:lvlText w:val="%1.%2.%3.%4.%5.%6.%7"/>
      <w:lvlJc w:val="left"/>
      <w:pPr>
        <w:tabs>
          <w:tab w:val="left" w:pos="1440"/>
        </w:tabs>
        <w:ind w:left="1440" w:hanging="1440"/>
      </w:pPr>
      <w:rPr>
        <w:rFonts w:cs="Times New Roman"/>
      </w:rPr>
    </w:lvl>
    <w:lvl w:ilvl="7" w:tentative="0">
      <w:start w:val="1"/>
      <w:numFmt w:val="decimal"/>
      <w:lvlText w:val="%1.%2.%3.%4.%5.%6.%7.%8"/>
      <w:lvlJc w:val="left"/>
      <w:pPr>
        <w:tabs>
          <w:tab w:val="left" w:pos="1800"/>
        </w:tabs>
        <w:ind w:left="1800" w:hanging="180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16">
    <w:nsid w:val="00000010"/>
    <w:multiLevelType w:val="multilevel"/>
    <w:tmpl w:val="00000010"/>
    <w:lvl w:ilvl="0" w:tentative="0">
      <w:start w:val="1"/>
      <w:numFmt w:val="decimal"/>
      <w:pStyle w:val="48"/>
      <w:lvlText w:val="%1"/>
      <w:lvlJc w:val="left"/>
      <w:pPr>
        <w:tabs>
          <w:tab w:val="left" w:pos="709"/>
        </w:tabs>
        <w:ind w:left="709" w:hanging="709"/>
      </w:pPr>
      <w:rPr>
        <w:rFonts w:cs="Times New Roman"/>
      </w:rPr>
    </w:lvl>
    <w:lvl w:ilvl="1" w:tentative="0">
      <w:start w:val="4"/>
      <w:numFmt w:val="decimal"/>
      <w:lvlText w:val="3.%2"/>
      <w:lvlJc w:val="left"/>
      <w:pPr>
        <w:tabs>
          <w:tab w:val="left" w:pos="709"/>
        </w:tabs>
        <w:ind w:left="709" w:hanging="709"/>
      </w:pPr>
      <w:rPr>
        <w:rFonts w:cs="Times New Roman"/>
      </w:rPr>
    </w:lvl>
    <w:lvl w:ilvl="2" w:tentative="0">
      <w:start w:val="1"/>
      <w:numFmt w:val="decimal"/>
      <w:lvlText w:val="%1.%2.%3."/>
      <w:lvlJc w:val="left"/>
      <w:pPr>
        <w:tabs>
          <w:tab w:val="left" w:pos="425"/>
        </w:tabs>
        <w:ind w:left="425" w:hanging="425"/>
      </w:pPr>
      <w:rPr>
        <w:rFonts w:cs="Times New Roman"/>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abstractNum w:abstractNumId="17">
    <w:nsid w:val="00000011"/>
    <w:multiLevelType w:val="multilevel"/>
    <w:tmpl w:val="00000011"/>
    <w:lvl w:ilvl="0" w:tentative="0">
      <w:start w:val="6"/>
      <w:numFmt w:val="decimal"/>
      <w:lvlText w:val="%1"/>
      <w:lvlJc w:val="left"/>
      <w:pPr>
        <w:tabs>
          <w:tab w:val="left" w:pos="360"/>
        </w:tabs>
        <w:ind w:left="360" w:hanging="360"/>
      </w:pPr>
      <w:rPr>
        <w:rFonts w:cs="Times New Roman"/>
      </w:rPr>
    </w:lvl>
    <w:lvl w:ilvl="1" w:tentative="0">
      <w:start w:val="1"/>
      <w:numFmt w:val="decimal"/>
      <w:lvlText w:val="%1.%2"/>
      <w:lvlJc w:val="left"/>
      <w:pPr>
        <w:tabs>
          <w:tab w:val="left" w:pos="709"/>
        </w:tabs>
        <w:ind w:left="709" w:hanging="709"/>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440"/>
        </w:tabs>
        <w:ind w:left="1440" w:hanging="1440"/>
      </w:pPr>
      <w:rPr>
        <w:rFonts w:cs="Times New Roman"/>
      </w:rPr>
    </w:lvl>
    <w:lvl w:ilvl="6" w:tentative="0">
      <w:start w:val="1"/>
      <w:numFmt w:val="decimal"/>
      <w:lvlText w:val="%1.%2.%3.%4.%5.%6.%7"/>
      <w:lvlJc w:val="left"/>
      <w:pPr>
        <w:tabs>
          <w:tab w:val="left" w:pos="1440"/>
        </w:tabs>
        <w:ind w:left="1440" w:hanging="1440"/>
      </w:pPr>
      <w:rPr>
        <w:rFonts w:cs="Times New Roman"/>
      </w:rPr>
    </w:lvl>
    <w:lvl w:ilvl="7" w:tentative="0">
      <w:start w:val="1"/>
      <w:numFmt w:val="decimal"/>
      <w:lvlText w:val="%1.%2.%3.%4.%5.%6.%7.%8"/>
      <w:lvlJc w:val="left"/>
      <w:pPr>
        <w:tabs>
          <w:tab w:val="left" w:pos="1800"/>
        </w:tabs>
        <w:ind w:left="1800" w:hanging="180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18">
    <w:nsid w:val="00000013"/>
    <w:multiLevelType w:val="multilevel"/>
    <w:tmpl w:val="00000013"/>
    <w:lvl w:ilvl="0" w:tentative="0">
      <w:start w:val="1"/>
      <w:numFmt w:val="decimal"/>
      <w:lvlText w:val="%1．"/>
      <w:lvlJc w:val="left"/>
      <w:pPr>
        <w:tabs>
          <w:tab w:val="left" w:pos="735"/>
        </w:tabs>
        <w:ind w:left="735" w:hanging="315"/>
      </w:pPr>
      <w:rPr>
        <w:rFonts w:cs="Times New Roman"/>
      </w:rPr>
    </w:lvl>
    <w:lvl w:ilvl="1" w:tentative="0">
      <w:start w:val="1"/>
      <w:numFmt w:val="decimal"/>
      <w:lvlText w:val="%1.%2"/>
      <w:lvlJc w:val="left"/>
      <w:pPr>
        <w:tabs>
          <w:tab w:val="left" w:pos="709"/>
        </w:tabs>
        <w:ind w:left="709" w:hanging="709"/>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440"/>
        </w:tabs>
        <w:ind w:left="1440" w:hanging="1440"/>
      </w:pPr>
      <w:rPr>
        <w:rFonts w:cs="Times New Roman"/>
      </w:rPr>
    </w:lvl>
    <w:lvl w:ilvl="6" w:tentative="0">
      <w:start w:val="1"/>
      <w:numFmt w:val="decimal"/>
      <w:lvlText w:val="%1.%2.%3.%4.%5.%6.%7"/>
      <w:lvlJc w:val="left"/>
      <w:pPr>
        <w:tabs>
          <w:tab w:val="left" w:pos="1440"/>
        </w:tabs>
        <w:ind w:left="1440" w:hanging="1440"/>
      </w:pPr>
      <w:rPr>
        <w:rFonts w:cs="Times New Roman"/>
      </w:rPr>
    </w:lvl>
    <w:lvl w:ilvl="7" w:tentative="0">
      <w:start w:val="1"/>
      <w:numFmt w:val="decimal"/>
      <w:lvlText w:val="%1.%2.%3.%4.%5.%6.%7.%8"/>
      <w:lvlJc w:val="left"/>
      <w:pPr>
        <w:tabs>
          <w:tab w:val="left" w:pos="1800"/>
        </w:tabs>
        <w:ind w:left="1800" w:hanging="180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19">
    <w:nsid w:val="00000014"/>
    <w:multiLevelType w:val="multilevel"/>
    <w:tmpl w:val="00000014"/>
    <w:lvl w:ilvl="0" w:tentative="0">
      <w:start w:val="19"/>
      <w:numFmt w:val="decimal"/>
      <w:lvlText w:val="%1"/>
      <w:lvlJc w:val="left"/>
      <w:pPr>
        <w:tabs>
          <w:tab w:val="left" w:pos="420"/>
        </w:tabs>
        <w:ind w:left="420" w:hanging="420"/>
      </w:pPr>
      <w:rPr>
        <w:rFonts w:cs="Times New Roman"/>
      </w:rPr>
    </w:lvl>
    <w:lvl w:ilvl="1" w:tentative="0">
      <w:start w:val="1"/>
      <w:numFmt w:val="decimal"/>
      <w:lvlText w:val="%1.%2"/>
      <w:lvlJc w:val="left"/>
      <w:pPr>
        <w:tabs>
          <w:tab w:val="left" w:pos="709"/>
        </w:tabs>
        <w:ind w:left="709" w:hanging="709"/>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440"/>
        </w:tabs>
        <w:ind w:left="1440" w:hanging="1440"/>
      </w:pPr>
      <w:rPr>
        <w:rFonts w:cs="Times New Roman"/>
      </w:rPr>
    </w:lvl>
    <w:lvl w:ilvl="6" w:tentative="0">
      <w:start w:val="1"/>
      <w:numFmt w:val="decimal"/>
      <w:lvlText w:val="%1.%2.%3.%4.%5.%6.%7"/>
      <w:lvlJc w:val="left"/>
      <w:pPr>
        <w:tabs>
          <w:tab w:val="left" w:pos="1440"/>
        </w:tabs>
        <w:ind w:left="1440" w:hanging="1440"/>
      </w:pPr>
      <w:rPr>
        <w:rFonts w:cs="Times New Roman"/>
      </w:rPr>
    </w:lvl>
    <w:lvl w:ilvl="7" w:tentative="0">
      <w:start w:val="1"/>
      <w:numFmt w:val="decimal"/>
      <w:lvlText w:val="%1.%2.%3.%4.%5.%6.%7.%8"/>
      <w:lvlJc w:val="left"/>
      <w:pPr>
        <w:tabs>
          <w:tab w:val="left" w:pos="1800"/>
        </w:tabs>
        <w:ind w:left="1800" w:hanging="180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20">
    <w:nsid w:val="00000015"/>
    <w:multiLevelType w:val="multilevel"/>
    <w:tmpl w:val="00000015"/>
    <w:lvl w:ilvl="0" w:tentative="0">
      <w:start w:val="1"/>
      <w:numFmt w:val="decimal"/>
      <w:lvlText w:val="%1.1"/>
      <w:lvlJc w:val="left"/>
      <w:pPr>
        <w:tabs>
          <w:tab w:val="left" w:pos="425"/>
        </w:tabs>
        <w:ind w:left="425" w:hanging="425"/>
      </w:pPr>
      <w:rPr>
        <w:rFonts w:cs="Times New Roman"/>
      </w:rPr>
    </w:lvl>
    <w:lvl w:ilvl="1" w:tentative="0">
      <w:start w:val="1"/>
      <w:numFmt w:val="decimal"/>
      <w:lvlText w:val="%1.%2"/>
      <w:lvlJc w:val="left"/>
      <w:pPr>
        <w:tabs>
          <w:tab w:val="left" w:pos="567"/>
        </w:tabs>
        <w:ind w:left="567" w:hanging="567"/>
      </w:pPr>
      <w:rPr>
        <w:rFonts w:cs="Times New Roman"/>
      </w:rPr>
    </w:lvl>
    <w:lvl w:ilvl="2" w:tentative="0">
      <w:start w:val="1"/>
      <w:numFmt w:val="decimal"/>
      <w:lvlText w:val="%1.%2.%3"/>
      <w:lvlJc w:val="left"/>
      <w:pPr>
        <w:tabs>
          <w:tab w:val="left" w:pos="1418"/>
        </w:tabs>
        <w:ind w:left="1418" w:hanging="567"/>
      </w:pPr>
      <w:rPr>
        <w:rFonts w:cs="Times New Roman"/>
      </w:rPr>
    </w:lvl>
    <w:lvl w:ilvl="3" w:tentative="0">
      <w:start w:val="1"/>
      <w:numFmt w:val="decimal"/>
      <w:pStyle w:val="45"/>
      <w:lvlText w:val="%1.%2.%3.%4"/>
      <w:lvlJc w:val="left"/>
      <w:pPr>
        <w:tabs>
          <w:tab w:val="left" w:pos="2356"/>
        </w:tabs>
        <w:ind w:left="1984" w:hanging="708"/>
      </w:pPr>
      <w:rPr>
        <w:rFonts w:cs="Times New Roman"/>
      </w:rPr>
    </w:lvl>
    <w:lvl w:ilvl="4" w:tentative="0">
      <w:start w:val="1"/>
      <w:numFmt w:val="decimal"/>
      <w:lvlText w:val="%1.%2.%3.%4.%5"/>
      <w:lvlJc w:val="left"/>
      <w:pPr>
        <w:tabs>
          <w:tab w:val="left" w:pos="2781"/>
        </w:tabs>
        <w:ind w:left="2551" w:hanging="850"/>
      </w:pPr>
      <w:rPr>
        <w:rFonts w:cs="Times New Roman"/>
      </w:rPr>
    </w:lvl>
    <w:lvl w:ilvl="5" w:tentative="0">
      <w:start w:val="1"/>
      <w:numFmt w:val="decimal"/>
      <w:lvlText w:val="%1.%2.%3.%4.%5.%6"/>
      <w:lvlJc w:val="left"/>
      <w:pPr>
        <w:tabs>
          <w:tab w:val="left" w:pos="3566"/>
        </w:tabs>
        <w:ind w:left="3260" w:hanging="1134"/>
      </w:pPr>
      <w:rPr>
        <w:rFonts w:cs="Times New Roman"/>
      </w:rPr>
    </w:lvl>
    <w:lvl w:ilvl="6" w:tentative="0">
      <w:start w:val="1"/>
      <w:numFmt w:val="decimal"/>
      <w:lvlText w:val="%1.%2.%3.%4.%5.%6.%7"/>
      <w:lvlJc w:val="left"/>
      <w:pPr>
        <w:tabs>
          <w:tab w:val="left" w:pos="3991"/>
        </w:tabs>
        <w:ind w:left="3827" w:hanging="1276"/>
      </w:pPr>
      <w:rPr>
        <w:rFonts w:cs="Times New Roman"/>
      </w:rPr>
    </w:lvl>
    <w:lvl w:ilvl="7" w:tentative="0">
      <w:start w:val="1"/>
      <w:numFmt w:val="decimal"/>
      <w:lvlText w:val="%1.%2.%3.%4.%5.%6.%7.%8"/>
      <w:lvlJc w:val="left"/>
      <w:pPr>
        <w:tabs>
          <w:tab w:val="left" w:pos="4776"/>
        </w:tabs>
        <w:ind w:left="4394" w:hanging="1418"/>
      </w:pPr>
      <w:rPr>
        <w:rFonts w:cs="Times New Roman"/>
      </w:rPr>
    </w:lvl>
    <w:lvl w:ilvl="8" w:tentative="0">
      <w:start w:val="1"/>
      <w:numFmt w:val="decimal"/>
      <w:lvlText w:val="%1.%2.%3.%4.%5.%6.%7.%8.%9"/>
      <w:lvlJc w:val="left"/>
      <w:pPr>
        <w:tabs>
          <w:tab w:val="left" w:pos="5202"/>
        </w:tabs>
        <w:ind w:left="5102" w:hanging="1700"/>
      </w:pPr>
      <w:rPr>
        <w:rFonts w:cs="Times New Roman"/>
      </w:rPr>
    </w:lvl>
  </w:abstractNum>
  <w:abstractNum w:abstractNumId="21">
    <w:nsid w:val="00000016"/>
    <w:multiLevelType w:val="multilevel"/>
    <w:tmpl w:val="00000016"/>
    <w:lvl w:ilvl="0" w:tentative="0">
      <w:start w:val="1"/>
      <w:numFmt w:val="decimal"/>
      <w:lvlText w:val="%1．"/>
      <w:lvlJc w:val="left"/>
      <w:pPr>
        <w:tabs>
          <w:tab w:val="left" w:pos="735"/>
        </w:tabs>
        <w:ind w:left="735" w:hanging="315"/>
      </w:pPr>
      <w:rPr>
        <w:rFonts w:cs="Times New Roman"/>
      </w:rPr>
    </w:lvl>
    <w:lvl w:ilvl="1" w:tentative="0">
      <w:start w:val="1"/>
      <w:numFmt w:val="decimal"/>
      <w:lvlText w:val="%1.%2"/>
      <w:lvlJc w:val="left"/>
      <w:pPr>
        <w:tabs>
          <w:tab w:val="left" w:pos="709"/>
        </w:tabs>
        <w:ind w:left="709" w:hanging="709"/>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440"/>
        </w:tabs>
        <w:ind w:left="1440" w:hanging="1440"/>
      </w:pPr>
      <w:rPr>
        <w:rFonts w:cs="Times New Roman"/>
      </w:rPr>
    </w:lvl>
    <w:lvl w:ilvl="6" w:tentative="0">
      <w:start w:val="1"/>
      <w:numFmt w:val="decimal"/>
      <w:lvlText w:val="%1.%2.%3.%4.%5.%6.%7"/>
      <w:lvlJc w:val="left"/>
      <w:pPr>
        <w:tabs>
          <w:tab w:val="left" w:pos="1440"/>
        </w:tabs>
        <w:ind w:left="1440" w:hanging="1440"/>
      </w:pPr>
      <w:rPr>
        <w:rFonts w:cs="Times New Roman"/>
      </w:rPr>
    </w:lvl>
    <w:lvl w:ilvl="7" w:tentative="0">
      <w:start w:val="1"/>
      <w:numFmt w:val="decimal"/>
      <w:lvlText w:val="%1.%2.%3.%4.%5.%6.%7.%8"/>
      <w:lvlJc w:val="left"/>
      <w:pPr>
        <w:tabs>
          <w:tab w:val="left" w:pos="1800"/>
        </w:tabs>
        <w:ind w:left="1800" w:hanging="180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22">
    <w:nsid w:val="00000019"/>
    <w:multiLevelType w:val="multilevel"/>
    <w:tmpl w:val="00000019"/>
    <w:lvl w:ilvl="0" w:tentative="0">
      <w:start w:val="16"/>
      <w:numFmt w:val="decimal"/>
      <w:lvlText w:val="%1"/>
      <w:lvlJc w:val="left"/>
      <w:pPr>
        <w:tabs>
          <w:tab w:val="left" w:pos="420"/>
        </w:tabs>
        <w:ind w:left="420" w:hanging="420"/>
      </w:pPr>
      <w:rPr>
        <w:rFonts w:cs="Times New Roman"/>
      </w:rPr>
    </w:lvl>
    <w:lvl w:ilvl="1" w:tentative="0">
      <w:start w:val="1"/>
      <w:numFmt w:val="decimal"/>
      <w:lvlText w:val="%1.%2"/>
      <w:lvlJc w:val="left"/>
      <w:pPr>
        <w:tabs>
          <w:tab w:val="left" w:pos="709"/>
        </w:tabs>
        <w:ind w:left="709" w:hanging="709"/>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440"/>
        </w:tabs>
        <w:ind w:left="1440" w:hanging="1440"/>
      </w:pPr>
      <w:rPr>
        <w:rFonts w:cs="Times New Roman"/>
      </w:rPr>
    </w:lvl>
    <w:lvl w:ilvl="6" w:tentative="0">
      <w:start w:val="1"/>
      <w:numFmt w:val="decimal"/>
      <w:lvlText w:val="%1.%2.%3.%4.%5.%6.%7"/>
      <w:lvlJc w:val="left"/>
      <w:pPr>
        <w:tabs>
          <w:tab w:val="left" w:pos="1440"/>
        </w:tabs>
        <w:ind w:left="1440" w:hanging="1440"/>
      </w:pPr>
      <w:rPr>
        <w:rFonts w:cs="Times New Roman"/>
      </w:rPr>
    </w:lvl>
    <w:lvl w:ilvl="7" w:tentative="0">
      <w:start w:val="1"/>
      <w:numFmt w:val="decimal"/>
      <w:lvlText w:val="%1.%2.%3.%4.%5.%6.%7.%8"/>
      <w:lvlJc w:val="left"/>
      <w:pPr>
        <w:tabs>
          <w:tab w:val="left" w:pos="1800"/>
        </w:tabs>
        <w:ind w:left="1800" w:hanging="180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23">
    <w:nsid w:val="0000001A"/>
    <w:multiLevelType w:val="multilevel"/>
    <w:tmpl w:val="0000001A"/>
    <w:lvl w:ilvl="0" w:tentative="0">
      <w:start w:val="1"/>
      <w:numFmt w:val="decimal"/>
      <w:lvlText w:val="（%1）"/>
      <w:lvlJc w:val="left"/>
      <w:pPr>
        <w:tabs>
          <w:tab w:val="left" w:pos="1350"/>
        </w:tabs>
        <w:ind w:left="1350" w:hanging="720"/>
      </w:pPr>
      <w:rPr>
        <w:rFonts w:cs="Times New Roman"/>
        <w:color w:val="auto"/>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24">
    <w:nsid w:val="0000001E"/>
    <w:multiLevelType w:val="multilevel"/>
    <w:tmpl w:val="0000001E"/>
    <w:lvl w:ilvl="0" w:tentative="0">
      <w:start w:val="5"/>
      <w:numFmt w:val="decimal"/>
      <w:lvlText w:val="%1"/>
      <w:lvlJc w:val="left"/>
      <w:pPr>
        <w:tabs>
          <w:tab w:val="left" w:pos="360"/>
        </w:tabs>
        <w:ind w:left="360" w:hanging="360"/>
      </w:pPr>
      <w:rPr>
        <w:rFonts w:cs="Times New Roman"/>
      </w:rPr>
    </w:lvl>
    <w:lvl w:ilvl="1" w:tentative="0">
      <w:start w:val="1"/>
      <w:numFmt w:val="decimal"/>
      <w:lvlText w:val="%1.%2"/>
      <w:lvlJc w:val="left"/>
      <w:pPr>
        <w:tabs>
          <w:tab w:val="left" w:pos="709"/>
        </w:tabs>
        <w:ind w:left="709" w:hanging="709"/>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440"/>
        </w:tabs>
        <w:ind w:left="1440" w:hanging="1440"/>
      </w:pPr>
      <w:rPr>
        <w:rFonts w:cs="Times New Roman"/>
      </w:rPr>
    </w:lvl>
    <w:lvl w:ilvl="6" w:tentative="0">
      <w:start w:val="1"/>
      <w:numFmt w:val="decimal"/>
      <w:lvlText w:val="%1.%2.%3.%4.%5.%6.%7"/>
      <w:lvlJc w:val="left"/>
      <w:pPr>
        <w:tabs>
          <w:tab w:val="left" w:pos="1440"/>
        </w:tabs>
        <w:ind w:left="1440" w:hanging="1440"/>
      </w:pPr>
      <w:rPr>
        <w:rFonts w:cs="Times New Roman"/>
      </w:rPr>
    </w:lvl>
    <w:lvl w:ilvl="7" w:tentative="0">
      <w:start w:val="1"/>
      <w:numFmt w:val="decimal"/>
      <w:lvlText w:val="%1.%2.%3.%4.%5.%6.%7.%8"/>
      <w:lvlJc w:val="left"/>
      <w:pPr>
        <w:tabs>
          <w:tab w:val="left" w:pos="1800"/>
        </w:tabs>
        <w:ind w:left="1800" w:hanging="180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25">
    <w:nsid w:val="00000021"/>
    <w:multiLevelType w:val="multilevel"/>
    <w:tmpl w:val="00000021"/>
    <w:lvl w:ilvl="0" w:tentative="0">
      <w:start w:val="1"/>
      <w:numFmt w:val="decimal"/>
      <w:lvlText w:val="（%1）"/>
      <w:lvlJc w:val="left"/>
      <w:pPr>
        <w:tabs>
          <w:tab w:val="left" w:pos="1429"/>
        </w:tabs>
        <w:ind w:left="1429" w:hanging="72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26">
    <w:nsid w:val="0709FD3E"/>
    <w:multiLevelType w:val="multilevel"/>
    <w:tmpl w:val="0709FD3E"/>
    <w:lvl w:ilvl="0" w:tentative="0">
      <w:start w:val="1"/>
      <w:numFmt w:val="decimal"/>
      <w:lvlText w:val="%1"/>
      <w:lvlJc w:val="left"/>
      <w:pPr>
        <w:ind w:left="1199" w:hanging="361"/>
      </w:pPr>
      <w:rPr>
        <w:rFonts w:hint="default" w:cs="Times New Roman"/>
      </w:rPr>
    </w:lvl>
    <w:lvl w:ilvl="1" w:tentative="0">
      <w:start w:val="4"/>
      <w:numFmt w:val="decimal"/>
      <w:lvlText w:val="%1.%2"/>
      <w:lvlJc w:val="left"/>
      <w:pPr>
        <w:ind w:left="1199" w:hanging="361"/>
      </w:pPr>
      <w:rPr>
        <w:rFonts w:hint="default" w:ascii="宋体" w:hAnsi="宋体" w:eastAsia="宋体" w:cs="宋体"/>
        <w:w w:val="100"/>
        <w:sz w:val="22"/>
        <w:szCs w:val="22"/>
      </w:rPr>
    </w:lvl>
    <w:lvl w:ilvl="2" w:tentative="0">
      <w:start w:val="1"/>
      <w:numFmt w:val="decimal"/>
      <w:lvlText w:val="（%3）"/>
      <w:lvlJc w:val="left"/>
      <w:pPr>
        <w:ind w:left="1847" w:hanging="527"/>
      </w:pPr>
      <w:rPr>
        <w:rFonts w:hint="default" w:ascii="宋体" w:hAnsi="宋体" w:eastAsia="宋体" w:cs="宋体"/>
        <w:spacing w:val="-2"/>
        <w:w w:val="100"/>
        <w:sz w:val="19"/>
        <w:szCs w:val="19"/>
      </w:rPr>
    </w:lvl>
    <w:lvl w:ilvl="3" w:tentative="0">
      <w:start w:val="0"/>
      <w:numFmt w:val="bullet"/>
      <w:lvlText w:val="•"/>
      <w:lvlJc w:val="left"/>
      <w:pPr>
        <w:ind w:left="3863" w:hanging="527"/>
      </w:pPr>
      <w:rPr>
        <w:rFonts w:hint="default"/>
      </w:rPr>
    </w:lvl>
    <w:lvl w:ilvl="4" w:tentative="0">
      <w:start w:val="0"/>
      <w:numFmt w:val="bullet"/>
      <w:lvlText w:val="•"/>
      <w:lvlJc w:val="left"/>
      <w:pPr>
        <w:ind w:left="4875" w:hanging="527"/>
      </w:pPr>
      <w:rPr>
        <w:rFonts w:hint="default"/>
      </w:rPr>
    </w:lvl>
    <w:lvl w:ilvl="5" w:tentative="0">
      <w:start w:val="0"/>
      <w:numFmt w:val="bullet"/>
      <w:lvlText w:val="•"/>
      <w:lvlJc w:val="left"/>
      <w:pPr>
        <w:ind w:left="5887" w:hanging="527"/>
      </w:pPr>
      <w:rPr>
        <w:rFonts w:hint="default"/>
      </w:rPr>
    </w:lvl>
    <w:lvl w:ilvl="6" w:tentative="0">
      <w:start w:val="0"/>
      <w:numFmt w:val="bullet"/>
      <w:lvlText w:val="•"/>
      <w:lvlJc w:val="left"/>
      <w:pPr>
        <w:ind w:left="6899" w:hanging="527"/>
      </w:pPr>
      <w:rPr>
        <w:rFonts w:hint="default"/>
      </w:rPr>
    </w:lvl>
    <w:lvl w:ilvl="7" w:tentative="0">
      <w:start w:val="0"/>
      <w:numFmt w:val="bullet"/>
      <w:lvlText w:val="•"/>
      <w:lvlJc w:val="left"/>
      <w:pPr>
        <w:ind w:left="7910" w:hanging="527"/>
      </w:pPr>
      <w:rPr>
        <w:rFonts w:hint="default"/>
      </w:rPr>
    </w:lvl>
    <w:lvl w:ilvl="8" w:tentative="0">
      <w:start w:val="0"/>
      <w:numFmt w:val="bullet"/>
      <w:lvlText w:val="•"/>
      <w:lvlJc w:val="left"/>
      <w:pPr>
        <w:ind w:left="8922" w:hanging="527"/>
      </w:pPr>
      <w:rPr>
        <w:rFonts w:hint="default"/>
      </w:rPr>
    </w:lvl>
  </w:abstractNum>
  <w:abstractNum w:abstractNumId="27">
    <w:nsid w:val="0889B17B"/>
    <w:multiLevelType w:val="singleLevel"/>
    <w:tmpl w:val="0889B17B"/>
    <w:lvl w:ilvl="0" w:tentative="0">
      <w:start w:val="8"/>
      <w:numFmt w:val="decimal"/>
      <w:suff w:val="space"/>
      <w:lvlText w:val="%1."/>
      <w:lvlJc w:val="left"/>
      <w:rPr>
        <w:rFonts w:cs="Times New Roman"/>
      </w:rPr>
    </w:lvl>
  </w:abstractNum>
  <w:abstractNum w:abstractNumId="28">
    <w:nsid w:val="09900F5D"/>
    <w:multiLevelType w:val="multilevel"/>
    <w:tmpl w:val="09900F5D"/>
    <w:lvl w:ilvl="0" w:tentative="0">
      <w:start w:val="1"/>
      <w:numFmt w:val="decimal"/>
      <w:lvlText w:val="（%1）"/>
      <w:lvlJc w:val="left"/>
      <w:pPr>
        <w:tabs>
          <w:tab w:val="left" w:pos="1199"/>
        </w:tabs>
        <w:ind w:left="1199" w:hanging="720"/>
      </w:pPr>
      <w:rPr>
        <w:rFonts w:hint="default" w:cs="Times New Roman"/>
      </w:rPr>
    </w:lvl>
    <w:lvl w:ilvl="1" w:tentative="0">
      <w:start w:val="1"/>
      <w:numFmt w:val="lowerLetter"/>
      <w:lvlText w:val="%2)"/>
      <w:lvlJc w:val="left"/>
      <w:pPr>
        <w:tabs>
          <w:tab w:val="left" w:pos="1319"/>
        </w:tabs>
        <w:ind w:left="1319" w:hanging="420"/>
      </w:pPr>
      <w:rPr>
        <w:rFonts w:cs="Times New Roman"/>
      </w:rPr>
    </w:lvl>
    <w:lvl w:ilvl="2" w:tentative="0">
      <w:start w:val="1"/>
      <w:numFmt w:val="lowerRoman"/>
      <w:lvlText w:val="%3."/>
      <w:lvlJc w:val="right"/>
      <w:pPr>
        <w:tabs>
          <w:tab w:val="left" w:pos="1739"/>
        </w:tabs>
        <w:ind w:left="1739" w:hanging="420"/>
      </w:pPr>
      <w:rPr>
        <w:rFonts w:cs="Times New Roman"/>
      </w:rPr>
    </w:lvl>
    <w:lvl w:ilvl="3" w:tentative="0">
      <w:start w:val="1"/>
      <w:numFmt w:val="decimal"/>
      <w:lvlText w:val="%4."/>
      <w:lvlJc w:val="left"/>
      <w:pPr>
        <w:tabs>
          <w:tab w:val="left" w:pos="2159"/>
        </w:tabs>
        <w:ind w:left="2159" w:hanging="420"/>
      </w:pPr>
      <w:rPr>
        <w:rFonts w:cs="Times New Roman"/>
      </w:rPr>
    </w:lvl>
    <w:lvl w:ilvl="4" w:tentative="0">
      <w:start w:val="1"/>
      <w:numFmt w:val="lowerLetter"/>
      <w:lvlText w:val="%5)"/>
      <w:lvlJc w:val="left"/>
      <w:pPr>
        <w:tabs>
          <w:tab w:val="left" w:pos="2579"/>
        </w:tabs>
        <w:ind w:left="2579" w:hanging="420"/>
      </w:pPr>
      <w:rPr>
        <w:rFonts w:cs="Times New Roman"/>
      </w:rPr>
    </w:lvl>
    <w:lvl w:ilvl="5" w:tentative="0">
      <w:start w:val="1"/>
      <w:numFmt w:val="lowerRoman"/>
      <w:lvlText w:val="%6."/>
      <w:lvlJc w:val="right"/>
      <w:pPr>
        <w:tabs>
          <w:tab w:val="left" w:pos="2999"/>
        </w:tabs>
        <w:ind w:left="2999" w:hanging="420"/>
      </w:pPr>
      <w:rPr>
        <w:rFonts w:cs="Times New Roman"/>
      </w:rPr>
    </w:lvl>
    <w:lvl w:ilvl="6" w:tentative="0">
      <w:start w:val="1"/>
      <w:numFmt w:val="decimal"/>
      <w:lvlText w:val="%7."/>
      <w:lvlJc w:val="left"/>
      <w:pPr>
        <w:tabs>
          <w:tab w:val="left" w:pos="3419"/>
        </w:tabs>
        <w:ind w:left="3419" w:hanging="420"/>
      </w:pPr>
      <w:rPr>
        <w:rFonts w:cs="Times New Roman"/>
      </w:rPr>
    </w:lvl>
    <w:lvl w:ilvl="7" w:tentative="0">
      <w:start w:val="1"/>
      <w:numFmt w:val="lowerLetter"/>
      <w:lvlText w:val="%8)"/>
      <w:lvlJc w:val="left"/>
      <w:pPr>
        <w:tabs>
          <w:tab w:val="left" w:pos="3839"/>
        </w:tabs>
        <w:ind w:left="3839" w:hanging="420"/>
      </w:pPr>
      <w:rPr>
        <w:rFonts w:cs="Times New Roman"/>
      </w:rPr>
    </w:lvl>
    <w:lvl w:ilvl="8" w:tentative="0">
      <w:start w:val="1"/>
      <w:numFmt w:val="lowerRoman"/>
      <w:lvlText w:val="%9."/>
      <w:lvlJc w:val="right"/>
      <w:pPr>
        <w:tabs>
          <w:tab w:val="left" w:pos="4259"/>
        </w:tabs>
        <w:ind w:left="4259" w:hanging="420"/>
      </w:pPr>
      <w:rPr>
        <w:rFonts w:cs="Times New Roman"/>
      </w:rPr>
    </w:lvl>
  </w:abstractNum>
  <w:abstractNum w:abstractNumId="29">
    <w:nsid w:val="0CEF100B"/>
    <w:multiLevelType w:val="multilevel"/>
    <w:tmpl w:val="0CEF100B"/>
    <w:lvl w:ilvl="0" w:tentative="0">
      <w:start w:val="1"/>
      <w:numFmt w:val="decimal"/>
      <w:lvlText w:val="%1"/>
      <w:lvlJc w:val="left"/>
      <w:pPr>
        <w:ind w:left="1784" w:hanging="526"/>
      </w:pPr>
      <w:rPr>
        <w:rFonts w:hint="default" w:cs="Times New Roman"/>
      </w:rPr>
    </w:lvl>
    <w:lvl w:ilvl="1" w:tentative="0">
      <w:start w:val="6"/>
      <w:numFmt w:val="decimal"/>
      <w:lvlText w:val="%1.%2"/>
      <w:lvlJc w:val="left"/>
      <w:pPr>
        <w:ind w:left="1784" w:hanging="526"/>
      </w:pPr>
      <w:rPr>
        <w:rFonts w:hint="default" w:cs="Times New Roman"/>
      </w:rPr>
    </w:lvl>
    <w:lvl w:ilvl="2" w:tentative="0">
      <w:start w:val="1"/>
      <w:numFmt w:val="decimal"/>
      <w:lvlText w:val="%1.%2.%3"/>
      <w:lvlJc w:val="left"/>
      <w:pPr>
        <w:ind w:left="1784" w:hanging="526"/>
      </w:pPr>
      <w:rPr>
        <w:rFonts w:hint="default" w:ascii="宋体" w:hAnsi="宋体" w:eastAsia="宋体" w:cs="宋体"/>
        <w:spacing w:val="-2"/>
        <w:w w:val="100"/>
        <w:sz w:val="19"/>
        <w:szCs w:val="19"/>
      </w:rPr>
    </w:lvl>
    <w:lvl w:ilvl="3" w:tentative="0">
      <w:start w:val="0"/>
      <w:numFmt w:val="bullet"/>
      <w:lvlText w:val="•"/>
      <w:lvlJc w:val="left"/>
      <w:pPr>
        <w:ind w:left="4529" w:hanging="526"/>
      </w:pPr>
      <w:rPr>
        <w:rFonts w:hint="default"/>
      </w:rPr>
    </w:lvl>
    <w:lvl w:ilvl="4" w:tentative="0">
      <w:start w:val="0"/>
      <w:numFmt w:val="bullet"/>
      <w:lvlText w:val="•"/>
      <w:lvlJc w:val="left"/>
      <w:pPr>
        <w:ind w:left="5446" w:hanging="526"/>
      </w:pPr>
      <w:rPr>
        <w:rFonts w:hint="default"/>
      </w:rPr>
    </w:lvl>
    <w:lvl w:ilvl="5" w:tentative="0">
      <w:start w:val="0"/>
      <w:numFmt w:val="bullet"/>
      <w:lvlText w:val="•"/>
      <w:lvlJc w:val="left"/>
      <w:pPr>
        <w:ind w:left="6363" w:hanging="526"/>
      </w:pPr>
      <w:rPr>
        <w:rFonts w:hint="default"/>
      </w:rPr>
    </w:lvl>
    <w:lvl w:ilvl="6" w:tentative="0">
      <w:start w:val="0"/>
      <w:numFmt w:val="bullet"/>
      <w:lvlText w:val="•"/>
      <w:lvlJc w:val="left"/>
      <w:pPr>
        <w:ind w:left="7279" w:hanging="526"/>
      </w:pPr>
      <w:rPr>
        <w:rFonts w:hint="default"/>
      </w:rPr>
    </w:lvl>
    <w:lvl w:ilvl="7" w:tentative="0">
      <w:start w:val="0"/>
      <w:numFmt w:val="bullet"/>
      <w:lvlText w:val="•"/>
      <w:lvlJc w:val="left"/>
      <w:pPr>
        <w:ind w:left="8196" w:hanging="526"/>
      </w:pPr>
      <w:rPr>
        <w:rFonts w:hint="default"/>
      </w:rPr>
    </w:lvl>
    <w:lvl w:ilvl="8" w:tentative="0">
      <w:start w:val="0"/>
      <w:numFmt w:val="bullet"/>
      <w:lvlText w:val="•"/>
      <w:lvlJc w:val="left"/>
      <w:pPr>
        <w:ind w:left="9113" w:hanging="526"/>
      </w:pPr>
      <w:rPr>
        <w:rFonts w:hint="default"/>
      </w:rPr>
    </w:lvl>
  </w:abstractNum>
  <w:abstractNum w:abstractNumId="30">
    <w:nsid w:val="0F9F9CCA"/>
    <w:multiLevelType w:val="multilevel"/>
    <w:tmpl w:val="0F9F9CCA"/>
    <w:lvl w:ilvl="0" w:tentative="0">
      <w:start w:val="15"/>
      <w:numFmt w:val="decimal"/>
      <w:lvlText w:val="%1"/>
      <w:lvlJc w:val="left"/>
      <w:pPr>
        <w:ind w:left="1319" w:hanging="481"/>
      </w:pPr>
      <w:rPr>
        <w:rFonts w:hint="default" w:cs="Times New Roman"/>
      </w:rPr>
    </w:lvl>
    <w:lvl w:ilvl="1" w:tentative="0">
      <w:start w:val="3"/>
      <w:numFmt w:val="decimal"/>
      <w:lvlText w:val="%1.%2"/>
      <w:lvlJc w:val="left"/>
      <w:pPr>
        <w:ind w:left="1319" w:hanging="481"/>
      </w:pPr>
      <w:rPr>
        <w:rFonts w:hint="default" w:ascii="宋体" w:hAnsi="宋体" w:eastAsia="宋体" w:cs="宋体"/>
        <w:w w:val="100"/>
        <w:sz w:val="22"/>
        <w:szCs w:val="22"/>
      </w:rPr>
    </w:lvl>
    <w:lvl w:ilvl="2" w:tentative="0">
      <w:start w:val="0"/>
      <w:numFmt w:val="bullet"/>
      <w:lvlText w:val="•"/>
      <w:lvlJc w:val="left"/>
      <w:pPr>
        <w:ind w:left="3245" w:hanging="481"/>
      </w:pPr>
      <w:rPr>
        <w:rFonts w:hint="default"/>
      </w:rPr>
    </w:lvl>
    <w:lvl w:ilvl="3" w:tentative="0">
      <w:start w:val="0"/>
      <w:numFmt w:val="bullet"/>
      <w:lvlText w:val="•"/>
      <w:lvlJc w:val="left"/>
      <w:pPr>
        <w:ind w:left="4207" w:hanging="481"/>
      </w:pPr>
      <w:rPr>
        <w:rFonts w:hint="default"/>
      </w:rPr>
    </w:lvl>
    <w:lvl w:ilvl="4" w:tentative="0">
      <w:start w:val="0"/>
      <w:numFmt w:val="bullet"/>
      <w:lvlText w:val="•"/>
      <w:lvlJc w:val="left"/>
      <w:pPr>
        <w:ind w:left="5170" w:hanging="481"/>
      </w:pPr>
      <w:rPr>
        <w:rFonts w:hint="default"/>
      </w:rPr>
    </w:lvl>
    <w:lvl w:ilvl="5" w:tentative="0">
      <w:start w:val="0"/>
      <w:numFmt w:val="bullet"/>
      <w:lvlText w:val="•"/>
      <w:lvlJc w:val="left"/>
      <w:pPr>
        <w:ind w:left="6133" w:hanging="481"/>
      </w:pPr>
      <w:rPr>
        <w:rFonts w:hint="default"/>
      </w:rPr>
    </w:lvl>
    <w:lvl w:ilvl="6" w:tentative="0">
      <w:start w:val="0"/>
      <w:numFmt w:val="bullet"/>
      <w:lvlText w:val="•"/>
      <w:lvlJc w:val="left"/>
      <w:pPr>
        <w:ind w:left="7095" w:hanging="481"/>
      </w:pPr>
      <w:rPr>
        <w:rFonts w:hint="default"/>
      </w:rPr>
    </w:lvl>
    <w:lvl w:ilvl="7" w:tentative="0">
      <w:start w:val="0"/>
      <w:numFmt w:val="bullet"/>
      <w:lvlText w:val="•"/>
      <w:lvlJc w:val="left"/>
      <w:pPr>
        <w:ind w:left="8058" w:hanging="481"/>
      </w:pPr>
      <w:rPr>
        <w:rFonts w:hint="default"/>
      </w:rPr>
    </w:lvl>
    <w:lvl w:ilvl="8" w:tentative="0">
      <w:start w:val="0"/>
      <w:numFmt w:val="bullet"/>
      <w:lvlText w:val="•"/>
      <w:lvlJc w:val="left"/>
      <w:pPr>
        <w:ind w:left="9021" w:hanging="481"/>
      </w:pPr>
      <w:rPr>
        <w:rFonts w:hint="default"/>
      </w:rPr>
    </w:lvl>
  </w:abstractNum>
  <w:abstractNum w:abstractNumId="31">
    <w:nsid w:val="12EADF99"/>
    <w:multiLevelType w:val="multilevel"/>
    <w:tmpl w:val="12EADF99"/>
    <w:lvl w:ilvl="0" w:tentative="0">
      <w:start w:val="1"/>
      <w:numFmt w:val="decimal"/>
      <w:lvlText w:val="（%1）"/>
      <w:lvlJc w:val="left"/>
      <w:pPr>
        <w:ind w:left="1784" w:hanging="527"/>
      </w:pPr>
      <w:rPr>
        <w:rFonts w:hint="default" w:ascii="宋体" w:hAnsi="宋体" w:eastAsia="宋体" w:cs="宋体"/>
        <w:spacing w:val="-2"/>
        <w:w w:val="100"/>
        <w:sz w:val="19"/>
        <w:szCs w:val="19"/>
      </w:rPr>
    </w:lvl>
    <w:lvl w:ilvl="1" w:tentative="0">
      <w:start w:val="0"/>
      <w:numFmt w:val="bullet"/>
      <w:lvlText w:val="•"/>
      <w:lvlJc w:val="left"/>
      <w:pPr>
        <w:ind w:left="2696" w:hanging="527"/>
      </w:pPr>
      <w:rPr>
        <w:rFonts w:hint="default"/>
      </w:rPr>
    </w:lvl>
    <w:lvl w:ilvl="2" w:tentative="0">
      <w:start w:val="0"/>
      <w:numFmt w:val="bullet"/>
      <w:lvlText w:val="•"/>
      <w:lvlJc w:val="left"/>
      <w:pPr>
        <w:ind w:left="3613" w:hanging="527"/>
      </w:pPr>
      <w:rPr>
        <w:rFonts w:hint="default"/>
      </w:rPr>
    </w:lvl>
    <w:lvl w:ilvl="3" w:tentative="0">
      <w:start w:val="0"/>
      <w:numFmt w:val="bullet"/>
      <w:lvlText w:val="•"/>
      <w:lvlJc w:val="left"/>
      <w:pPr>
        <w:ind w:left="4529" w:hanging="527"/>
      </w:pPr>
      <w:rPr>
        <w:rFonts w:hint="default"/>
      </w:rPr>
    </w:lvl>
    <w:lvl w:ilvl="4" w:tentative="0">
      <w:start w:val="0"/>
      <w:numFmt w:val="bullet"/>
      <w:lvlText w:val="•"/>
      <w:lvlJc w:val="left"/>
      <w:pPr>
        <w:ind w:left="5446" w:hanging="527"/>
      </w:pPr>
      <w:rPr>
        <w:rFonts w:hint="default"/>
      </w:rPr>
    </w:lvl>
    <w:lvl w:ilvl="5" w:tentative="0">
      <w:start w:val="0"/>
      <w:numFmt w:val="bullet"/>
      <w:lvlText w:val="•"/>
      <w:lvlJc w:val="left"/>
      <w:pPr>
        <w:ind w:left="6363" w:hanging="527"/>
      </w:pPr>
      <w:rPr>
        <w:rFonts w:hint="default"/>
      </w:rPr>
    </w:lvl>
    <w:lvl w:ilvl="6" w:tentative="0">
      <w:start w:val="0"/>
      <w:numFmt w:val="bullet"/>
      <w:lvlText w:val="•"/>
      <w:lvlJc w:val="left"/>
      <w:pPr>
        <w:ind w:left="7279" w:hanging="527"/>
      </w:pPr>
      <w:rPr>
        <w:rFonts w:hint="default"/>
      </w:rPr>
    </w:lvl>
    <w:lvl w:ilvl="7" w:tentative="0">
      <w:start w:val="0"/>
      <w:numFmt w:val="bullet"/>
      <w:lvlText w:val="•"/>
      <w:lvlJc w:val="left"/>
      <w:pPr>
        <w:ind w:left="8196" w:hanging="527"/>
      </w:pPr>
      <w:rPr>
        <w:rFonts w:hint="default"/>
      </w:rPr>
    </w:lvl>
    <w:lvl w:ilvl="8" w:tentative="0">
      <w:start w:val="0"/>
      <w:numFmt w:val="bullet"/>
      <w:lvlText w:val="•"/>
      <w:lvlJc w:val="left"/>
      <w:pPr>
        <w:ind w:left="9113" w:hanging="527"/>
      </w:pPr>
      <w:rPr>
        <w:rFonts w:hint="default"/>
      </w:rPr>
    </w:lvl>
  </w:abstractNum>
  <w:abstractNum w:abstractNumId="32">
    <w:nsid w:val="18F74015"/>
    <w:multiLevelType w:val="multilevel"/>
    <w:tmpl w:val="18F74015"/>
    <w:lvl w:ilvl="0" w:tentative="0">
      <w:start w:val="3"/>
      <w:numFmt w:val="decimal"/>
      <w:lvlText w:val="%1"/>
      <w:lvlJc w:val="left"/>
      <w:pPr>
        <w:ind w:left="1574" w:hanging="316"/>
      </w:pPr>
      <w:rPr>
        <w:rFonts w:hint="default" w:cs="Times New Roman"/>
      </w:rPr>
    </w:lvl>
    <w:lvl w:ilvl="1" w:tentative="0">
      <w:start w:val="1"/>
      <w:numFmt w:val="decimal"/>
      <w:lvlText w:val="%1.%2"/>
      <w:lvlJc w:val="left"/>
      <w:pPr>
        <w:ind w:left="1574" w:hanging="316"/>
      </w:pPr>
      <w:rPr>
        <w:rFonts w:hint="default" w:ascii="宋体" w:hAnsi="宋体" w:eastAsia="宋体" w:cs="宋体"/>
        <w:spacing w:val="-29"/>
        <w:w w:val="100"/>
        <w:sz w:val="19"/>
        <w:szCs w:val="19"/>
      </w:rPr>
    </w:lvl>
    <w:lvl w:ilvl="2" w:tentative="0">
      <w:start w:val="0"/>
      <w:numFmt w:val="bullet"/>
      <w:lvlText w:val="•"/>
      <w:lvlJc w:val="left"/>
      <w:pPr>
        <w:ind w:left="3453" w:hanging="316"/>
      </w:pPr>
      <w:rPr>
        <w:rFonts w:hint="default"/>
      </w:rPr>
    </w:lvl>
    <w:lvl w:ilvl="3" w:tentative="0">
      <w:start w:val="0"/>
      <w:numFmt w:val="bullet"/>
      <w:lvlText w:val="•"/>
      <w:lvlJc w:val="left"/>
      <w:pPr>
        <w:ind w:left="4389" w:hanging="316"/>
      </w:pPr>
      <w:rPr>
        <w:rFonts w:hint="default"/>
      </w:rPr>
    </w:lvl>
    <w:lvl w:ilvl="4" w:tentative="0">
      <w:start w:val="0"/>
      <w:numFmt w:val="bullet"/>
      <w:lvlText w:val="•"/>
      <w:lvlJc w:val="left"/>
      <w:pPr>
        <w:ind w:left="5326" w:hanging="316"/>
      </w:pPr>
      <w:rPr>
        <w:rFonts w:hint="default"/>
      </w:rPr>
    </w:lvl>
    <w:lvl w:ilvl="5" w:tentative="0">
      <w:start w:val="0"/>
      <w:numFmt w:val="bullet"/>
      <w:lvlText w:val="•"/>
      <w:lvlJc w:val="left"/>
      <w:pPr>
        <w:ind w:left="6263" w:hanging="316"/>
      </w:pPr>
      <w:rPr>
        <w:rFonts w:hint="default"/>
      </w:rPr>
    </w:lvl>
    <w:lvl w:ilvl="6" w:tentative="0">
      <w:start w:val="0"/>
      <w:numFmt w:val="bullet"/>
      <w:lvlText w:val="•"/>
      <w:lvlJc w:val="left"/>
      <w:pPr>
        <w:ind w:left="7199" w:hanging="316"/>
      </w:pPr>
      <w:rPr>
        <w:rFonts w:hint="default"/>
      </w:rPr>
    </w:lvl>
    <w:lvl w:ilvl="7" w:tentative="0">
      <w:start w:val="0"/>
      <w:numFmt w:val="bullet"/>
      <w:lvlText w:val="•"/>
      <w:lvlJc w:val="left"/>
      <w:pPr>
        <w:ind w:left="8136" w:hanging="316"/>
      </w:pPr>
      <w:rPr>
        <w:rFonts w:hint="default"/>
      </w:rPr>
    </w:lvl>
    <w:lvl w:ilvl="8" w:tentative="0">
      <w:start w:val="0"/>
      <w:numFmt w:val="bullet"/>
      <w:lvlText w:val="•"/>
      <w:lvlJc w:val="left"/>
      <w:pPr>
        <w:ind w:left="9073" w:hanging="316"/>
      </w:pPr>
      <w:rPr>
        <w:rFonts w:hint="default"/>
      </w:rPr>
    </w:lvl>
  </w:abstractNum>
  <w:abstractNum w:abstractNumId="33">
    <w:nsid w:val="1ACDE60F"/>
    <w:multiLevelType w:val="multilevel"/>
    <w:tmpl w:val="1ACDE60F"/>
    <w:lvl w:ilvl="0" w:tentative="0">
      <w:start w:val="1"/>
      <w:numFmt w:val="decimal"/>
      <w:lvlText w:val="（%1）"/>
      <w:lvlJc w:val="left"/>
      <w:pPr>
        <w:ind w:left="1576" w:hanging="720"/>
      </w:pPr>
      <w:rPr>
        <w:rFonts w:hint="default" w:ascii="宋体" w:hAnsi="宋体" w:eastAsia="宋体" w:cs="宋体"/>
        <w:spacing w:val="-16"/>
        <w:w w:val="100"/>
        <w:sz w:val="21"/>
        <w:szCs w:val="21"/>
      </w:rPr>
    </w:lvl>
    <w:lvl w:ilvl="1" w:tentative="0">
      <w:start w:val="0"/>
      <w:numFmt w:val="bullet"/>
      <w:lvlText w:val="•"/>
      <w:lvlJc w:val="left"/>
      <w:pPr>
        <w:ind w:left="2434" w:hanging="720"/>
      </w:pPr>
      <w:rPr>
        <w:rFonts w:hint="default"/>
      </w:rPr>
    </w:lvl>
    <w:lvl w:ilvl="2" w:tentative="0">
      <w:start w:val="0"/>
      <w:numFmt w:val="bullet"/>
      <w:lvlText w:val="•"/>
      <w:lvlJc w:val="left"/>
      <w:pPr>
        <w:ind w:left="3289" w:hanging="720"/>
      </w:pPr>
      <w:rPr>
        <w:rFonts w:hint="default"/>
      </w:rPr>
    </w:lvl>
    <w:lvl w:ilvl="3" w:tentative="0">
      <w:start w:val="0"/>
      <w:numFmt w:val="bullet"/>
      <w:lvlText w:val="•"/>
      <w:lvlJc w:val="left"/>
      <w:pPr>
        <w:ind w:left="4143" w:hanging="720"/>
      </w:pPr>
      <w:rPr>
        <w:rFonts w:hint="default"/>
      </w:rPr>
    </w:lvl>
    <w:lvl w:ilvl="4" w:tentative="0">
      <w:start w:val="0"/>
      <w:numFmt w:val="bullet"/>
      <w:lvlText w:val="•"/>
      <w:lvlJc w:val="left"/>
      <w:pPr>
        <w:ind w:left="4998" w:hanging="720"/>
      </w:pPr>
      <w:rPr>
        <w:rFonts w:hint="default"/>
      </w:rPr>
    </w:lvl>
    <w:lvl w:ilvl="5" w:tentative="0">
      <w:start w:val="0"/>
      <w:numFmt w:val="bullet"/>
      <w:lvlText w:val="•"/>
      <w:lvlJc w:val="left"/>
      <w:pPr>
        <w:ind w:left="5853" w:hanging="720"/>
      </w:pPr>
      <w:rPr>
        <w:rFonts w:hint="default"/>
      </w:rPr>
    </w:lvl>
    <w:lvl w:ilvl="6" w:tentative="0">
      <w:start w:val="0"/>
      <w:numFmt w:val="bullet"/>
      <w:lvlText w:val="•"/>
      <w:lvlJc w:val="left"/>
      <w:pPr>
        <w:ind w:left="6707" w:hanging="720"/>
      </w:pPr>
      <w:rPr>
        <w:rFonts w:hint="default"/>
      </w:rPr>
    </w:lvl>
    <w:lvl w:ilvl="7" w:tentative="0">
      <w:start w:val="0"/>
      <w:numFmt w:val="bullet"/>
      <w:lvlText w:val="•"/>
      <w:lvlJc w:val="left"/>
      <w:pPr>
        <w:ind w:left="7562" w:hanging="720"/>
      </w:pPr>
      <w:rPr>
        <w:rFonts w:hint="default"/>
      </w:rPr>
    </w:lvl>
    <w:lvl w:ilvl="8" w:tentative="0">
      <w:start w:val="0"/>
      <w:numFmt w:val="bullet"/>
      <w:lvlText w:val="•"/>
      <w:lvlJc w:val="left"/>
      <w:pPr>
        <w:ind w:left="8417" w:hanging="720"/>
      </w:pPr>
      <w:rPr>
        <w:rFonts w:hint="default"/>
      </w:rPr>
    </w:lvl>
  </w:abstractNum>
  <w:abstractNum w:abstractNumId="34">
    <w:nsid w:val="1C257C7B"/>
    <w:multiLevelType w:val="multilevel"/>
    <w:tmpl w:val="1C257C7B"/>
    <w:lvl w:ilvl="0" w:tentative="0">
      <w:start w:val="9"/>
      <w:numFmt w:val="decimal"/>
      <w:lvlText w:val="%1"/>
      <w:lvlJc w:val="left"/>
      <w:pPr>
        <w:ind w:left="1199" w:hanging="361"/>
      </w:pPr>
      <w:rPr>
        <w:rFonts w:hint="default" w:cs="Times New Roman"/>
      </w:rPr>
    </w:lvl>
    <w:lvl w:ilvl="1" w:tentative="0">
      <w:start w:val="2"/>
      <w:numFmt w:val="decimal"/>
      <w:lvlText w:val="%1.%2"/>
      <w:lvlJc w:val="left"/>
      <w:pPr>
        <w:ind w:left="1199" w:hanging="361"/>
      </w:pPr>
      <w:rPr>
        <w:rFonts w:hint="default" w:ascii="宋体" w:hAnsi="宋体" w:eastAsia="宋体" w:cs="宋体"/>
        <w:w w:val="100"/>
        <w:sz w:val="22"/>
        <w:szCs w:val="22"/>
      </w:rPr>
    </w:lvl>
    <w:lvl w:ilvl="2" w:tentative="0">
      <w:start w:val="0"/>
      <w:numFmt w:val="bullet"/>
      <w:lvlText w:val="•"/>
      <w:lvlJc w:val="left"/>
      <w:pPr>
        <w:ind w:left="3149" w:hanging="361"/>
      </w:pPr>
      <w:rPr>
        <w:rFonts w:hint="default"/>
      </w:rPr>
    </w:lvl>
    <w:lvl w:ilvl="3" w:tentative="0">
      <w:start w:val="0"/>
      <w:numFmt w:val="bullet"/>
      <w:lvlText w:val="•"/>
      <w:lvlJc w:val="left"/>
      <w:pPr>
        <w:ind w:left="4123" w:hanging="361"/>
      </w:pPr>
      <w:rPr>
        <w:rFonts w:hint="default"/>
      </w:rPr>
    </w:lvl>
    <w:lvl w:ilvl="4" w:tentative="0">
      <w:start w:val="0"/>
      <w:numFmt w:val="bullet"/>
      <w:lvlText w:val="•"/>
      <w:lvlJc w:val="left"/>
      <w:pPr>
        <w:ind w:left="5098" w:hanging="361"/>
      </w:pPr>
      <w:rPr>
        <w:rFonts w:hint="default"/>
      </w:rPr>
    </w:lvl>
    <w:lvl w:ilvl="5" w:tentative="0">
      <w:start w:val="0"/>
      <w:numFmt w:val="bullet"/>
      <w:lvlText w:val="•"/>
      <w:lvlJc w:val="left"/>
      <w:pPr>
        <w:ind w:left="6073" w:hanging="361"/>
      </w:pPr>
      <w:rPr>
        <w:rFonts w:hint="default"/>
      </w:rPr>
    </w:lvl>
    <w:lvl w:ilvl="6" w:tentative="0">
      <w:start w:val="0"/>
      <w:numFmt w:val="bullet"/>
      <w:lvlText w:val="•"/>
      <w:lvlJc w:val="left"/>
      <w:pPr>
        <w:ind w:left="7047" w:hanging="361"/>
      </w:pPr>
      <w:rPr>
        <w:rFonts w:hint="default"/>
      </w:rPr>
    </w:lvl>
    <w:lvl w:ilvl="7" w:tentative="0">
      <w:start w:val="0"/>
      <w:numFmt w:val="bullet"/>
      <w:lvlText w:val="•"/>
      <w:lvlJc w:val="left"/>
      <w:pPr>
        <w:ind w:left="8022" w:hanging="361"/>
      </w:pPr>
      <w:rPr>
        <w:rFonts w:hint="default"/>
      </w:rPr>
    </w:lvl>
    <w:lvl w:ilvl="8" w:tentative="0">
      <w:start w:val="0"/>
      <w:numFmt w:val="bullet"/>
      <w:lvlText w:val="•"/>
      <w:lvlJc w:val="left"/>
      <w:pPr>
        <w:ind w:left="8997" w:hanging="361"/>
      </w:pPr>
      <w:rPr>
        <w:rFonts w:hint="default"/>
      </w:rPr>
    </w:lvl>
  </w:abstractNum>
  <w:abstractNum w:abstractNumId="35">
    <w:nsid w:val="1E5719F8"/>
    <w:multiLevelType w:val="multilevel"/>
    <w:tmpl w:val="1E5719F8"/>
    <w:lvl w:ilvl="0" w:tentative="0">
      <w:start w:val="1"/>
      <w:numFmt w:val="decimal"/>
      <w:pStyle w:val="35"/>
      <w:lvlText w:val="%1"/>
      <w:lvlJc w:val="left"/>
      <w:pPr>
        <w:ind w:left="425" w:hanging="425"/>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1" w:tentative="0">
      <w:start w:val="1"/>
      <w:numFmt w:val="decimal"/>
      <w:pStyle w:val="36"/>
      <w:lvlText w:val="%1.%2"/>
      <w:lvlJc w:val="left"/>
      <w:pPr>
        <w:ind w:left="992" w:hanging="567"/>
      </w:pPr>
      <w:rPr>
        <w:rFonts w:hint="eastAsia" w:cs="Times New Roman"/>
      </w:rPr>
    </w:lvl>
    <w:lvl w:ilvl="2" w:tentative="0">
      <w:start w:val="1"/>
      <w:numFmt w:val="decimal"/>
      <w:pStyle w:val="37"/>
      <w:lvlText w:val="%1.%2.%3"/>
      <w:lvlJc w:val="left"/>
      <w:pPr>
        <w:ind w:left="1418" w:hanging="567"/>
      </w:pPr>
      <w:rPr>
        <w:rFonts w:hint="eastAsia" w:cs="Times New Roman"/>
      </w:rPr>
    </w:lvl>
    <w:lvl w:ilvl="3" w:tentative="0">
      <w:start w:val="1"/>
      <w:numFmt w:val="decimal"/>
      <w:lvlText w:val="%1.%2.%3.%4"/>
      <w:lvlJc w:val="left"/>
      <w:pPr>
        <w:ind w:left="1984" w:hanging="708"/>
      </w:pPr>
      <w:rPr>
        <w:rFonts w:hint="eastAsia" w:cs="Times New Roman"/>
      </w:rPr>
    </w:lvl>
    <w:lvl w:ilvl="4" w:tentative="0">
      <w:start w:val="1"/>
      <w:numFmt w:val="decimal"/>
      <w:lvlText w:val="%1.%2.%3.%4.%5"/>
      <w:lvlJc w:val="left"/>
      <w:pPr>
        <w:ind w:left="2551" w:hanging="850"/>
      </w:pPr>
      <w:rPr>
        <w:rFonts w:hint="eastAsia" w:cs="Times New Roman"/>
      </w:rPr>
    </w:lvl>
    <w:lvl w:ilvl="5" w:tentative="0">
      <w:start w:val="1"/>
      <w:numFmt w:val="decimal"/>
      <w:lvlText w:val="%1.%2.%3.%4.%5.%6"/>
      <w:lvlJc w:val="left"/>
      <w:pPr>
        <w:ind w:left="3260"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abstractNum w:abstractNumId="36">
    <w:nsid w:val="23E97754"/>
    <w:multiLevelType w:val="multilevel"/>
    <w:tmpl w:val="23E97754"/>
    <w:lvl w:ilvl="0" w:tentative="0">
      <w:start w:val="11"/>
      <w:numFmt w:val="decimal"/>
      <w:lvlText w:val="%1"/>
      <w:lvlJc w:val="left"/>
      <w:pPr>
        <w:ind w:left="1319" w:hanging="481"/>
      </w:pPr>
      <w:rPr>
        <w:rFonts w:hint="default" w:cs="Times New Roman"/>
      </w:rPr>
    </w:lvl>
    <w:lvl w:ilvl="1" w:tentative="0">
      <w:start w:val="3"/>
      <w:numFmt w:val="decimal"/>
      <w:lvlText w:val="%1.%2"/>
      <w:lvlJc w:val="left"/>
      <w:pPr>
        <w:ind w:left="1319" w:hanging="481"/>
      </w:pPr>
      <w:rPr>
        <w:rFonts w:hint="default" w:ascii="宋体" w:hAnsi="宋体" w:eastAsia="宋体" w:cs="宋体"/>
        <w:w w:val="100"/>
        <w:sz w:val="22"/>
        <w:szCs w:val="22"/>
      </w:rPr>
    </w:lvl>
    <w:lvl w:ilvl="2" w:tentative="0">
      <w:start w:val="0"/>
      <w:numFmt w:val="bullet"/>
      <w:lvlText w:val="•"/>
      <w:lvlJc w:val="left"/>
      <w:pPr>
        <w:ind w:left="3245" w:hanging="481"/>
      </w:pPr>
      <w:rPr>
        <w:rFonts w:hint="default"/>
      </w:rPr>
    </w:lvl>
    <w:lvl w:ilvl="3" w:tentative="0">
      <w:start w:val="0"/>
      <w:numFmt w:val="bullet"/>
      <w:lvlText w:val="•"/>
      <w:lvlJc w:val="left"/>
      <w:pPr>
        <w:ind w:left="4207" w:hanging="481"/>
      </w:pPr>
      <w:rPr>
        <w:rFonts w:hint="default"/>
      </w:rPr>
    </w:lvl>
    <w:lvl w:ilvl="4" w:tentative="0">
      <w:start w:val="0"/>
      <w:numFmt w:val="bullet"/>
      <w:lvlText w:val="•"/>
      <w:lvlJc w:val="left"/>
      <w:pPr>
        <w:ind w:left="5170" w:hanging="481"/>
      </w:pPr>
      <w:rPr>
        <w:rFonts w:hint="default"/>
      </w:rPr>
    </w:lvl>
    <w:lvl w:ilvl="5" w:tentative="0">
      <w:start w:val="0"/>
      <w:numFmt w:val="bullet"/>
      <w:lvlText w:val="•"/>
      <w:lvlJc w:val="left"/>
      <w:pPr>
        <w:ind w:left="6133" w:hanging="481"/>
      </w:pPr>
      <w:rPr>
        <w:rFonts w:hint="default"/>
      </w:rPr>
    </w:lvl>
    <w:lvl w:ilvl="6" w:tentative="0">
      <w:start w:val="0"/>
      <w:numFmt w:val="bullet"/>
      <w:lvlText w:val="•"/>
      <w:lvlJc w:val="left"/>
      <w:pPr>
        <w:ind w:left="7095" w:hanging="481"/>
      </w:pPr>
      <w:rPr>
        <w:rFonts w:hint="default"/>
      </w:rPr>
    </w:lvl>
    <w:lvl w:ilvl="7" w:tentative="0">
      <w:start w:val="0"/>
      <w:numFmt w:val="bullet"/>
      <w:lvlText w:val="•"/>
      <w:lvlJc w:val="left"/>
      <w:pPr>
        <w:ind w:left="8058" w:hanging="481"/>
      </w:pPr>
      <w:rPr>
        <w:rFonts w:hint="default"/>
      </w:rPr>
    </w:lvl>
    <w:lvl w:ilvl="8" w:tentative="0">
      <w:start w:val="0"/>
      <w:numFmt w:val="bullet"/>
      <w:lvlText w:val="•"/>
      <w:lvlJc w:val="left"/>
      <w:pPr>
        <w:ind w:left="9021" w:hanging="481"/>
      </w:pPr>
      <w:rPr>
        <w:rFonts w:hint="default"/>
      </w:rPr>
    </w:lvl>
  </w:abstractNum>
  <w:abstractNum w:abstractNumId="37">
    <w:nsid w:val="30A0AC00"/>
    <w:multiLevelType w:val="multilevel"/>
    <w:tmpl w:val="30A0AC00"/>
    <w:lvl w:ilvl="0" w:tentative="0">
      <w:start w:val="1"/>
      <w:numFmt w:val="decimal"/>
      <w:lvlText w:val="%1"/>
      <w:lvlJc w:val="left"/>
      <w:pPr>
        <w:ind w:left="838" w:hanging="316"/>
      </w:pPr>
      <w:rPr>
        <w:rFonts w:hint="default" w:cs="Times New Roman"/>
      </w:rPr>
    </w:lvl>
    <w:lvl w:ilvl="1" w:tentative="0">
      <w:start w:val="1"/>
      <w:numFmt w:val="decimal"/>
      <w:lvlText w:val="%1.%2"/>
      <w:lvlJc w:val="left"/>
      <w:pPr>
        <w:ind w:left="838" w:hanging="316"/>
      </w:pPr>
      <w:rPr>
        <w:rFonts w:hint="default" w:ascii="宋体" w:hAnsi="宋体" w:eastAsia="宋体" w:cs="宋体"/>
        <w:w w:val="100"/>
        <w:sz w:val="19"/>
        <w:szCs w:val="19"/>
      </w:rPr>
    </w:lvl>
    <w:lvl w:ilvl="2" w:tentative="0">
      <w:start w:val="0"/>
      <w:numFmt w:val="bullet"/>
      <w:lvlText w:val="•"/>
      <w:lvlJc w:val="left"/>
      <w:pPr>
        <w:ind w:left="2861" w:hanging="316"/>
      </w:pPr>
      <w:rPr>
        <w:rFonts w:hint="default"/>
      </w:rPr>
    </w:lvl>
    <w:lvl w:ilvl="3" w:tentative="0">
      <w:start w:val="0"/>
      <w:numFmt w:val="bullet"/>
      <w:lvlText w:val="•"/>
      <w:lvlJc w:val="left"/>
      <w:pPr>
        <w:ind w:left="3871" w:hanging="316"/>
      </w:pPr>
      <w:rPr>
        <w:rFonts w:hint="default"/>
      </w:rPr>
    </w:lvl>
    <w:lvl w:ilvl="4" w:tentative="0">
      <w:start w:val="0"/>
      <w:numFmt w:val="bullet"/>
      <w:lvlText w:val="•"/>
      <w:lvlJc w:val="left"/>
      <w:pPr>
        <w:ind w:left="4882" w:hanging="316"/>
      </w:pPr>
      <w:rPr>
        <w:rFonts w:hint="default"/>
      </w:rPr>
    </w:lvl>
    <w:lvl w:ilvl="5" w:tentative="0">
      <w:start w:val="0"/>
      <w:numFmt w:val="bullet"/>
      <w:lvlText w:val="•"/>
      <w:lvlJc w:val="left"/>
      <w:pPr>
        <w:ind w:left="5893" w:hanging="316"/>
      </w:pPr>
      <w:rPr>
        <w:rFonts w:hint="default"/>
      </w:rPr>
    </w:lvl>
    <w:lvl w:ilvl="6" w:tentative="0">
      <w:start w:val="0"/>
      <w:numFmt w:val="bullet"/>
      <w:lvlText w:val="•"/>
      <w:lvlJc w:val="left"/>
      <w:pPr>
        <w:ind w:left="6903" w:hanging="316"/>
      </w:pPr>
      <w:rPr>
        <w:rFonts w:hint="default"/>
      </w:rPr>
    </w:lvl>
    <w:lvl w:ilvl="7" w:tentative="0">
      <w:start w:val="0"/>
      <w:numFmt w:val="bullet"/>
      <w:lvlText w:val="•"/>
      <w:lvlJc w:val="left"/>
      <w:pPr>
        <w:ind w:left="7914" w:hanging="316"/>
      </w:pPr>
      <w:rPr>
        <w:rFonts w:hint="default"/>
      </w:rPr>
    </w:lvl>
    <w:lvl w:ilvl="8" w:tentative="0">
      <w:start w:val="0"/>
      <w:numFmt w:val="bullet"/>
      <w:lvlText w:val="•"/>
      <w:lvlJc w:val="left"/>
      <w:pPr>
        <w:ind w:left="8925" w:hanging="316"/>
      </w:pPr>
      <w:rPr>
        <w:rFonts w:hint="default"/>
      </w:rPr>
    </w:lvl>
  </w:abstractNum>
  <w:abstractNum w:abstractNumId="38">
    <w:nsid w:val="322D85CA"/>
    <w:multiLevelType w:val="multilevel"/>
    <w:tmpl w:val="322D85CA"/>
    <w:lvl w:ilvl="0" w:tentative="0">
      <w:start w:val="1"/>
      <w:numFmt w:val="decimal"/>
      <w:lvlText w:val="%1."/>
      <w:lvlJc w:val="left"/>
      <w:pPr>
        <w:ind w:left="1119" w:hanging="282"/>
      </w:pPr>
      <w:rPr>
        <w:rFonts w:hint="default" w:ascii="宋体" w:hAnsi="宋体" w:eastAsia="宋体" w:cs="宋体"/>
        <w:w w:val="99"/>
        <w:sz w:val="26"/>
        <w:szCs w:val="26"/>
      </w:rPr>
    </w:lvl>
    <w:lvl w:ilvl="1" w:tentative="0">
      <w:start w:val="1"/>
      <w:numFmt w:val="decimal"/>
      <w:lvlText w:val="%1.%2"/>
      <w:lvlJc w:val="left"/>
      <w:pPr>
        <w:ind w:left="1199" w:hanging="361"/>
      </w:pPr>
      <w:rPr>
        <w:rFonts w:hint="default" w:ascii="宋体" w:hAnsi="宋体" w:eastAsia="宋体" w:cs="宋体"/>
        <w:w w:val="100"/>
        <w:sz w:val="22"/>
        <w:szCs w:val="22"/>
      </w:rPr>
    </w:lvl>
    <w:lvl w:ilvl="2" w:tentative="0">
      <w:start w:val="1"/>
      <w:numFmt w:val="decimal"/>
      <w:lvlText w:val="%1.%2.%3"/>
      <w:lvlJc w:val="left"/>
      <w:pPr>
        <w:ind w:left="1784" w:hanging="526"/>
      </w:pPr>
      <w:rPr>
        <w:rFonts w:hint="default" w:ascii="宋体" w:hAnsi="宋体" w:eastAsia="宋体" w:cs="宋体"/>
        <w:spacing w:val="-2"/>
        <w:w w:val="100"/>
        <w:sz w:val="19"/>
        <w:szCs w:val="19"/>
      </w:rPr>
    </w:lvl>
    <w:lvl w:ilvl="3" w:tentative="0">
      <w:start w:val="0"/>
      <w:numFmt w:val="bullet"/>
      <w:lvlText w:val="•"/>
      <w:lvlJc w:val="left"/>
      <w:pPr>
        <w:ind w:left="1320" w:hanging="526"/>
      </w:pPr>
      <w:rPr>
        <w:rFonts w:hint="default"/>
      </w:rPr>
    </w:lvl>
    <w:lvl w:ilvl="4" w:tentative="0">
      <w:start w:val="0"/>
      <w:numFmt w:val="bullet"/>
      <w:lvlText w:val="•"/>
      <w:lvlJc w:val="left"/>
      <w:pPr>
        <w:ind w:left="1780" w:hanging="526"/>
      </w:pPr>
      <w:rPr>
        <w:rFonts w:hint="default"/>
      </w:rPr>
    </w:lvl>
    <w:lvl w:ilvl="5" w:tentative="0">
      <w:start w:val="0"/>
      <w:numFmt w:val="bullet"/>
      <w:lvlText w:val="•"/>
      <w:lvlJc w:val="left"/>
      <w:pPr>
        <w:ind w:left="1880" w:hanging="526"/>
      </w:pPr>
      <w:rPr>
        <w:rFonts w:hint="default"/>
      </w:rPr>
    </w:lvl>
    <w:lvl w:ilvl="6" w:tentative="0">
      <w:start w:val="0"/>
      <w:numFmt w:val="bullet"/>
      <w:lvlText w:val="•"/>
      <w:lvlJc w:val="left"/>
      <w:pPr>
        <w:ind w:left="3693" w:hanging="526"/>
      </w:pPr>
      <w:rPr>
        <w:rFonts w:hint="default"/>
      </w:rPr>
    </w:lvl>
    <w:lvl w:ilvl="7" w:tentative="0">
      <w:start w:val="0"/>
      <w:numFmt w:val="bullet"/>
      <w:lvlText w:val="•"/>
      <w:lvlJc w:val="left"/>
      <w:pPr>
        <w:ind w:left="5506" w:hanging="526"/>
      </w:pPr>
      <w:rPr>
        <w:rFonts w:hint="default"/>
      </w:rPr>
    </w:lvl>
    <w:lvl w:ilvl="8" w:tentative="0">
      <w:start w:val="0"/>
      <w:numFmt w:val="bullet"/>
      <w:lvlText w:val="•"/>
      <w:lvlJc w:val="left"/>
      <w:pPr>
        <w:ind w:left="7319" w:hanging="526"/>
      </w:pPr>
      <w:rPr>
        <w:rFonts w:hint="default"/>
      </w:rPr>
    </w:lvl>
  </w:abstractNum>
  <w:abstractNum w:abstractNumId="39">
    <w:nsid w:val="3254759C"/>
    <w:multiLevelType w:val="multilevel"/>
    <w:tmpl w:val="3254759C"/>
    <w:lvl w:ilvl="0" w:tentative="0">
      <w:start w:val="1"/>
      <w:numFmt w:val="chineseCountingThousand"/>
      <w:pStyle w:val="3"/>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0">
    <w:nsid w:val="35E83B33"/>
    <w:multiLevelType w:val="multilevel"/>
    <w:tmpl w:val="35E83B33"/>
    <w:lvl w:ilvl="0" w:tentative="0">
      <w:start w:val="16"/>
      <w:numFmt w:val="decimal"/>
      <w:lvlText w:val="%1"/>
      <w:lvlJc w:val="left"/>
      <w:pPr>
        <w:ind w:left="2309" w:hanging="841"/>
      </w:pPr>
      <w:rPr>
        <w:rFonts w:hint="default" w:cs="Times New Roman"/>
      </w:rPr>
    </w:lvl>
    <w:lvl w:ilvl="1" w:tentative="0">
      <w:start w:val="1"/>
      <w:numFmt w:val="decimal"/>
      <w:lvlText w:val="%1.%2"/>
      <w:lvlJc w:val="left"/>
      <w:pPr>
        <w:ind w:left="2309" w:hanging="841"/>
      </w:pPr>
      <w:rPr>
        <w:rFonts w:hint="default" w:cs="Times New Roman"/>
      </w:rPr>
    </w:lvl>
    <w:lvl w:ilvl="2" w:tentative="0">
      <w:start w:val="2"/>
      <w:numFmt w:val="decimal"/>
      <w:lvlText w:val="%1.%2.%3"/>
      <w:lvlJc w:val="left"/>
      <w:pPr>
        <w:ind w:left="2309" w:hanging="841"/>
      </w:pPr>
      <w:rPr>
        <w:rFonts w:hint="default" w:cs="Times New Roman"/>
      </w:rPr>
    </w:lvl>
    <w:lvl w:ilvl="3" w:tentative="0">
      <w:start w:val="1"/>
      <w:numFmt w:val="decimal"/>
      <w:lvlText w:val="%1.%2.%3.%4"/>
      <w:lvlJc w:val="left"/>
      <w:pPr>
        <w:ind w:left="2309" w:hanging="841"/>
      </w:pPr>
      <w:rPr>
        <w:rFonts w:hint="default" w:ascii="宋体" w:hAnsi="宋体" w:eastAsia="宋体" w:cs="宋体"/>
        <w:w w:val="100"/>
        <w:sz w:val="19"/>
        <w:szCs w:val="19"/>
      </w:rPr>
    </w:lvl>
    <w:lvl w:ilvl="4" w:tentative="0">
      <w:start w:val="0"/>
      <w:numFmt w:val="bullet"/>
      <w:lvlText w:val="•"/>
      <w:lvlJc w:val="left"/>
      <w:pPr>
        <w:ind w:left="5758" w:hanging="841"/>
      </w:pPr>
      <w:rPr>
        <w:rFonts w:hint="default"/>
      </w:rPr>
    </w:lvl>
    <w:lvl w:ilvl="5" w:tentative="0">
      <w:start w:val="0"/>
      <w:numFmt w:val="bullet"/>
      <w:lvlText w:val="•"/>
      <w:lvlJc w:val="left"/>
      <w:pPr>
        <w:ind w:left="6623" w:hanging="841"/>
      </w:pPr>
      <w:rPr>
        <w:rFonts w:hint="default"/>
      </w:rPr>
    </w:lvl>
    <w:lvl w:ilvl="6" w:tentative="0">
      <w:start w:val="0"/>
      <w:numFmt w:val="bullet"/>
      <w:lvlText w:val="•"/>
      <w:lvlJc w:val="left"/>
      <w:pPr>
        <w:ind w:left="7487" w:hanging="841"/>
      </w:pPr>
      <w:rPr>
        <w:rFonts w:hint="default"/>
      </w:rPr>
    </w:lvl>
    <w:lvl w:ilvl="7" w:tentative="0">
      <w:start w:val="0"/>
      <w:numFmt w:val="bullet"/>
      <w:lvlText w:val="•"/>
      <w:lvlJc w:val="left"/>
      <w:pPr>
        <w:ind w:left="8352" w:hanging="841"/>
      </w:pPr>
      <w:rPr>
        <w:rFonts w:hint="default"/>
      </w:rPr>
    </w:lvl>
    <w:lvl w:ilvl="8" w:tentative="0">
      <w:start w:val="0"/>
      <w:numFmt w:val="bullet"/>
      <w:lvlText w:val="•"/>
      <w:lvlJc w:val="left"/>
      <w:pPr>
        <w:ind w:left="9217" w:hanging="841"/>
      </w:pPr>
      <w:rPr>
        <w:rFonts w:hint="default"/>
      </w:rPr>
    </w:lvl>
  </w:abstractNum>
  <w:abstractNum w:abstractNumId="41">
    <w:nsid w:val="3B8127DF"/>
    <w:multiLevelType w:val="multilevel"/>
    <w:tmpl w:val="3B8127DF"/>
    <w:lvl w:ilvl="0" w:tentative="0">
      <w:start w:val="20"/>
      <w:numFmt w:val="decimal"/>
      <w:lvlText w:val="%1"/>
      <w:lvlJc w:val="left"/>
      <w:pPr>
        <w:ind w:left="1319" w:hanging="481"/>
      </w:pPr>
      <w:rPr>
        <w:rFonts w:hint="default" w:cs="Times New Roman"/>
      </w:rPr>
    </w:lvl>
    <w:lvl w:ilvl="1" w:tentative="0">
      <w:start w:val="4"/>
      <w:numFmt w:val="decimal"/>
      <w:lvlText w:val="%1.%2"/>
      <w:lvlJc w:val="left"/>
      <w:pPr>
        <w:ind w:left="1319" w:hanging="481"/>
      </w:pPr>
      <w:rPr>
        <w:rFonts w:hint="default" w:ascii="宋体" w:hAnsi="宋体" w:eastAsia="宋体" w:cs="宋体"/>
        <w:w w:val="100"/>
        <w:sz w:val="22"/>
        <w:szCs w:val="22"/>
      </w:rPr>
    </w:lvl>
    <w:lvl w:ilvl="2" w:tentative="0">
      <w:start w:val="1"/>
      <w:numFmt w:val="decimal"/>
      <w:lvlText w:val="%1.%2.%3"/>
      <w:lvlJc w:val="left"/>
      <w:pPr>
        <w:ind w:left="1889" w:hanging="631"/>
      </w:pPr>
      <w:rPr>
        <w:rFonts w:hint="default" w:ascii="宋体" w:hAnsi="宋体" w:eastAsia="宋体" w:cs="宋体"/>
        <w:spacing w:val="-2"/>
        <w:w w:val="100"/>
        <w:sz w:val="19"/>
        <w:szCs w:val="19"/>
      </w:rPr>
    </w:lvl>
    <w:lvl w:ilvl="3" w:tentative="0">
      <w:start w:val="0"/>
      <w:numFmt w:val="bullet"/>
      <w:lvlText w:val="•"/>
      <w:lvlJc w:val="left"/>
      <w:pPr>
        <w:ind w:left="3894" w:hanging="631"/>
      </w:pPr>
      <w:rPr>
        <w:rFonts w:hint="default"/>
      </w:rPr>
    </w:lvl>
    <w:lvl w:ilvl="4" w:tentative="0">
      <w:start w:val="0"/>
      <w:numFmt w:val="bullet"/>
      <w:lvlText w:val="•"/>
      <w:lvlJc w:val="left"/>
      <w:pPr>
        <w:ind w:left="4902" w:hanging="631"/>
      </w:pPr>
      <w:rPr>
        <w:rFonts w:hint="default"/>
      </w:rPr>
    </w:lvl>
    <w:lvl w:ilvl="5" w:tentative="0">
      <w:start w:val="0"/>
      <w:numFmt w:val="bullet"/>
      <w:lvlText w:val="•"/>
      <w:lvlJc w:val="left"/>
      <w:pPr>
        <w:ind w:left="5909" w:hanging="631"/>
      </w:pPr>
      <w:rPr>
        <w:rFonts w:hint="default"/>
      </w:rPr>
    </w:lvl>
    <w:lvl w:ilvl="6" w:tentative="0">
      <w:start w:val="0"/>
      <w:numFmt w:val="bullet"/>
      <w:lvlText w:val="•"/>
      <w:lvlJc w:val="left"/>
      <w:pPr>
        <w:ind w:left="6916" w:hanging="631"/>
      </w:pPr>
      <w:rPr>
        <w:rFonts w:hint="default"/>
      </w:rPr>
    </w:lvl>
    <w:lvl w:ilvl="7" w:tentative="0">
      <w:start w:val="0"/>
      <w:numFmt w:val="bullet"/>
      <w:lvlText w:val="•"/>
      <w:lvlJc w:val="left"/>
      <w:pPr>
        <w:ind w:left="7924" w:hanging="631"/>
      </w:pPr>
      <w:rPr>
        <w:rFonts w:hint="default"/>
      </w:rPr>
    </w:lvl>
    <w:lvl w:ilvl="8" w:tentative="0">
      <w:start w:val="0"/>
      <w:numFmt w:val="bullet"/>
      <w:lvlText w:val="•"/>
      <w:lvlJc w:val="left"/>
      <w:pPr>
        <w:ind w:left="8931" w:hanging="631"/>
      </w:pPr>
      <w:rPr>
        <w:rFonts w:hint="default"/>
      </w:rPr>
    </w:lvl>
  </w:abstractNum>
  <w:abstractNum w:abstractNumId="42">
    <w:nsid w:val="40B249F9"/>
    <w:multiLevelType w:val="multilevel"/>
    <w:tmpl w:val="40B249F9"/>
    <w:lvl w:ilvl="0" w:tentative="0">
      <w:start w:val="15"/>
      <w:numFmt w:val="decimal"/>
      <w:lvlText w:val="%1."/>
      <w:lvlJc w:val="left"/>
      <w:pPr>
        <w:ind w:left="1259" w:hanging="422"/>
      </w:pPr>
      <w:rPr>
        <w:rFonts w:hint="default" w:ascii="宋体" w:hAnsi="宋体" w:eastAsia="宋体" w:cs="宋体"/>
        <w:w w:val="99"/>
        <w:sz w:val="26"/>
        <w:szCs w:val="26"/>
      </w:rPr>
    </w:lvl>
    <w:lvl w:ilvl="1" w:tentative="0">
      <w:start w:val="1"/>
      <w:numFmt w:val="decimal"/>
      <w:lvlText w:val="%1.%2"/>
      <w:lvlJc w:val="left"/>
      <w:pPr>
        <w:ind w:left="1319" w:hanging="481"/>
      </w:pPr>
      <w:rPr>
        <w:rFonts w:hint="default" w:ascii="宋体" w:hAnsi="宋体" w:eastAsia="宋体" w:cs="宋体"/>
        <w:w w:val="100"/>
        <w:sz w:val="22"/>
        <w:szCs w:val="22"/>
      </w:rPr>
    </w:lvl>
    <w:lvl w:ilvl="2" w:tentative="0">
      <w:start w:val="1"/>
      <w:numFmt w:val="decimal"/>
      <w:lvlText w:val="%1.%2.%3"/>
      <w:lvlJc w:val="left"/>
      <w:pPr>
        <w:ind w:left="1942" w:hanging="684"/>
      </w:pPr>
      <w:rPr>
        <w:rFonts w:hint="default" w:ascii="宋体" w:hAnsi="宋体" w:eastAsia="宋体" w:cs="宋体"/>
        <w:w w:val="100"/>
        <w:sz w:val="21"/>
        <w:szCs w:val="21"/>
      </w:rPr>
    </w:lvl>
    <w:lvl w:ilvl="3" w:tentative="0">
      <w:start w:val="0"/>
      <w:numFmt w:val="bullet"/>
      <w:lvlText w:val="•"/>
      <w:lvlJc w:val="left"/>
      <w:pPr>
        <w:ind w:left="1940" w:hanging="684"/>
      </w:pPr>
      <w:rPr>
        <w:rFonts w:hint="default"/>
      </w:rPr>
    </w:lvl>
    <w:lvl w:ilvl="4" w:tentative="0">
      <w:start w:val="0"/>
      <w:numFmt w:val="bullet"/>
      <w:lvlText w:val="•"/>
      <w:lvlJc w:val="left"/>
      <w:pPr>
        <w:ind w:left="3226" w:hanging="684"/>
      </w:pPr>
      <w:rPr>
        <w:rFonts w:hint="default"/>
      </w:rPr>
    </w:lvl>
    <w:lvl w:ilvl="5" w:tentative="0">
      <w:start w:val="0"/>
      <w:numFmt w:val="bullet"/>
      <w:lvlText w:val="•"/>
      <w:lvlJc w:val="left"/>
      <w:pPr>
        <w:ind w:left="4513" w:hanging="684"/>
      </w:pPr>
      <w:rPr>
        <w:rFonts w:hint="default"/>
      </w:rPr>
    </w:lvl>
    <w:lvl w:ilvl="6" w:tentative="0">
      <w:start w:val="0"/>
      <w:numFmt w:val="bullet"/>
      <w:lvlText w:val="•"/>
      <w:lvlJc w:val="left"/>
      <w:pPr>
        <w:ind w:left="5799" w:hanging="684"/>
      </w:pPr>
      <w:rPr>
        <w:rFonts w:hint="default"/>
      </w:rPr>
    </w:lvl>
    <w:lvl w:ilvl="7" w:tentative="0">
      <w:start w:val="0"/>
      <w:numFmt w:val="bullet"/>
      <w:lvlText w:val="•"/>
      <w:lvlJc w:val="left"/>
      <w:pPr>
        <w:ind w:left="7086" w:hanging="684"/>
      </w:pPr>
      <w:rPr>
        <w:rFonts w:hint="default"/>
      </w:rPr>
    </w:lvl>
    <w:lvl w:ilvl="8" w:tentative="0">
      <w:start w:val="0"/>
      <w:numFmt w:val="bullet"/>
      <w:lvlText w:val="•"/>
      <w:lvlJc w:val="left"/>
      <w:pPr>
        <w:ind w:left="8373" w:hanging="684"/>
      </w:pPr>
      <w:rPr>
        <w:rFonts w:hint="default"/>
      </w:rPr>
    </w:lvl>
  </w:abstractNum>
  <w:abstractNum w:abstractNumId="43">
    <w:nsid w:val="51380559"/>
    <w:multiLevelType w:val="multilevel"/>
    <w:tmpl w:val="51380559"/>
    <w:lvl w:ilvl="0" w:tentative="0">
      <w:start w:val="15"/>
      <w:numFmt w:val="decimal"/>
      <w:lvlText w:val="%1"/>
      <w:lvlJc w:val="left"/>
      <w:pPr>
        <w:tabs>
          <w:tab w:val="left" w:pos="420"/>
        </w:tabs>
        <w:ind w:left="420" w:hanging="420"/>
      </w:pPr>
      <w:rPr>
        <w:rFonts w:cs="Times New Roman"/>
      </w:rPr>
    </w:lvl>
    <w:lvl w:ilvl="1" w:tentative="0">
      <w:start w:val="1"/>
      <w:numFmt w:val="decimal"/>
      <w:lvlText w:val="%1.%2"/>
      <w:lvlJc w:val="left"/>
      <w:pPr>
        <w:tabs>
          <w:tab w:val="left" w:pos="709"/>
        </w:tabs>
        <w:ind w:left="709" w:hanging="709"/>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440"/>
        </w:tabs>
        <w:ind w:left="1440" w:hanging="1440"/>
      </w:pPr>
      <w:rPr>
        <w:rFonts w:cs="Times New Roman"/>
      </w:rPr>
    </w:lvl>
    <w:lvl w:ilvl="6" w:tentative="0">
      <w:start w:val="1"/>
      <w:numFmt w:val="decimal"/>
      <w:lvlText w:val="%1.%2.%3.%4.%5.%6.%7"/>
      <w:lvlJc w:val="left"/>
      <w:pPr>
        <w:tabs>
          <w:tab w:val="left" w:pos="1440"/>
        </w:tabs>
        <w:ind w:left="1440" w:hanging="1440"/>
      </w:pPr>
      <w:rPr>
        <w:rFonts w:cs="Times New Roman"/>
      </w:rPr>
    </w:lvl>
    <w:lvl w:ilvl="7" w:tentative="0">
      <w:start w:val="1"/>
      <w:numFmt w:val="decimal"/>
      <w:lvlText w:val="%1.%2.%3.%4.%5.%6.%7.%8"/>
      <w:lvlJc w:val="left"/>
      <w:pPr>
        <w:tabs>
          <w:tab w:val="left" w:pos="1800"/>
        </w:tabs>
        <w:ind w:left="1800" w:hanging="180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44">
    <w:nsid w:val="5BA62E84"/>
    <w:multiLevelType w:val="multilevel"/>
    <w:tmpl w:val="5BA62E84"/>
    <w:lvl w:ilvl="0" w:tentative="0">
      <w:start w:val="1"/>
      <w:numFmt w:val="decimal"/>
      <w:lvlText w:val="（%1）"/>
      <w:lvlJc w:val="left"/>
      <w:pPr>
        <w:tabs>
          <w:tab w:val="left" w:pos="1199"/>
        </w:tabs>
        <w:ind w:left="1199" w:hanging="720"/>
      </w:pPr>
      <w:rPr>
        <w:rFonts w:hint="default" w:cs="Times New Roman"/>
      </w:rPr>
    </w:lvl>
    <w:lvl w:ilvl="1" w:tentative="0">
      <w:start w:val="1"/>
      <w:numFmt w:val="lowerLetter"/>
      <w:lvlText w:val="%2)"/>
      <w:lvlJc w:val="left"/>
      <w:pPr>
        <w:tabs>
          <w:tab w:val="left" w:pos="1319"/>
        </w:tabs>
        <w:ind w:left="1319" w:hanging="420"/>
      </w:pPr>
      <w:rPr>
        <w:rFonts w:cs="Times New Roman"/>
      </w:rPr>
    </w:lvl>
    <w:lvl w:ilvl="2" w:tentative="0">
      <w:start w:val="1"/>
      <w:numFmt w:val="lowerRoman"/>
      <w:lvlText w:val="%3."/>
      <w:lvlJc w:val="right"/>
      <w:pPr>
        <w:tabs>
          <w:tab w:val="left" w:pos="1739"/>
        </w:tabs>
        <w:ind w:left="1739" w:hanging="420"/>
      </w:pPr>
      <w:rPr>
        <w:rFonts w:cs="Times New Roman"/>
      </w:rPr>
    </w:lvl>
    <w:lvl w:ilvl="3" w:tentative="0">
      <w:start w:val="1"/>
      <w:numFmt w:val="decimal"/>
      <w:lvlText w:val="%4."/>
      <w:lvlJc w:val="left"/>
      <w:pPr>
        <w:tabs>
          <w:tab w:val="left" w:pos="2159"/>
        </w:tabs>
        <w:ind w:left="2159" w:hanging="420"/>
      </w:pPr>
      <w:rPr>
        <w:rFonts w:cs="Times New Roman"/>
      </w:rPr>
    </w:lvl>
    <w:lvl w:ilvl="4" w:tentative="0">
      <w:start w:val="1"/>
      <w:numFmt w:val="lowerLetter"/>
      <w:lvlText w:val="%5)"/>
      <w:lvlJc w:val="left"/>
      <w:pPr>
        <w:tabs>
          <w:tab w:val="left" w:pos="2579"/>
        </w:tabs>
        <w:ind w:left="2579" w:hanging="420"/>
      </w:pPr>
      <w:rPr>
        <w:rFonts w:cs="Times New Roman"/>
      </w:rPr>
    </w:lvl>
    <w:lvl w:ilvl="5" w:tentative="0">
      <w:start w:val="1"/>
      <w:numFmt w:val="lowerRoman"/>
      <w:lvlText w:val="%6."/>
      <w:lvlJc w:val="right"/>
      <w:pPr>
        <w:tabs>
          <w:tab w:val="left" w:pos="2999"/>
        </w:tabs>
        <w:ind w:left="2999" w:hanging="420"/>
      </w:pPr>
      <w:rPr>
        <w:rFonts w:cs="Times New Roman"/>
      </w:rPr>
    </w:lvl>
    <w:lvl w:ilvl="6" w:tentative="0">
      <w:start w:val="1"/>
      <w:numFmt w:val="decimal"/>
      <w:lvlText w:val="%7."/>
      <w:lvlJc w:val="left"/>
      <w:pPr>
        <w:tabs>
          <w:tab w:val="left" w:pos="3419"/>
        </w:tabs>
        <w:ind w:left="3419" w:hanging="420"/>
      </w:pPr>
      <w:rPr>
        <w:rFonts w:cs="Times New Roman"/>
      </w:rPr>
    </w:lvl>
    <w:lvl w:ilvl="7" w:tentative="0">
      <w:start w:val="1"/>
      <w:numFmt w:val="lowerLetter"/>
      <w:lvlText w:val="%8)"/>
      <w:lvlJc w:val="left"/>
      <w:pPr>
        <w:tabs>
          <w:tab w:val="left" w:pos="3839"/>
        </w:tabs>
        <w:ind w:left="3839" w:hanging="420"/>
      </w:pPr>
      <w:rPr>
        <w:rFonts w:cs="Times New Roman"/>
      </w:rPr>
    </w:lvl>
    <w:lvl w:ilvl="8" w:tentative="0">
      <w:start w:val="1"/>
      <w:numFmt w:val="lowerRoman"/>
      <w:lvlText w:val="%9."/>
      <w:lvlJc w:val="right"/>
      <w:pPr>
        <w:tabs>
          <w:tab w:val="left" w:pos="4259"/>
        </w:tabs>
        <w:ind w:left="4259" w:hanging="420"/>
      </w:pPr>
      <w:rPr>
        <w:rFonts w:cs="Times New Roman"/>
      </w:rPr>
    </w:lvl>
  </w:abstractNum>
  <w:abstractNum w:abstractNumId="45">
    <w:nsid w:val="601A0978"/>
    <w:multiLevelType w:val="multilevel"/>
    <w:tmpl w:val="601A0978"/>
    <w:lvl w:ilvl="0" w:tentative="0">
      <w:start w:val="1"/>
      <w:numFmt w:val="decimal"/>
      <w:lvlText w:val="（%1）"/>
      <w:lvlJc w:val="left"/>
      <w:pPr>
        <w:tabs>
          <w:tab w:val="left" w:pos="1199"/>
        </w:tabs>
        <w:ind w:left="1199" w:hanging="720"/>
      </w:pPr>
      <w:rPr>
        <w:rFonts w:hint="default" w:cs="Times New Roman"/>
      </w:rPr>
    </w:lvl>
    <w:lvl w:ilvl="1" w:tentative="0">
      <w:start w:val="1"/>
      <w:numFmt w:val="lowerLetter"/>
      <w:lvlText w:val="%2)"/>
      <w:lvlJc w:val="left"/>
      <w:pPr>
        <w:tabs>
          <w:tab w:val="left" w:pos="1319"/>
        </w:tabs>
        <w:ind w:left="1319" w:hanging="420"/>
      </w:pPr>
      <w:rPr>
        <w:rFonts w:cs="Times New Roman"/>
      </w:rPr>
    </w:lvl>
    <w:lvl w:ilvl="2" w:tentative="0">
      <w:start w:val="1"/>
      <w:numFmt w:val="lowerRoman"/>
      <w:lvlText w:val="%3."/>
      <w:lvlJc w:val="right"/>
      <w:pPr>
        <w:tabs>
          <w:tab w:val="left" w:pos="1739"/>
        </w:tabs>
        <w:ind w:left="1739" w:hanging="420"/>
      </w:pPr>
      <w:rPr>
        <w:rFonts w:cs="Times New Roman"/>
      </w:rPr>
    </w:lvl>
    <w:lvl w:ilvl="3" w:tentative="0">
      <w:start w:val="1"/>
      <w:numFmt w:val="decimal"/>
      <w:lvlText w:val="%4."/>
      <w:lvlJc w:val="left"/>
      <w:pPr>
        <w:tabs>
          <w:tab w:val="left" w:pos="2159"/>
        </w:tabs>
        <w:ind w:left="2159" w:hanging="420"/>
      </w:pPr>
      <w:rPr>
        <w:rFonts w:cs="Times New Roman"/>
      </w:rPr>
    </w:lvl>
    <w:lvl w:ilvl="4" w:tentative="0">
      <w:start w:val="1"/>
      <w:numFmt w:val="lowerLetter"/>
      <w:lvlText w:val="%5)"/>
      <w:lvlJc w:val="left"/>
      <w:pPr>
        <w:tabs>
          <w:tab w:val="left" w:pos="2579"/>
        </w:tabs>
        <w:ind w:left="2579" w:hanging="420"/>
      </w:pPr>
      <w:rPr>
        <w:rFonts w:cs="Times New Roman"/>
      </w:rPr>
    </w:lvl>
    <w:lvl w:ilvl="5" w:tentative="0">
      <w:start w:val="1"/>
      <w:numFmt w:val="lowerRoman"/>
      <w:lvlText w:val="%6."/>
      <w:lvlJc w:val="right"/>
      <w:pPr>
        <w:tabs>
          <w:tab w:val="left" w:pos="2999"/>
        </w:tabs>
        <w:ind w:left="2999" w:hanging="420"/>
      </w:pPr>
      <w:rPr>
        <w:rFonts w:cs="Times New Roman"/>
      </w:rPr>
    </w:lvl>
    <w:lvl w:ilvl="6" w:tentative="0">
      <w:start w:val="1"/>
      <w:numFmt w:val="decimal"/>
      <w:lvlText w:val="%7."/>
      <w:lvlJc w:val="left"/>
      <w:pPr>
        <w:tabs>
          <w:tab w:val="left" w:pos="3419"/>
        </w:tabs>
        <w:ind w:left="3419" w:hanging="420"/>
      </w:pPr>
      <w:rPr>
        <w:rFonts w:cs="Times New Roman"/>
      </w:rPr>
    </w:lvl>
    <w:lvl w:ilvl="7" w:tentative="0">
      <w:start w:val="1"/>
      <w:numFmt w:val="lowerLetter"/>
      <w:lvlText w:val="%8)"/>
      <w:lvlJc w:val="left"/>
      <w:pPr>
        <w:tabs>
          <w:tab w:val="left" w:pos="3839"/>
        </w:tabs>
        <w:ind w:left="3839" w:hanging="420"/>
      </w:pPr>
      <w:rPr>
        <w:rFonts w:cs="Times New Roman"/>
      </w:rPr>
    </w:lvl>
    <w:lvl w:ilvl="8" w:tentative="0">
      <w:start w:val="1"/>
      <w:numFmt w:val="lowerRoman"/>
      <w:lvlText w:val="%9."/>
      <w:lvlJc w:val="right"/>
      <w:pPr>
        <w:tabs>
          <w:tab w:val="left" w:pos="4259"/>
        </w:tabs>
        <w:ind w:left="4259" w:hanging="420"/>
      </w:pPr>
      <w:rPr>
        <w:rFonts w:cs="Times New Roman"/>
      </w:rPr>
    </w:lvl>
  </w:abstractNum>
  <w:abstractNum w:abstractNumId="46">
    <w:nsid w:val="65CD0074"/>
    <w:multiLevelType w:val="multilevel"/>
    <w:tmpl w:val="65CD0074"/>
    <w:lvl w:ilvl="0" w:tentative="0">
      <w:start w:val="1"/>
      <w:numFmt w:val="decimal"/>
      <w:lvlText w:val="%1"/>
      <w:lvlJc w:val="left"/>
      <w:pPr>
        <w:ind w:left="1784" w:hanging="526"/>
      </w:pPr>
      <w:rPr>
        <w:rFonts w:hint="default" w:cs="Times New Roman"/>
      </w:rPr>
    </w:lvl>
    <w:lvl w:ilvl="1" w:tentative="0">
      <w:start w:val="1"/>
      <w:numFmt w:val="decimal"/>
      <w:lvlText w:val="%1.%2"/>
      <w:lvlJc w:val="left"/>
      <w:pPr>
        <w:ind w:left="1784" w:hanging="526"/>
      </w:pPr>
      <w:rPr>
        <w:rFonts w:hint="default" w:cs="Times New Roman"/>
      </w:rPr>
    </w:lvl>
    <w:lvl w:ilvl="2" w:tentative="0">
      <w:start w:val="2"/>
      <w:numFmt w:val="decimal"/>
      <w:lvlText w:val="%1.%2.%3"/>
      <w:lvlJc w:val="left"/>
      <w:pPr>
        <w:ind w:left="1784" w:hanging="526"/>
      </w:pPr>
      <w:rPr>
        <w:rFonts w:hint="default" w:ascii="宋体" w:hAnsi="宋体" w:eastAsia="宋体" w:cs="宋体"/>
        <w:spacing w:val="-2"/>
        <w:w w:val="100"/>
        <w:sz w:val="19"/>
        <w:szCs w:val="19"/>
      </w:rPr>
    </w:lvl>
    <w:lvl w:ilvl="3" w:tentative="0">
      <w:start w:val="0"/>
      <w:numFmt w:val="bullet"/>
      <w:lvlText w:val="•"/>
      <w:lvlJc w:val="left"/>
      <w:pPr>
        <w:ind w:left="4529" w:hanging="526"/>
      </w:pPr>
      <w:rPr>
        <w:rFonts w:hint="default"/>
      </w:rPr>
    </w:lvl>
    <w:lvl w:ilvl="4" w:tentative="0">
      <w:start w:val="0"/>
      <w:numFmt w:val="bullet"/>
      <w:lvlText w:val="•"/>
      <w:lvlJc w:val="left"/>
      <w:pPr>
        <w:ind w:left="5446" w:hanging="526"/>
      </w:pPr>
      <w:rPr>
        <w:rFonts w:hint="default"/>
      </w:rPr>
    </w:lvl>
    <w:lvl w:ilvl="5" w:tentative="0">
      <w:start w:val="0"/>
      <w:numFmt w:val="bullet"/>
      <w:lvlText w:val="•"/>
      <w:lvlJc w:val="left"/>
      <w:pPr>
        <w:ind w:left="6363" w:hanging="526"/>
      </w:pPr>
      <w:rPr>
        <w:rFonts w:hint="default"/>
      </w:rPr>
    </w:lvl>
    <w:lvl w:ilvl="6" w:tentative="0">
      <w:start w:val="0"/>
      <w:numFmt w:val="bullet"/>
      <w:lvlText w:val="•"/>
      <w:lvlJc w:val="left"/>
      <w:pPr>
        <w:ind w:left="7279" w:hanging="526"/>
      </w:pPr>
      <w:rPr>
        <w:rFonts w:hint="default"/>
      </w:rPr>
    </w:lvl>
    <w:lvl w:ilvl="7" w:tentative="0">
      <w:start w:val="0"/>
      <w:numFmt w:val="bullet"/>
      <w:lvlText w:val="•"/>
      <w:lvlJc w:val="left"/>
      <w:pPr>
        <w:ind w:left="8196" w:hanging="526"/>
      </w:pPr>
      <w:rPr>
        <w:rFonts w:hint="default"/>
      </w:rPr>
    </w:lvl>
    <w:lvl w:ilvl="8" w:tentative="0">
      <w:start w:val="0"/>
      <w:numFmt w:val="bullet"/>
      <w:lvlText w:val="•"/>
      <w:lvlJc w:val="left"/>
      <w:pPr>
        <w:ind w:left="9113" w:hanging="526"/>
      </w:pPr>
      <w:rPr>
        <w:rFonts w:hint="default"/>
      </w:rPr>
    </w:lvl>
  </w:abstractNum>
  <w:abstractNum w:abstractNumId="47">
    <w:nsid w:val="673EBB51"/>
    <w:multiLevelType w:val="singleLevel"/>
    <w:tmpl w:val="673EBB51"/>
    <w:lvl w:ilvl="0" w:tentative="0">
      <w:start w:val="1"/>
      <w:numFmt w:val="decimal"/>
      <w:suff w:val="nothing"/>
      <w:lvlText w:val="（%1）"/>
      <w:lvlJc w:val="left"/>
      <w:rPr>
        <w:rFonts w:cs="Times New Roman"/>
      </w:rPr>
    </w:lvl>
  </w:abstractNum>
  <w:abstractNum w:abstractNumId="48">
    <w:nsid w:val="700FDCEF"/>
    <w:multiLevelType w:val="multilevel"/>
    <w:tmpl w:val="700FDCEF"/>
    <w:lvl w:ilvl="0" w:tentative="0">
      <w:start w:val="4"/>
      <w:numFmt w:val="decimal"/>
      <w:lvlText w:val="%1"/>
      <w:lvlJc w:val="left"/>
      <w:pPr>
        <w:ind w:left="838" w:hanging="369"/>
      </w:pPr>
      <w:rPr>
        <w:rFonts w:hint="default" w:cs="Times New Roman"/>
      </w:rPr>
    </w:lvl>
    <w:lvl w:ilvl="1" w:tentative="0">
      <w:start w:val="1"/>
      <w:numFmt w:val="decimal"/>
      <w:lvlText w:val="%1.%2"/>
      <w:lvlJc w:val="left"/>
      <w:pPr>
        <w:ind w:left="838" w:hanging="369"/>
      </w:pPr>
      <w:rPr>
        <w:rFonts w:hint="default" w:ascii="宋体" w:hAnsi="宋体" w:eastAsia="宋体" w:cs="宋体"/>
        <w:spacing w:val="-1"/>
        <w:w w:val="100"/>
        <w:sz w:val="21"/>
        <w:szCs w:val="21"/>
      </w:rPr>
    </w:lvl>
    <w:lvl w:ilvl="2" w:tentative="0">
      <w:start w:val="0"/>
      <w:numFmt w:val="bullet"/>
      <w:lvlText w:val="•"/>
      <w:lvlJc w:val="left"/>
      <w:pPr>
        <w:ind w:left="2861" w:hanging="369"/>
      </w:pPr>
      <w:rPr>
        <w:rFonts w:hint="default"/>
      </w:rPr>
    </w:lvl>
    <w:lvl w:ilvl="3" w:tentative="0">
      <w:start w:val="0"/>
      <w:numFmt w:val="bullet"/>
      <w:lvlText w:val="•"/>
      <w:lvlJc w:val="left"/>
      <w:pPr>
        <w:ind w:left="3871" w:hanging="369"/>
      </w:pPr>
      <w:rPr>
        <w:rFonts w:hint="default"/>
      </w:rPr>
    </w:lvl>
    <w:lvl w:ilvl="4" w:tentative="0">
      <w:start w:val="0"/>
      <w:numFmt w:val="bullet"/>
      <w:lvlText w:val="•"/>
      <w:lvlJc w:val="left"/>
      <w:pPr>
        <w:ind w:left="4882" w:hanging="369"/>
      </w:pPr>
      <w:rPr>
        <w:rFonts w:hint="default"/>
      </w:rPr>
    </w:lvl>
    <w:lvl w:ilvl="5" w:tentative="0">
      <w:start w:val="0"/>
      <w:numFmt w:val="bullet"/>
      <w:lvlText w:val="•"/>
      <w:lvlJc w:val="left"/>
      <w:pPr>
        <w:ind w:left="5893" w:hanging="369"/>
      </w:pPr>
      <w:rPr>
        <w:rFonts w:hint="default"/>
      </w:rPr>
    </w:lvl>
    <w:lvl w:ilvl="6" w:tentative="0">
      <w:start w:val="0"/>
      <w:numFmt w:val="bullet"/>
      <w:lvlText w:val="•"/>
      <w:lvlJc w:val="left"/>
      <w:pPr>
        <w:ind w:left="6903" w:hanging="369"/>
      </w:pPr>
      <w:rPr>
        <w:rFonts w:hint="default"/>
      </w:rPr>
    </w:lvl>
    <w:lvl w:ilvl="7" w:tentative="0">
      <w:start w:val="0"/>
      <w:numFmt w:val="bullet"/>
      <w:lvlText w:val="•"/>
      <w:lvlJc w:val="left"/>
      <w:pPr>
        <w:ind w:left="7914" w:hanging="369"/>
      </w:pPr>
      <w:rPr>
        <w:rFonts w:hint="default"/>
      </w:rPr>
    </w:lvl>
    <w:lvl w:ilvl="8" w:tentative="0">
      <w:start w:val="0"/>
      <w:numFmt w:val="bullet"/>
      <w:lvlText w:val="•"/>
      <w:lvlJc w:val="left"/>
      <w:pPr>
        <w:ind w:left="8925" w:hanging="369"/>
      </w:pPr>
      <w:rPr>
        <w:rFonts w:hint="default"/>
      </w:rPr>
    </w:lvl>
  </w:abstractNum>
  <w:abstractNum w:abstractNumId="49">
    <w:nsid w:val="720B6707"/>
    <w:multiLevelType w:val="multilevel"/>
    <w:tmpl w:val="720B6707"/>
    <w:lvl w:ilvl="0" w:tentative="0">
      <w:start w:val="5"/>
      <w:numFmt w:val="chineseCountingThousand"/>
      <w:pStyle w:val="2"/>
      <w:suff w:val="nothing"/>
      <w:lvlText w:val="第%1章"/>
      <w:lvlJc w:val="left"/>
      <w:rPr>
        <w:rFonts w:hint="eastAsia" w:cs="Times New Roman"/>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suff w:val="nothing"/>
      <w:lvlText w:val=""/>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49"/>
  </w:num>
  <w:num w:numId="2">
    <w:abstractNumId w:val="39"/>
  </w:num>
  <w:num w:numId="3">
    <w:abstractNumId w:val="9"/>
  </w:num>
  <w:num w:numId="4">
    <w:abstractNumId w:val="35"/>
  </w:num>
  <w:num w:numId="5">
    <w:abstractNumId w:val="20"/>
  </w:num>
  <w:num w:numId="6">
    <w:abstractNumId w:val="16"/>
  </w:num>
  <w:num w:numId="7">
    <w:abstractNumId w:val="20"/>
    <w:lvlOverride w:ilvl="1">
      <w:startOverride w:val="1"/>
    </w:lvlOverride>
  </w:num>
  <w:num w:numId="8">
    <w:abstractNumId w:val="14"/>
  </w:num>
  <w:num w:numId="9">
    <w:abstractNumId w:val="23"/>
    <w:lvlOverride w:ilvl="0">
      <w:startOverride w:val="1"/>
    </w:lvlOverride>
  </w:num>
  <w:num w:numId="10">
    <w:abstractNumId w:val="11"/>
  </w:num>
  <w:num w:numId="11">
    <w:abstractNumId w:val="24"/>
  </w:num>
  <w:num w:numId="12">
    <w:abstractNumId w:val="17"/>
  </w:num>
  <w:num w:numId="13">
    <w:abstractNumId w:val="18"/>
  </w:num>
  <w:num w:numId="14">
    <w:abstractNumId w:val="15"/>
  </w:num>
  <w:num w:numId="15">
    <w:abstractNumId w:val="13"/>
  </w:num>
  <w:num w:numId="16">
    <w:abstractNumId w:val="43"/>
  </w:num>
  <w:num w:numId="17">
    <w:abstractNumId w:val="22"/>
  </w:num>
  <w:num w:numId="18">
    <w:abstractNumId w:val="21"/>
  </w:num>
  <w:num w:numId="19">
    <w:abstractNumId w:val="25"/>
    <w:lvlOverride w:ilvl="0">
      <w:startOverride w:val="1"/>
    </w:lvlOverride>
  </w:num>
  <w:num w:numId="20">
    <w:abstractNumId w:val="10"/>
  </w:num>
  <w:num w:numId="21">
    <w:abstractNumId w:val="19"/>
  </w:num>
  <w:num w:numId="22">
    <w:abstractNumId w:val="12"/>
    <w:lvlOverride w:ilvl="0">
      <w:startOverride w:val="1"/>
    </w:lvlOverride>
  </w:num>
  <w:num w:numId="23">
    <w:abstractNumId w:val="44"/>
  </w:num>
  <w:num w:numId="24">
    <w:abstractNumId w:val="28"/>
  </w:num>
  <w:num w:numId="25">
    <w:abstractNumId w:val="45"/>
  </w:num>
  <w:num w:numId="26">
    <w:abstractNumId w:val="27"/>
  </w:num>
  <w:num w:numId="27">
    <w:abstractNumId w:val="5"/>
  </w:num>
  <w:num w:numId="28">
    <w:abstractNumId w:val="38"/>
  </w:num>
  <w:num w:numId="29">
    <w:abstractNumId w:val="46"/>
  </w:num>
  <w:num w:numId="30">
    <w:abstractNumId w:val="26"/>
  </w:num>
  <w:num w:numId="31">
    <w:abstractNumId w:val="29"/>
  </w:num>
  <w:num w:numId="32">
    <w:abstractNumId w:val="33"/>
  </w:num>
  <w:num w:numId="33">
    <w:abstractNumId w:val="6"/>
  </w:num>
  <w:num w:numId="34">
    <w:abstractNumId w:val="34"/>
  </w:num>
  <w:num w:numId="35">
    <w:abstractNumId w:val="7"/>
  </w:num>
  <w:num w:numId="36">
    <w:abstractNumId w:val="36"/>
  </w:num>
  <w:num w:numId="37">
    <w:abstractNumId w:val="2"/>
  </w:num>
  <w:num w:numId="38">
    <w:abstractNumId w:val="42"/>
  </w:num>
  <w:num w:numId="39">
    <w:abstractNumId w:val="30"/>
  </w:num>
  <w:num w:numId="40">
    <w:abstractNumId w:val="40"/>
  </w:num>
  <w:num w:numId="41">
    <w:abstractNumId w:val="3"/>
  </w:num>
  <w:num w:numId="42">
    <w:abstractNumId w:val="31"/>
  </w:num>
  <w:num w:numId="43">
    <w:abstractNumId w:val="4"/>
  </w:num>
  <w:num w:numId="44">
    <w:abstractNumId w:val="47"/>
  </w:num>
  <w:num w:numId="45">
    <w:abstractNumId w:val="1"/>
  </w:num>
  <w:num w:numId="46">
    <w:abstractNumId w:val="41"/>
  </w:num>
  <w:num w:numId="47">
    <w:abstractNumId w:val="0"/>
  </w:num>
  <w:num w:numId="48">
    <w:abstractNumId w:val="37"/>
  </w:num>
  <w:num w:numId="49">
    <w:abstractNumId w:val="8"/>
  </w:num>
  <w:num w:numId="50">
    <w:abstractNumId w:val="32"/>
  </w:num>
  <w:num w:numId="51">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816F5C"/>
    <w:rsid w:val="000318CE"/>
    <w:rsid w:val="00077D77"/>
    <w:rsid w:val="000832E3"/>
    <w:rsid w:val="000B2B54"/>
    <w:rsid w:val="000D5DA7"/>
    <w:rsid w:val="001333E1"/>
    <w:rsid w:val="0016799B"/>
    <w:rsid w:val="00177A06"/>
    <w:rsid w:val="001D0B0C"/>
    <w:rsid w:val="0020417A"/>
    <w:rsid w:val="00243879"/>
    <w:rsid w:val="00250A55"/>
    <w:rsid w:val="00294AC2"/>
    <w:rsid w:val="00295BA5"/>
    <w:rsid w:val="002C0728"/>
    <w:rsid w:val="002E22F7"/>
    <w:rsid w:val="002F581D"/>
    <w:rsid w:val="003441EF"/>
    <w:rsid w:val="00391446"/>
    <w:rsid w:val="003E7E7C"/>
    <w:rsid w:val="003E7F01"/>
    <w:rsid w:val="00403FC0"/>
    <w:rsid w:val="0049158C"/>
    <w:rsid w:val="004A0DA8"/>
    <w:rsid w:val="004B417B"/>
    <w:rsid w:val="004C120D"/>
    <w:rsid w:val="004C6BCF"/>
    <w:rsid w:val="00523996"/>
    <w:rsid w:val="00530D17"/>
    <w:rsid w:val="00564A37"/>
    <w:rsid w:val="00594A90"/>
    <w:rsid w:val="00630A8F"/>
    <w:rsid w:val="00641E6B"/>
    <w:rsid w:val="006928BF"/>
    <w:rsid w:val="006B35B1"/>
    <w:rsid w:val="0072020D"/>
    <w:rsid w:val="007807D8"/>
    <w:rsid w:val="0078354D"/>
    <w:rsid w:val="007D25D2"/>
    <w:rsid w:val="00837930"/>
    <w:rsid w:val="008E73F4"/>
    <w:rsid w:val="00932FE2"/>
    <w:rsid w:val="009356D2"/>
    <w:rsid w:val="00942E97"/>
    <w:rsid w:val="00947857"/>
    <w:rsid w:val="009549B3"/>
    <w:rsid w:val="009A085D"/>
    <w:rsid w:val="00AB25D9"/>
    <w:rsid w:val="00B3103C"/>
    <w:rsid w:val="00B338CC"/>
    <w:rsid w:val="00B4750C"/>
    <w:rsid w:val="00B60ED1"/>
    <w:rsid w:val="00B70192"/>
    <w:rsid w:val="00B91D15"/>
    <w:rsid w:val="00BA373A"/>
    <w:rsid w:val="00BD5983"/>
    <w:rsid w:val="00BE5D9E"/>
    <w:rsid w:val="00C117B2"/>
    <w:rsid w:val="00C65732"/>
    <w:rsid w:val="00C752C1"/>
    <w:rsid w:val="00D3755D"/>
    <w:rsid w:val="00D376EE"/>
    <w:rsid w:val="00D448A1"/>
    <w:rsid w:val="00DF05AB"/>
    <w:rsid w:val="00E10EA6"/>
    <w:rsid w:val="00E318F0"/>
    <w:rsid w:val="00EF4D95"/>
    <w:rsid w:val="00F159B8"/>
    <w:rsid w:val="00F414B1"/>
    <w:rsid w:val="00F662CE"/>
    <w:rsid w:val="00F8777F"/>
    <w:rsid w:val="00FC42FD"/>
    <w:rsid w:val="1A9B2B12"/>
    <w:rsid w:val="4155353B"/>
    <w:rsid w:val="4BB1460D"/>
    <w:rsid w:val="53D0264C"/>
    <w:rsid w:val="57B653B9"/>
    <w:rsid w:val="5B227B69"/>
    <w:rsid w:val="60816F5C"/>
    <w:rsid w:val="673878A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sdException w:qFormat="1" w:unhideWhenUsed="0" w:uiPriority="99" w:semiHidden="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pl-PL" w:eastAsia="pl-PL" w:bidi="ar-SA"/>
    </w:rPr>
  </w:style>
  <w:style w:type="paragraph" w:styleId="2">
    <w:name w:val="heading 1"/>
    <w:basedOn w:val="1"/>
    <w:next w:val="1"/>
    <w:link w:val="21"/>
    <w:qFormat/>
    <w:uiPriority w:val="99"/>
    <w:pPr>
      <w:keepNext/>
      <w:keepLines/>
      <w:pageBreakBefore/>
      <w:numPr>
        <w:ilvl w:val="0"/>
        <w:numId w:val="1"/>
      </w:numPr>
      <w:spacing w:before="340" w:after="330" w:line="578" w:lineRule="auto"/>
      <w:jc w:val="center"/>
      <w:outlineLvl w:val="0"/>
    </w:pPr>
    <w:rPr>
      <w:b/>
      <w:bCs/>
      <w:kern w:val="44"/>
      <w:sz w:val="28"/>
      <w:szCs w:val="44"/>
    </w:rPr>
  </w:style>
  <w:style w:type="paragraph" w:styleId="3">
    <w:name w:val="heading 2"/>
    <w:basedOn w:val="1"/>
    <w:next w:val="1"/>
    <w:link w:val="22"/>
    <w:qFormat/>
    <w:uiPriority w:val="99"/>
    <w:pPr>
      <w:keepNext/>
      <w:keepLines/>
      <w:numPr>
        <w:ilvl w:val="0"/>
        <w:numId w:val="2"/>
      </w:numPr>
      <w:spacing w:before="260" w:after="260" w:line="416" w:lineRule="auto"/>
      <w:outlineLvl w:val="1"/>
    </w:pPr>
    <w:rPr>
      <w:rFonts w:ascii="Cambria" w:hAnsi="Cambria"/>
      <w:b/>
      <w:bCs/>
      <w:szCs w:val="32"/>
    </w:rPr>
  </w:style>
  <w:style w:type="paragraph" w:styleId="4">
    <w:name w:val="heading 3"/>
    <w:basedOn w:val="1"/>
    <w:next w:val="1"/>
    <w:link w:val="23"/>
    <w:qFormat/>
    <w:uiPriority w:val="99"/>
    <w:pPr>
      <w:keepNext/>
      <w:keepLines/>
      <w:numPr>
        <w:ilvl w:val="2"/>
        <w:numId w:val="3"/>
      </w:numPr>
      <w:adjustRightInd w:val="0"/>
      <w:spacing w:before="260" w:after="260" w:line="416" w:lineRule="atLeast"/>
      <w:outlineLvl w:val="2"/>
    </w:pPr>
    <w:rPr>
      <w:b/>
      <w:bCs/>
      <w:sz w:val="32"/>
      <w:szCs w:val="32"/>
    </w:rPr>
  </w:style>
  <w:style w:type="paragraph" w:styleId="5">
    <w:name w:val="heading 4"/>
    <w:basedOn w:val="1"/>
    <w:next w:val="1"/>
    <w:link w:val="24"/>
    <w:qFormat/>
    <w:uiPriority w:val="99"/>
    <w:pPr>
      <w:keepNext/>
      <w:keepLines/>
      <w:numPr>
        <w:ilvl w:val="3"/>
        <w:numId w:val="3"/>
      </w:numPr>
      <w:adjustRightInd w:val="0"/>
      <w:spacing w:before="280" w:after="290" w:line="376" w:lineRule="atLeast"/>
      <w:outlineLvl w:val="3"/>
    </w:pPr>
    <w:rPr>
      <w:rFonts w:ascii="Arial" w:hAnsi="Arial" w:eastAsia="黑体"/>
      <w:b/>
      <w:bCs/>
      <w:sz w:val="28"/>
      <w:szCs w:val="28"/>
    </w:rPr>
  </w:style>
  <w:style w:type="paragraph" w:styleId="6">
    <w:name w:val="heading 5"/>
    <w:basedOn w:val="1"/>
    <w:next w:val="1"/>
    <w:link w:val="25"/>
    <w:qFormat/>
    <w:uiPriority w:val="99"/>
    <w:pPr>
      <w:spacing w:before="60"/>
      <w:ind w:left="1119" w:hanging="282"/>
      <w:outlineLvl w:val="4"/>
    </w:pPr>
    <w:rPr>
      <w:sz w:val="28"/>
      <w:szCs w:val="28"/>
    </w:rPr>
  </w:style>
  <w:style w:type="paragraph" w:styleId="7">
    <w:name w:val="heading 7"/>
    <w:basedOn w:val="1"/>
    <w:next w:val="1"/>
    <w:link w:val="26"/>
    <w:qFormat/>
    <w:uiPriority w:val="99"/>
    <w:pPr>
      <w:spacing w:before="66"/>
      <w:ind w:left="1199"/>
      <w:outlineLvl w:val="6"/>
    </w:pPr>
    <w:rPr>
      <w:sz w:val="24"/>
      <w:szCs w:val="24"/>
    </w:rPr>
  </w:style>
  <w:style w:type="character" w:default="1" w:styleId="18">
    <w:name w:val="Default Paragraph Font"/>
    <w:semiHidden/>
    <w:qFormat/>
    <w:uiPriority w:val="99"/>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8">
    <w:name w:val="Body Text"/>
    <w:basedOn w:val="1"/>
    <w:link w:val="27"/>
    <w:qFormat/>
    <w:uiPriority w:val="99"/>
    <w:rPr>
      <w:sz w:val="21"/>
      <w:szCs w:val="21"/>
    </w:rPr>
  </w:style>
  <w:style w:type="paragraph" w:styleId="9">
    <w:name w:val="Plain Text"/>
    <w:basedOn w:val="1"/>
    <w:link w:val="28"/>
    <w:qFormat/>
    <w:uiPriority w:val="99"/>
    <w:pPr>
      <w:spacing w:beforeLines="50" w:afterLines="50"/>
    </w:pPr>
    <w:rPr>
      <w:rFonts w:hAnsi="Courier New"/>
      <w:sz w:val="32"/>
    </w:rPr>
  </w:style>
  <w:style w:type="paragraph" w:styleId="10">
    <w:name w:val="Date"/>
    <w:basedOn w:val="1"/>
    <w:next w:val="1"/>
    <w:link w:val="29"/>
    <w:qFormat/>
    <w:uiPriority w:val="99"/>
    <w:rPr>
      <w:rFonts w:ascii="Tahoma" w:hAnsi="Tahoma" w:eastAsia="黑体"/>
      <w:sz w:val="28"/>
    </w:rPr>
  </w:style>
  <w:style w:type="paragraph" w:styleId="11">
    <w:name w:val="footer"/>
    <w:basedOn w:val="1"/>
    <w:link w:val="30"/>
    <w:qFormat/>
    <w:uiPriority w:val="99"/>
    <w:pPr>
      <w:tabs>
        <w:tab w:val="center" w:pos="4153"/>
        <w:tab w:val="right" w:pos="8306"/>
      </w:tabs>
      <w:snapToGrid w:val="0"/>
    </w:pPr>
    <w:rPr>
      <w:sz w:val="18"/>
    </w:rPr>
  </w:style>
  <w:style w:type="paragraph" w:styleId="12">
    <w:name w:val="header"/>
    <w:basedOn w:val="1"/>
    <w:link w:val="3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3">
    <w:name w:val="toc 1"/>
    <w:basedOn w:val="1"/>
    <w:next w:val="1"/>
    <w:qFormat/>
    <w:uiPriority w:val="99"/>
  </w:style>
  <w:style w:type="paragraph" w:styleId="14">
    <w:name w:val="toc 2"/>
    <w:basedOn w:val="1"/>
    <w:next w:val="1"/>
    <w:qFormat/>
    <w:uiPriority w:val="99"/>
    <w:pPr>
      <w:ind w:left="420" w:leftChars="200"/>
    </w:pPr>
  </w:style>
  <w:style w:type="paragraph" w:styleId="15">
    <w:name w:val="Normal (Web)"/>
    <w:basedOn w:val="1"/>
    <w:qFormat/>
    <w:uiPriority w:val="99"/>
    <w:pPr>
      <w:widowControl/>
    </w:pPr>
    <w:rPr>
      <w:szCs w:val="24"/>
    </w:rPr>
  </w:style>
  <w:style w:type="paragraph" w:styleId="16">
    <w:name w:val="Body Text First Indent"/>
    <w:basedOn w:val="8"/>
    <w:link w:val="32"/>
    <w:qFormat/>
    <w:uiPriority w:val="99"/>
    <w:pPr>
      <w:ind w:firstLine="420" w:firstLineChars="100"/>
    </w:pPr>
    <w:rPr>
      <w:rFonts w:eastAsia="仿宋_GB2312"/>
      <w:szCs w:val="20"/>
    </w:rPr>
  </w:style>
  <w:style w:type="character" w:styleId="19">
    <w:name w:val="page number"/>
    <w:basedOn w:val="18"/>
    <w:qFormat/>
    <w:uiPriority w:val="99"/>
    <w:rPr>
      <w:rFonts w:cs="Times New Roman"/>
    </w:rPr>
  </w:style>
  <w:style w:type="character" w:styleId="20">
    <w:name w:val="Hyperlink"/>
    <w:basedOn w:val="18"/>
    <w:qFormat/>
    <w:uiPriority w:val="99"/>
    <w:rPr>
      <w:rFonts w:cs="Times New Roman"/>
      <w:color w:val="0000FF"/>
      <w:u w:val="single"/>
    </w:rPr>
  </w:style>
  <w:style w:type="character" w:customStyle="1" w:styleId="21">
    <w:name w:val="Heading 1 Char"/>
    <w:basedOn w:val="18"/>
    <w:link w:val="2"/>
    <w:qFormat/>
    <w:locked/>
    <w:uiPriority w:val="99"/>
    <w:rPr>
      <w:rFonts w:ascii="宋体" w:eastAsia="宋体" w:cs="宋体"/>
      <w:b/>
      <w:bCs/>
      <w:kern w:val="44"/>
      <w:sz w:val="44"/>
      <w:szCs w:val="44"/>
      <w:lang w:val="pl-PL" w:eastAsia="pl-PL"/>
    </w:rPr>
  </w:style>
  <w:style w:type="character" w:customStyle="1" w:styleId="22">
    <w:name w:val="Heading 2 Char"/>
    <w:basedOn w:val="18"/>
    <w:link w:val="3"/>
    <w:semiHidden/>
    <w:qFormat/>
    <w:locked/>
    <w:uiPriority w:val="99"/>
    <w:rPr>
      <w:rFonts w:ascii="Cambria" w:hAnsi="Cambria" w:eastAsia="宋体" w:cs="Times New Roman"/>
      <w:b/>
      <w:bCs/>
      <w:kern w:val="0"/>
      <w:sz w:val="32"/>
      <w:szCs w:val="32"/>
      <w:lang w:val="pl-PL" w:eastAsia="pl-PL"/>
    </w:rPr>
  </w:style>
  <w:style w:type="character" w:customStyle="1" w:styleId="23">
    <w:name w:val="Heading 3 Char"/>
    <w:basedOn w:val="18"/>
    <w:link w:val="4"/>
    <w:semiHidden/>
    <w:qFormat/>
    <w:locked/>
    <w:uiPriority w:val="99"/>
    <w:rPr>
      <w:rFonts w:ascii="宋体" w:eastAsia="宋体" w:cs="宋体"/>
      <w:b/>
      <w:bCs/>
      <w:kern w:val="0"/>
      <w:sz w:val="32"/>
      <w:szCs w:val="32"/>
      <w:lang w:val="pl-PL" w:eastAsia="pl-PL"/>
    </w:rPr>
  </w:style>
  <w:style w:type="character" w:customStyle="1" w:styleId="24">
    <w:name w:val="Heading 4 Char"/>
    <w:basedOn w:val="18"/>
    <w:link w:val="5"/>
    <w:semiHidden/>
    <w:qFormat/>
    <w:locked/>
    <w:uiPriority w:val="99"/>
    <w:rPr>
      <w:rFonts w:ascii="Cambria" w:hAnsi="Cambria" w:eastAsia="宋体" w:cs="Times New Roman"/>
      <w:b/>
      <w:bCs/>
      <w:kern w:val="0"/>
      <w:sz w:val="28"/>
      <w:szCs w:val="28"/>
      <w:lang w:val="pl-PL" w:eastAsia="pl-PL"/>
    </w:rPr>
  </w:style>
  <w:style w:type="character" w:customStyle="1" w:styleId="25">
    <w:name w:val="Heading 5 Char"/>
    <w:basedOn w:val="18"/>
    <w:link w:val="6"/>
    <w:semiHidden/>
    <w:qFormat/>
    <w:locked/>
    <w:uiPriority w:val="99"/>
    <w:rPr>
      <w:rFonts w:ascii="宋体" w:eastAsia="宋体" w:cs="宋体"/>
      <w:b/>
      <w:bCs/>
      <w:kern w:val="0"/>
      <w:sz w:val="28"/>
      <w:szCs w:val="28"/>
      <w:lang w:val="pl-PL" w:eastAsia="pl-PL"/>
    </w:rPr>
  </w:style>
  <w:style w:type="character" w:customStyle="1" w:styleId="26">
    <w:name w:val="Heading 7 Char"/>
    <w:basedOn w:val="18"/>
    <w:link w:val="7"/>
    <w:semiHidden/>
    <w:qFormat/>
    <w:locked/>
    <w:uiPriority w:val="99"/>
    <w:rPr>
      <w:rFonts w:ascii="宋体" w:eastAsia="宋体" w:cs="宋体"/>
      <w:b/>
      <w:bCs/>
      <w:kern w:val="0"/>
      <w:sz w:val="24"/>
      <w:szCs w:val="24"/>
      <w:lang w:val="pl-PL" w:eastAsia="pl-PL"/>
    </w:rPr>
  </w:style>
  <w:style w:type="character" w:customStyle="1" w:styleId="27">
    <w:name w:val="Body Text Char"/>
    <w:basedOn w:val="18"/>
    <w:link w:val="8"/>
    <w:semiHidden/>
    <w:qFormat/>
    <w:locked/>
    <w:uiPriority w:val="99"/>
    <w:rPr>
      <w:rFonts w:ascii="宋体" w:eastAsia="宋体" w:cs="宋体"/>
      <w:kern w:val="0"/>
      <w:sz w:val="22"/>
      <w:lang w:val="pl-PL" w:eastAsia="pl-PL"/>
    </w:rPr>
  </w:style>
  <w:style w:type="character" w:customStyle="1" w:styleId="28">
    <w:name w:val="Plain Text Char"/>
    <w:basedOn w:val="18"/>
    <w:link w:val="9"/>
    <w:semiHidden/>
    <w:qFormat/>
    <w:locked/>
    <w:uiPriority w:val="99"/>
    <w:rPr>
      <w:rFonts w:ascii="宋体" w:hAnsi="Courier New" w:cs="Courier New"/>
      <w:kern w:val="0"/>
      <w:sz w:val="21"/>
      <w:szCs w:val="21"/>
      <w:lang w:val="pl-PL" w:eastAsia="pl-PL"/>
    </w:rPr>
  </w:style>
  <w:style w:type="character" w:customStyle="1" w:styleId="29">
    <w:name w:val="Date Char"/>
    <w:basedOn w:val="18"/>
    <w:link w:val="10"/>
    <w:semiHidden/>
    <w:qFormat/>
    <w:locked/>
    <w:uiPriority w:val="99"/>
    <w:rPr>
      <w:rFonts w:ascii="宋体" w:eastAsia="宋体" w:cs="宋体"/>
      <w:kern w:val="0"/>
      <w:sz w:val="22"/>
      <w:lang w:val="pl-PL" w:eastAsia="pl-PL"/>
    </w:rPr>
  </w:style>
  <w:style w:type="character" w:customStyle="1" w:styleId="30">
    <w:name w:val="Footer Char"/>
    <w:basedOn w:val="18"/>
    <w:link w:val="11"/>
    <w:semiHidden/>
    <w:qFormat/>
    <w:locked/>
    <w:uiPriority w:val="99"/>
    <w:rPr>
      <w:rFonts w:ascii="宋体" w:eastAsia="宋体" w:cs="宋体"/>
      <w:kern w:val="0"/>
      <w:sz w:val="18"/>
      <w:szCs w:val="18"/>
      <w:lang w:val="pl-PL" w:eastAsia="pl-PL"/>
    </w:rPr>
  </w:style>
  <w:style w:type="character" w:customStyle="1" w:styleId="31">
    <w:name w:val="Header Char"/>
    <w:basedOn w:val="18"/>
    <w:link w:val="12"/>
    <w:semiHidden/>
    <w:qFormat/>
    <w:locked/>
    <w:uiPriority w:val="99"/>
    <w:rPr>
      <w:rFonts w:ascii="宋体" w:eastAsia="宋体" w:cs="宋体"/>
      <w:kern w:val="0"/>
      <w:sz w:val="18"/>
      <w:szCs w:val="18"/>
      <w:lang w:val="pl-PL" w:eastAsia="pl-PL"/>
    </w:rPr>
  </w:style>
  <w:style w:type="character" w:customStyle="1" w:styleId="32">
    <w:name w:val="Body Text First Indent Char"/>
    <w:basedOn w:val="27"/>
    <w:link w:val="16"/>
    <w:semiHidden/>
    <w:qFormat/>
    <w:locked/>
    <w:uiPriority w:val="99"/>
  </w:style>
  <w:style w:type="paragraph" w:styleId="33">
    <w:name w:val="List Paragraph"/>
    <w:basedOn w:val="1"/>
    <w:qFormat/>
    <w:uiPriority w:val="99"/>
    <w:pPr>
      <w:ind w:left="1199" w:hanging="361"/>
    </w:pPr>
  </w:style>
  <w:style w:type="paragraph" w:customStyle="1" w:styleId="34">
    <w:name w:val="Table Paragraph"/>
    <w:basedOn w:val="1"/>
    <w:qFormat/>
    <w:uiPriority w:val="99"/>
  </w:style>
  <w:style w:type="paragraph" w:customStyle="1" w:styleId="35">
    <w:name w:val="yy标题3"/>
    <w:basedOn w:val="1"/>
    <w:next w:val="1"/>
    <w:qFormat/>
    <w:uiPriority w:val="99"/>
    <w:pPr>
      <w:numPr>
        <w:ilvl w:val="0"/>
        <w:numId w:val="4"/>
      </w:numPr>
    </w:pPr>
    <w:rPr>
      <w:b/>
    </w:rPr>
  </w:style>
  <w:style w:type="paragraph" w:customStyle="1" w:styleId="36">
    <w:name w:val="yy标题4"/>
    <w:basedOn w:val="1"/>
    <w:next w:val="1"/>
    <w:qFormat/>
    <w:uiPriority w:val="99"/>
    <w:pPr>
      <w:numPr>
        <w:ilvl w:val="1"/>
        <w:numId w:val="4"/>
      </w:numPr>
    </w:pPr>
  </w:style>
  <w:style w:type="paragraph" w:customStyle="1" w:styleId="37">
    <w:name w:val="yy标题5"/>
    <w:basedOn w:val="1"/>
    <w:next w:val="1"/>
    <w:qFormat/>
    <w:uiPriority w:val="99"/>
    <w:pPr>
      <w:numPr>
        <w:ilvl w:val="2"/>
        <w:numId w:val="4"/>
      </w:numPr>
    </w:pPr>
  </w:style>
  <w:style w:type="paragraph" w:customStyle="1" w:styleId="38">
    <w:name w:val="正文 A"/>
    <w:qFormat/>
    <w:uiPriority w:val="99"/>
    <w:pPr>
      <w:widowControl w:val="0"/>
      <w:jc w:val="both"/>
    </w:pPr>
    <w:rPr>
      <w:rFonts w:ascii="Times New Roman" w:hAnsi="Times New Roman" w:eastAsia="宋体" w:cs="Arial Unicode MS"/>
      <w:color w:val="000000"/>
      <w:kern w:val="2"/>
      <w:sz w:val="21"/>
      <w:szCs w:val="21"/>
      <w:u w:color="000000"/>
      <w:lang w:val="en-US" w:eastAsia="zh-CN" w:bidi="ar-SA"/>
    </w:rPr>
  </w:style>
  <w:style w:type="character" w:customStyle="1" w:styleId="39">
    <w:name w:val="页码1"/>
    <w:qFormat/>
    <w:uiPriority w:val="99"/>
  </w:style>
  <w:style w:type="paragraph" w:customStyle="1" w:styleId="40">
    <w:name w:val="纯文本1"/>
    <w:basedOn w:val="1"/>
    <w:qFormat/>
    <w:uiPriority w:val="99"/>
    <w:rPr>
      <w:rFonts w:hAnsi="Courier New"/>
      <w:szCs w:val="21"/>
    </w:rPr>
  </w:style>
  <w:style w:type="paragraph" w:customStyle="1" w:styleId="41">
    <w:name w:val="样式 标题 1 + 四号 居中 段前: 12 磅 段后: 12 磅 行距: 单倍行距"/>
    <w:basedOn w:val="2"/>
    <w:qFormat/>
    <w:uiPriority w:val="99"/>
    <w:pPr>
      <w:spacing w:before="240" w:after="240" w:line="240" w:lineRule="auto"/>
    </w:pPr>
    <w:rPr>
      <w:szCs w:val="20"/>
    </w:rPr>
  </w:style>
  <w:style w:type="paragraph" w:customStyle="1" w:styleId="42">
    <w:name w:val="样式 样式 样式 标题 2 + 宋体 五号 非加粗 黑色 + 段前: 6 磅 段后: 0 磅 行距: 单倍行距 + 段前: 12..."/>
    <w:basedOn w:val="43"/>
    <w:qFormat/>
    <w:uiPriority w:val="99"/>
    <w:pPr>
      <w:spacing w:before="240"/>
    </w:pPr>
  </w:style>
  <w:style w:type="paragraph" w:customStyle="1" w:styleId="43">
    <w:name w:val="样式 样式 标题 2 + 宋体 五号 非加粗 黑色 + 段前: 6 磅 段后: 0 磅 行距: 单倍行距"/>
    <w:basedOn w:val="44"/>
    <w:qFormat/>
    <w:uiPriority w:val="99"/>
    <w:pPr>
      <w:spacing w:before="120" w:after="0" w:line="240" w:lineRule="auto"/>
    </w:pPr>
    <w:rPr>
      <w:szCs w:val="20"/>
    </w:rPr>
  </w:style>
  <w:style w:type="paragraph" w:customStyle="1" w:styleId="44">
    <w:name w:val="样式 标题 2 + 宋体 五号 非加粗 黑色"/>
    <w:basedOn w:val="3"/>
    <w:qFormat/>
    <w:uiPriority w:val="99"/>
    <w:rPr>
      <w:rFonts w:ascii="宋体" w:hAnsi="宋体"/>
      <w:b w:val="0"/>
      <w:bCs w:val="0"/>
      <w:color w:val="000000"/>
      <w:sz w:val="21"/>
    </w:rPr>
  </w:style>
  <w:style w:type="paragraph" w:customStyle="1" w:styleId="45">
    <w:name w:val="样式 标题 4 + 段前: 5 磅 段后: 5 磅 行距: 单倍行距"/>
    <w:basedOn w:val="5"/>
    <w:qFormat/>
    <w:uiPriority w:val="99"/>
    <w:pPr>
      <w:numPr>
        <w:numId w:val="5"/>
      </w:numPr>
      <w:tabs>
        <w:tab w:val="left" w:pos="425"/>
        <w:tab w:val="left" w:pos="1680"/>
        <w:tab w:val="left" w:pos="2356"/>
      </w:tabs>
      <w:spacing w:before="100" w:after="100" w:line="240" w:lineRule="auto"/>
      <w:ind w:left="1680" w:hanging="420"/>
    </w:pPr>
    <w:rPr>
      <w:szCs w:val="20"/>
    </w:rPr>
  </w:style>
  <w:style w:type="paragraph" w:customStyle="1" w:styleId="46">
    <w:name w:val="样式 标题 3h3H3sect1.2.3 + 五号 段前: 6 磅 段后: 6 磅 行距: 单倍行距"/>
    <w:basedOn w:val="4"/>
    <w:qFormat/>
    <w:uiPriority w:val="99"/>
    <w:pPr>
      <w:spacing w:before="120" w:after="120" w:line="240" w:lineRule="auto"/>
    </w:pPr>
    <w:rPr>
      <w:sz w:val="21"/>
      <w:szCs w:val="20"/>
    </w:rPr>
  </w:style>
  <w:style w:type="paragraph" w:customStyle="1" w:styleId="47">
    <w:name w:val="样式 样式 样式 样式 标题 2 + 宋体 五号 非加粗 黑色 + 段前: 6 磅 段后: 0 磅 行距: 单倍行距 + 段前:..."/>
    <w:basedOn w:val="42"/>
    <w:qFormat/>
    <w:uiPriority w:val="99"/>
    <w:rPr>
      <w:b/>
      <w:bCs/>
    </w:rPr>
  </w:style>
  <w:style w:type="paragraph" w:customStyle="1" w:styleId="48">
    <w:name w:val="样式1"/>
    <w:basedOn w:val="1"/>
    <w:qFormat/>
    <w:uiPriority w:val="99"/>
    <w:pPr>
      <w:numPr>
        <w:ilvl w:val="0"/>
        <w:numId w:val="6"/>
      </w:numPr>
      <w:adjustRightInd w:val="0"/>
    </w:pPr>
    <w:rPr>
      <w:szCs w:val="21"/>
    </w:rPr>
  </w:style>
  <w:style w:type="paragraph" w:customStyle="1" w:styleId="49">
    <w:name w:val="样式 标题 2 + Times New Roman 四号 非加粗 段前: 5 磅 段后: 0 磅 行距: 固定值 20..."/>
    <w:basedOn w:val="3"/>
    <w:qFormat/>
    <w:uiPriority w:val="99"/>
    <w:pPr>
      <w:spacing w:before="100" w:after="0" w:line="400" w:lineRule="exact"/>
    </w:pPr>
    <w:rPr>
      <w:rFonts w:ascii="Times New Roman" w:hAnsi="Times New Roman"/>
      <w:b w:val="0"/>
      <w:bCs w:val="0"/>
      <w:sz w:val="28"/>
      <w:szCs w:val="20"/>
    </w:rPr>
  </w:style>
  <w:style w:type="paragraph" w:customStyle="1" w:styleId="50">
    <w:name w:val="样式 标题 2 + 宋体 五号 行距: 单倍行距"/>
    <w:basedOn w:val="3"/>
    <w:qFormat/>
    <w:uiPriority w:val="99"/>
    <w:pPr>
      <w:spacing w:line="240" w:lineRule="auto"/>
    </w:pPr>
    <w:rPr>
      <w:rFonts w:ascii="宋体" w:hAnsi="宋体"/>
      <w:sz w:val="21"/>
      <w:szCs w:val="20"/>
    </w:rPr>
  </w:style>
  <w:style w:type="character" w:customStyle="1" w:styleId="51">
    <w:name w:val="Plain Text Char1"/>
    <w:qFormat/>
    <w:locked/>
    <w:uiPriority w:val="99"/>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90</Pages>
  <Words>9001</Words>
  <Lines>0</Lines>
  <Paragraphs>0</Paragraphs>
  <TotalTime>579</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2020-07-07T01:41:00Z</dcterms:created>
  <dc:creator>Greedy</dc:creator>
  <cp:lastModifiedBy>罗晶晶</cp:lastModifiedBy>
  <cp:lastPrinted>2021-05-27T08:17:00Z</cp:lastPrinted>
  <dcterms:modified xsi:type="dcterms:W3CDTF">2021-06-10T08:26:27Z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BED453E997494ABE819D1DDE303A54FB</vt:lpwstr>
  </property>
</Properties>
</file>