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E9" w:rsidRDefault="00450B7F">
      <w:pPr>
        <w:jc w:val="center"/>
        <w:rPr>
          <w:rFonts w:ascii="宋体" w:hAnsi="宋体"/>
          <w:b/>
          <w:sz w:val="30"/>
          <w:szCs w:val="30"/>
        </w:rPr>
      </w:pPr>
      <w:bookmarkStart w:id="0" w:name="_GoBack"/>
      <w:bookmarkEnd w:id="0"/>
      <w:r>
        <w:rPr>
          <w:rFonts w:ascii="宋体" w:hAnsi="宋体" w:hint="eastAsia"/>
          <w:b/>
          <w:sz w:val="30"/>
          <w:szCs w:val="30"/>
        </w:rPr>
        <w:t>全国象棋甲级联赛</w:t>
      </w:r>
    </w:p>
    <w:p w:rsidR="00866CE9" w:rsidRDefault="00450B7F">
      <w:pPr>
        <w:jc w:val="center"/>
        <w:rPr>
          <w:rFonts w:ascii="宋体" w:hAnsi="宋体"/>
          <w:b/>
          <w:sz w:val="30"/>
          <w:szCs w:val="30"/>
        </w:rPr>
      </w:pPr>
      <w:r>
        <w:rPr>
          <w:rFonts w:ascii="宋体" w:hAnsi="宋体" w:hint="eastAsia"/>
          <w:b/>
          <w:sz w:val="30"/>
          <w:szCs w:val="30"/>
        </w:rPr>
        <w:t>参赛单位及参赛棋手注册交流办法（试行）</w:t>
      </w:r>
    </w:p>
    <w:p w:rsidR="00866CE9" w:rsidRDefault="00866CE9">
      <w:pPr>
        <w:jc w:val="center"/>
        <w:rPr>
          <w:rFonts w:ascii="宋体" w:hAnsi="宋体"/>
          <w:b/>
          <w:szCs w:val="21"/>
        </w:rPr>
      </w:pPr>
    </w:p>
    <w:p w:rsidR="00866CE9" w:rsidRDefault="00450B7F">
      <w:pPr>
        <w:numPr>
          <w:ilvl w:val="0"/>
          <w:numId w:val="1"/>
        </w:numPr>
        <w:rPr>
          <w:rFonts w:ascii="宋体" w:hAnsi="宋体"/>
          <w:b/>
          <w:szCs w:val="21"/>
        </w:rPr>
      </w:pPr>
      <w:r>
        <w:rPr>
          <w:rFonts w:ascii="宋体" w:hAnsi="宋体" w:hint="eastAsia"/>
          <w:b/>
          <w:szCs w:val="21"/>
        </w:rPr>
        <w:t>总则</w:t>
      </w:r>
    </w:p>
    <w:p w:rsidR="00866CE9" w:rsidRDefault="00450B7F">
      <w:pPr>
        <w:numPr>
          <w:ilvl w:val="1"/>
          <w:numId w:val="1"/>
        </w:numPr>
        <w:ind w:left="851" w:hanging="851"/>
        <w:rPr>
          <w:rFonts w:ascii="宋体" w:hAnsi="宋体"/>
          <w:szCs w:val="21"/>
        </w:rPr>
      </w:pPr>
      <w:r>
        <w:rPr>
          <w:rFonts w:ascii="宋体" w:hAnsi="宋体" w:hint="eastAsia"/>
          <w:szCs w:val="21"/>
        </w:rPr>
        <w:t>为适应社会和体育事业的改革与发展，促进全国象棋甲级联赛有序进行，推动我国象棋运动发展，特制订本办法。</w:t>
      </w:r>
    </w:p>
    <w:p w:rsidR="00866CE9" w:rsidRDefault="00450B7F">
      <w:pPr>
        <w:numPr>
          <w:ilvl w:val="1"/>
          <w:numId w:val="1"/>
        </w:numPr>
        <w:ind w:left="851" w:hanging="851"/>
        <w:rPr>
          <w:rFonts w:ascii="宋体" w:hAnsi="宋体"/>
          <w:szCs w:val="21"/>
        </w:rPr>
      </w:pPr>
      <w:r>
        <w:rPr>
          <w:rFonts w:ascii="宋体" w:hAnsi="宋体" w:hint="eastAsia"/>
          <w:szCs w:val="21"/>
        </w:rPr>
        <w:t>本办法仅适用于参加由中国象棋协会举办全国象棋甲级联赛的注册单位和注册棋手。</w:t>
      </w:r>
    </w:p>
    <w:p w:rsidR="00866CE9" w:rsidRDefault="00450B7F">
      <w:pPr>
        <w:numPr>
          <w:ilvl w:val="1"/>
          <w:numId w:val="1"/>
        </w:numPr>
        <w:ind w:left="851" w:hanging="851"/>
        <w:rPr>
          <w:rFonts w:ascii="宋体" w:hAnsi="宋体"/>
          <w:szCs w:val="21"/>
        </w:rPr>
      </w:pPr>
      <w:r>
        <w:rPr>
          <w:rFonts w:ascii="宋体" w:hAnsi="宋体" w:hint="eastAsia"/>
          <w:szCs w:val="21"/>
        </w:rPr>
        <w:t>棋手所代表单位的资格仅限于本赛事。该资格与当年度在国家体育总局棋牌运动管理中心进行注册的所属单位组队参加各类国家级、国际级赛事代表资格无关。</w:t>
      </w:r>
    </w:p>
    <w:p w:rsidR="00866CE9" w:rsidRDefault="00450B7F">
      <w:pPr>
        <w:numPr>
          <w:ilvl w:val="1"/>
          <w:numId w:val="1"/>
        </w:numPr>
        <w:rPr>
          <w:rFonts w:ascii="宋体" w:hAnsi="宋体"/>
          <w:szCs w:val="21"/>
        </w:rPr>
      </w:pPr>
      <w:r>
        <w:rPr>
          <w:rFonts w:ascii="宋体" w:hAnsi="宋体" w:hint="eastAsia"/>
          <w:szCs w:val="21"/>
        </w:rPr>
        <w:t>接受协会停赛处罚的棋手在处罚期内不得进行注册和交流。</w:t>
      </w:r>
    </w:p>
    <w:p w:rsidR="00866CE9" w:rsidRDefault="00450B7F">
      <w:pPr>
        <w:numPr>
          <w:ilvl w:val="1"/>
          <w:numId w:val="1"/>
        </w:numPr>
        <w:ind w:left="851" w:hanging="851"/>
        <w:rPr>
          <w:rFonts w:ascii="宋体" w:hAnsi="宋体"/>
          <w:szCs w:val="21"/>
        </w:rPr>
      </w:pPr>
      <w:r>
        <w:rPr>
          <w:rFonts w:ascii="宋体" w:hAnsi="宋体" w:hint="eastAsia"/>
          <w:szCs w:val="21"/>
        </w:rPr>
        <w:t>注册与交流应遵循平等、互利，自愿、公开、合法，有利于象棋运动健康发展的原则。</w:t>
      </w:r>
    </w:p>
    <w:p w:rsidR="00866CE9" w:rsidRDefault="00450B7F">
      <w:pPr>
        <w:rPr>
          <w:rFonts w:ascii="宋体" w:hAnsi="宋体"/>
          <w:b/>
          <w:szCs w:val="21"/>
        </w:rPr>
      </w:pPr>
      <w:r>
        <w:rPr>
          <w:rFonts w:ascii="宋体" w:hAnsi="宋体" w:hint="eastAsia"/>
          <w:b/>
          <w:szCs w:val="21"/>
        </w:rPr>
        <w:t>第二章</w:t>
      </w:r>
      <w:r>
        <w:rPr>
          <w:rFonts w:ascii="宋体" w:hAnsi="宋体" w:hint="eastAsia"/>
          <w:b/>
          <w:szCs w:val="21"/>
        </w:rPr>
        <w:t xml:space="preserve"> </w:t>
      </w:r>
      <w:r>
        <w:rPr>
          <w:rFonts w:ascii="宋体" w:hAnsi="宋体" w:hint="eastAsia"/>
          <w:b/>
          <w:szCs w:val="21"/>
        </w:rPr>
        <w:t>注册</w:t>
      </w:r>
    </w:p>
    <w:p w:rsidR="00866CE9" w:rsidRDefault="00450B7F">
      <w:pPr>
        <w:numPr>
          <w:ilvl w:val="1"/>
          <w:numId w:val="1"/>
        </w:numPr>
        <w:ind w:left="851" w:hanging="851"/>
        <w:rPr>
          <w:rFonts w:ascii="宋体" w:hAnsi="宋体"/>
          <w:szCs w:val="21"/>
        </w:rPr>
      </w:pPr>
      <w:r>
        <w:rPr>
          <w:rFonts w:ascii="宋体" w:hAnsi="宋体" w:hint="eastAsia"/>
          <w:szCs w:val="21"/>
        </w:rPr>
        <w:t>注册单位及注册棋手需自觉遵守国家体育总局、总局棋牌运动管理中心和中国象棋协会相关管理办法。</w:t>
      </w:r>
    </w:p>
    <w:p w:rsidR="00866CE9" w:rsidRDefault="00450B7F">
      <w:pPr>
        <w:numPr>
          <w:ilvl w:val="1"/>
          <w:numId w:val="1"/>
        </w:numPr>
        <w:rPr>
          <w:rFonts w:ascii="宋体" w:hAnsi="宋体"/>
          <w:szCs w:val="21"/>
        </w:rPr>
      </w:pPr>
      <w:r>
        <w:rPr>
          <w:rFonts w:ascii="宋体" w:hAnsi="宋体" w:hint="eastAsia"/>
          <w:szCs w:val="21"/>
        </w:rPr>
        <w:t>单位注册：</w:t>
      </w:r>
    </w:p>
    <w:p w:rsidR="00866CE9" w:rsidRDefault="00450B7F">
      <w:pPr>
        <w:ind w:firstLineChars="200" w:firstLine="420"/>
        <w:rPr>
          <w:rFonts w:ascii="宋体" w:hAnsi="宋体"/>
          <w:color w:val="000000"/>
          <w:szCs w:val="21"/>
        </w:rPr>
      </w:pPr>
      <w:r>
        <w:rPr>
          <w:rFonts w:ascii="宋体" w:hAnsi="宋体" w:hint="eastAsia"/>
          <w:szCs w:val="21"/>
        </w:rPr>
        <w:t>（一）</w:t>
      </w:r>
      <w:r>
        <w:rPr>
          <w:rFonts w:ascii="宋体" w:hAnsi="宋体" w:hint="eastAsia"/>
          <w:color w:val="000000"/>
          <w:szCs w:val="21"/>
        </w:rPr>
        <w:t>注册单位需为法人单位（法人单位包括企业法人、事业单位法人、机关法人、社会团体法人和其他法人）。每个法人单位只能注册一个单位参加联赛。</w:t>
      </w:r>
    </w:p>
    <w:p w:rsidR="00866CE9" w:rsidRDefault="00450B7F">
      <w:pPr>
        <w:ind w:firstLineChars="200" w:firstLine="420"/>
        <w:rPr>
          <w:rFonts w:ascii="宋体" w:hAnsi="宋体"/>
          <w:color w:val="000000"/>
          <w:szCs w:val="21"/>
        </w:rPr>
      </w:pPr>
      <w:r>
        <w:rPr>
          <w:rFonts w:ascii="宋体" w:hAnsi="宋体" w:hint="eastAsia"/>
          <w:color w:val="000000"/>
          <w:szCs w:val="21"/>
        </w:rPr>
        <w:t>（二）注册单位应具有有一定的经济实力，能保证按协会要求参加当年度全部比赛。</w:t>
      </w:r>
    </w:p>
    <w:p w:rsidR="00866CE9" w:rsidRDefault="00450B7F">
      <w:pPr>
        <w:ind w:firstLineChars="200" w:firstLine="420"/>
        <w:rPr>
          <w:rFonts w:ascii="宋体" w:hAnsi="宋体"/>
          <w:color w:val="000000"/>
          <w:szCs w:val="21"/>
        </w:rPr>
      </w:pPr>
      <w:r>
        <w:rPr>
          <w:rFonts w:ascii="宋体" w:hAnsi="宋体" w:hint="eastAsia"/>
          <w:color w:val="000000"/>
          <w:szCs w:val="21"/>
        </w:rPr>
        <w:t>（三）按时履行注册手续：</w:t>
      </w:r>
    </w:p>
    <w:p w:rsidR="00866CE9" w:rsidRDefault="00450B7F">
      <w:pPr>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）本赛事年度注册截止时间</w:t>
      </w:r>
      <w:r>
        <w:rPr>
          <w:rFonts w:ascii="宋体" w:hAnsi="宋体" w:hint="eastAsia"/>
          <w:color w:val="000000"/>
          <w:szCs w:val="21"/>
        </w:rPr>
        <w:t>根据当年筹备情况另行通知。</w:t>
      </w:r>
    </w:p>
    <w:p w:rsidR="00866CE9" w:rsidRDefault="00450B7F">
      <w:pPr>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）注册单位请将</w:t>
      </w:r>
      <w:r>
        <w:rPr>
          <w:rFonts w:ascii="宋体" w:hAnsi="宋体" w:hint="eastAsia"/>
          <w:color w:val="000000"/>
          <w:szCs w:val="21"/>
        </w:rPr>
        <w:t>注册单位组织机构代码证复印件，加盖注册单位章和省级（计划单列市、行业体协等）体育主管部门或协会章，扫描件发送至：</w:t>
      </w:r>
      <w:r>
        <w:rPr>
          <w:rFonts w:ascii="宋体" w:hAnsi="宋体" w:hint="eastAsia"/>
          <w:color w:val="000000"/>
          <w:szCs w:val="21"/>
        </w:rPr>
        <w:t>zgxqxh@163.com</w:t>
      </w:r>
      <w:r>
        <w:rPr>
          <w:rFonts w:ascii="宋体" w:hAnsi="宋体" w:hint="eastAsia"/>
          <w:color w:val="000000"/>
          <w:szCs w:val="21"/>
        </w:rPr>
        <w:t>。</w:t>
      </w:r>
    </w:p>
    <w:p w:rsidR="00866CE9" w:rsidRDefault="00450B7F">
      <w:pPr>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）纸质文件寄送至：北京市东城区天坛东路</w:t>
      </w:r>
      <w:r>
        <w:rPr>
          <w:rFonts w:ascii="宋体" w:hAnsi="宋体" w:hint="eastAsia"/>
          <w:color w:val="000000"/>
          <w:szCs w:val="21"/>
        </w:rPr>
        <w:t>80</w:t>
      </w:r>
      <w:r>
        <w:rPr>
          <w:rFonts w:ascii="宋体" w:hAnsi="宋体" w:hint="eastAsia"/>
          <w:color w:val="000000"/>
          <w:szCs w:val="21"/>
        </w:rPr>
        <w:t>号象棋部，邮政编码</w:t>
      </w:r>
      <w:r>
        <w:rPr>
          <w:rFonts w:ascii="宋体" w:hAnsi="宋体" w:hint="eastAsia"/>
          <w:color w:val="000000"/>
          <w:szCs w:val="21"/>
        </w:rPr>
        <w:t>100061</w:t>
      </w:r>
      <w:r>
        <w:rPr>
          <w:rFonts w:ascii="宋体" w:hAnsi="宋体" w:hint="eastAsia"/>
          <w:color w:val="000000"/>
          <w:szCs w:val="21"/>
        </w:rPr>
        <w:t>。联系人：陈环宇；联系电话：</w:t>
      </w:r>
      <w:r>
        <w:rPr>
          <w:rFonts w:ascii="宋体" w:hAnsi="宋体" w:hint="eastAsia"/>
          <w:color w:val="000000"/>
          <w:szCs w:val="21"/>
        </w:rPr>
        <w:t>010-87559137</w:t>
      </w:r>
      <w:r>
        <w:rPr>
          <w:rFonts w:ascii="宋体" w:hAnsi="宋体" w:hint="eastAsia"/>
          <w:color w:val="000000"/>
          <w:szCs w:val="21"/>
        </w:rPr>
        <w:t>。</w:t>
      </w:r>
    </w:p>
    <w:p w:rsidR="00866CE9" w:rsidRDefault="00450B7F">
      <w:pPr>
        <w:ind w:firstLineChars="200" w:firstLine="420"/>
        <w:rPr>
          <w:rFonts w:ascii="宋体" w:hAnsi="宋体"/>
          <w:color w:val="000000"/>
          <w:szCs w:val="21"/>
        </w:rPr>
      </w:pPr>
      <w:r>
        <w:rPr>
          <w:rFonts w:ascii="宋体" w:hAnsi="宋体" w:hint="eastAsia"/>
          <w:color w:val="000000"/>
          <w:szCs w:val="21"/>
        </w:rPr>
        <w:t>（四）获得联赛正赛参赛资格的队伍需在</w:t>
      </w:r>
      <w:r>
        <w:rPr>
          <w:rFonts w:ascii="宋体" w:hAnsi="宋体" w:hint="eastAsia"/>
          <w:color w:val="000000"/>
          <w:szCs w:val="21"/>
        </w:rPr>
        <w:t>正赛开赛</w:t>
      </w:r>
      <w:r>
        <w:rPr>
          <w:rFonts w:ascii="宋体" w:hAnsi="宋体" w:hint="eastAsia"/>
          <w:color w:val="000000"/>
          <w:szCs w:val="21"/>
        </w:rPr>
        <w:t>前</w:t>
      </w:r>
      <w:r>
        <w:rPr>
          <w:rFonts w:ascii="宋体" w:hAnsi="宋体" w:hint="eastAsia"/>
          <w:color w:val="000000"/>
          <w:szCs w:val="21"/>
        </w:rPr>
        <w:t>15</w:t>
      </w:r>
      <w:r>
        <w:rPr>
          <w:rFonts w:ascii="宋体" w:hAnsi="宋体" w:hint="eastAsia"/>
          <w:color w:val="000000"/>
          <w:szCs w:val="21"/>
        </w:rPr>
        <w:t>日内</w:t>
      </w:r>
      <w:r>
        <w:rPr>
          <w:rFonts w:ascii="宋体" w:hAnsi="宋体" w:hint="eastAsia"/>
          <w:color w:val="000000"/>
          <w:szCs w:val="21"/>
        </w:rPr>
        <w:t>缴纳赛事保证金</w:t>
      </w:r>
      <w:r>
        <w:rPr>
          <w:rFonts w:ascii="宋体" w:hAnsi="宋体" w:hint="eastAsia"/>
          <w:color w:val="000000"/>
          <w:szCs w:val="21"/>
        </w:rPr>
        <w:t>（男子</w:t>
      </w:r>
      <w:r>
        <w:rPr>
          <w:rFonts w:ascii="宋体" w:hAnsi="宋体" w:hint="eastAsia"/>
          <w:color w:val="000000"/>
          <w:szCs w:val="21"/>
        </w:rPr>
        <w:t>2</w:t>
      </w:r>
      <w:r>
        <w:rPr>
          <w:rFonts w:ascii="宋体" w:hAnsi="宋体" w:hint="eastAsia"/>
          <w:color w:val="000000"/>
          <w:szCs w:val="21"/>
        </w:rPr>
        <w:t>万元，女子</w:t>
      </w:r>
      <w:r>
        <w:rPr>
          <w:rFonts w:ascii="宋体" w:hAnsi="宋体" w:hint="eastAsia"/>
          <w:color w:val="000000"/>
          <w:szCs w:val="21"/>
        </w:rPr>
        <w:t>1</w:t>
      </w:r>
      <w:r>
        <w:rPr>
          <w:rFonts w:ascii="宋体" w:hAnsi="宋体" w:hint="eastAsia"/>
          <w:color w:val="000000"/>
          <w:szCs w:val="21"/>
        </w:rPr>
        <w:t>万元）</w:t>
      </w:r>
      <w:r>
        <w:rPr>
          <w:rFonts w:ascii="宋体" w:hAnsi="宋体" w:hint="eastAsia"/>
          <w:color w:val="000000"/>
          <w:szCs w:val="21"/>
        </w:rPr>
        <w:t>，在注册单位按照规定完成本赛季所有赛事活动后返还。报名后无故不参赛或中途退赛单位，保证金不予退还，且在三年内不予注册。</w:t>
      </w:r>
    </w:p>
    <w:p w:rsidR="00866CE9" w:rsidRDefault="00450B7F">
      <w:pPr>
        <w:ind w:firstLineChars="200" w:firstLine="420"/>
        <w:rPr>
          <w:rFonts w:ascii="宋体" w:hAnsi="宋体"/>
          <w:color w:val="000000"/>
          <w:szCs w:val="21"/>
        </w:rPr>
      </w:pPr>
      <w:r>
        <w:rPr>
          <w:rFonts w:ascii="宋体" w:hAnsi="宋体" w:hint="eastAsia"/>
          <w:color w:val="000000"/>
          <w:szCs w:val="21"/>
        </w:rPr>
        <w:t>（五）注册单位可注册棋</w:t>
      </w:r>
      <w:r>
        <w:rPr>
          <w:rFonts w:ascii="宋体" w:hAnsi="宋体" w:hint="eastAsia"/>
          <w:color w:val="000000"/>
          <w:szCs w:val="21"/>
        </w:rPr>
        <w:t>手</w:t>
      </w:r>
      <w:r>
        <w:rPr>
          <w:rFonts w:ascii="宋体" w:hAnsi="宋体" w:hint="eastAsia"/>
          <w:color w:val="000000"/>
          <w:szCs w:val="21"/>
        </w:rPr>
        <w:t>4-6</w:t>
      </w:r>
      <w:r>
        <w:rPr>
          <w:rFonts w:ascii="宋体" w:hAnsi="宋体" w:hint="eastAsia"/>
          <w:color w:val="000000"/>
          <w:szCs w:val="21"/>
        </w:rPr>
        <w:t>人（</w:t>
      </w:r>
      <w:r>
        <w:rPr>
          <w:rFonts w:ascii="宋体" w:hAnsi="宋体" w:hint="eastAsia"/>
          <w:color w:val="FF0000"/>
          <w:szCs w:val="21"/>
        </w:rPr>
        <w:t>含</w:t>
      </w:r>
      <w:r>
        <w:rPr>
          <w:rFonts w:ascii="宋体" w:hAnsi="宋体"/>
          <w:color w:val="FF0000"/>
          <w:szCs w:val="21"/>
        </w:rPr>
        <w:t>外援</w:t>
      </w:r>
      <w:r>
        <w:rPr>
          <w:rFonts w:ascii="宋体" w:hAnsi="宋体" w:hint="eastAsia"/>
          <w:color w:val="FF0000"/>
          <w:szCs w:val="21"/>
        </w:rPr>
        <w:t>棋手</w:t>
      </w:r>
      <w:r>
        <w:rPr>
          <w:rFonts w:ascii="宋体" w:hAnsi="宋体" w:hint="eastAsia"/>
          <w:color w:val="000000"/>
          <w:szCs w:val="21"/>
        </w:rPr>
        <w:t>）。原则上等级分（以注册时公布的最新等级分为准）前</w:t>
      </w:r>
      <w:r>
        <w:rPr>
          <w:rFonts w:ascii="宋体" w:hAnsi="宋体" w:hint="eastAsia"/>
          <w:color w:val="000000"/>
          <w:szCs w:val="21"/>
        </w:rPr>
        <w:t>10</w:t>
      </w:r>
      <w:r>
        <w:rPr>
          <w:rFonts w:ascii="宋体" w:hAnsi="宋体" w:hint="eastAsia"/>
          <w:color w:val="000000"/>
          <w:szCs w:val="21"/>
        </w:rPr>
        <w:t>的棋手与</w:t>
      </w:r>
      <w:r>
        <w:rPr>
          <w:rFonts w:ascii="宋体" w:hAnsi="宋体"/>
          <w:color w:val="FF0000"/>
          <w:szCs w:val="21"/>
        </w:rPr>
        <w:t>外援</w:t>
      </w:r>
      <w:r>
        <w:rPr>
          <w:rFonts w:ascii="宋体" w:hAnsi="宋体" w:hint="eastAsia"/>
          <w:color w:val="FF0000"/>
          <w:szCs w:val="21"/>
        </w:rPr>
        <w:t>棋手</w:t>
      </w:r>
      <w:r>
        <w:rPr>
          <w:rFonts w:ascii="宋体" w:hAnsi="宋体" w:hint="eastAsia"/>
          <w:color w:val="000000"/>
          <w:szCs w:val="21"/>
        </w:rPr>
        <w:t>之和不得多于两人。在本单位上赛季注册棋手等级分前</w:t>
      </w:r>
      <w:r>
        <w:rPr>
          <w:rFonts w:ascii="宋体" w:hAnsi="宋体" w:hint="eastAsia"/>
          <w:color w:val="000000"/>
          <w:szCs w:val="21"/>
        </w:rPr>
        <w:t>10</w:t>
      </w:r>
      <w:r>
        <w:rPr>
          <w:rFonts w:ascii="宋体" w:hAnsi="宋体" w:hint="eastAsia"/>
          <w:color w:val="000000"/>
          <w:szCs w:val="21"/>
        </w:rPr>
        <w:t>者已满</w:t>
      </w:r>
      <w:r>
        <w:rPr>
          <w:rFonts w:ascii="宋体" w:hAnsi="宋体" w:hint="eastAsia"/>
          <w:color w:val="000000"/>
          <w:szCs w:val="21"/>
        </w:rPr>
        <w:t>2</w:t>
      </w:r>
      <w:r>
        <w:rPr>
          <w:rFonts w:ascii="宋体" w:hAnsi="宋体" w:hint="eastAsia"/>
          <w:color w:val="000000"/>
          <w:szCs w:val="21"/>
        </w:rPr>
        <w:t>人且继续注册本单位（等级分仍保持前</w:t>
      </w:r>
      <w:r>
        <w:rPr>
          <w:rFonts w:ascii="宋体" w:hAnsi="宋体" w:hint="eastAsia"/>
          <w:color w:val="000000"/>
          <w:szCs w:val="21"/>
        </w:rPr>
        <w:t>10</w:t>
      </w:r>
      <w:r>
        <w:rPr>
          <w:rFonts w:ascii="宋体" w:hAnsi="宋体" w:hint="eastAsia"/>
          <w:color w:val="000000"/>
          <w:szCs w:val="21"/>
        </w:rPr>
        <w:t>名）的情况下，上赛季本单位其他棋手，如出现本赛季等级分进入前</w:t>
      </w:r>
      <w:r>
        <w:rPr>
          <w:rFonts w:ascii="宋体" w:hAnsi="宋体" w:hint="eastAsia"/>
          <w:color w:val="000000"/>
          <w:szCs w:val="21"/>
        </w:rPr>
        <w:t>10</w:t>
      </w:r>
      <w:r>
        <w:rPr>
          <w:rFonts w:ascii="宋体" w:hAnsi="宋体" w:hint="eastAsia"/>
          <w:color w:val="000000"/>
          <w:szCs w:val="21"/>
        </w:rPr>
        <w:t>者最多可有</w:t>
      </w:r>
      <w:r>
        <w:rPr>
          <w:rFonts w:ascii="宋体" w:hAnsi="宋体" w:hint="eastAsia"/>
          <w:color w:val="000000"/>
          <w:szCs w:val="21"/>
        </w:rPr>
        <w:t>1</w:t>
      </w:r>
      <w:r>
        <w:rPr>
          <w:rFonts w:ascii="宋体" w:hAnsi="宋体" w:hint="eastAsia"/>
          <w:color w:val="000000"/>
          <w:szCs w:val="21"/>
        </w:rPr>
        <w:t>人，多者需交流转让。</w:t>
      </w:r>
    </w:p>
    <w:p w:rsidR="00866CE9" w:rsidRDefault="00450B7F">
      <w:pPr>
        <w:ind w:firstLineChars="200" w:firstLine="420"/>
        <w:rPr>
          <w:rFonts w:ascii="宋体" w:hAnsi="宋体"/>
          <w:color w:val="000000"/>
          <w:szCs w:val="21"/>
        </w:rPr>
      </w:pPr>
      <w:r>
        <w:rPr>
          <w:rFonts w:ascii="宋体" w:hAnsi="宋体" w:hint="eastAsia"/>
          <w:color w:val="000000"/>
          <w:szCs w:val="21"/>
        </w:rPr>
        <w:t>（六）已获得</w:t>
      </w:r>
      <w:r>
        <w:rPr>
          <w:rFonts w:ascii="宋体" w:hAnsi="宋体" w:hint="eastAsia"/>
          <w:color w:val="000000"/>
          <w:szCs w:val="21"/>
        </w:rPr>
        <w:t>当年度</w:t>
      </w:r>
      <w:r>
        <w:rPr>
          <w:rFonts w:ascii="宋体" w:hAnsi="宋体" w:hint="eastAsia"/>
          <w:color w:val="000000"/>
          <w:szCs w:val="21"/>
        </w:rPr>
        <w:t>全国象棋甲级联赛参赛资格的单位仍需参加注册。</w:t>
      </w:r>
    </w:p>
    <w:p w:rsidR="00866CE9" w:rsidRDefault="00450B7F">
      <w:pPr>
        <w:numPr>
          <w:ilvl w:val="1"/>
          <w:numId w:val="1"/>
        </w:numPr>
        <w:rPr>
          <w:rFonts w:ascii="宋体" w:hAnsi="宋体"/>
          <w:color w:val="000000"/>
          <w:szCs w:val="21"/>
        </w:rPr>
      </w:pPr>
      <w:r>
        <w:rPr>
          <w:rFonts w:ascii="宋体" w:hAnsi="宋体" w:hint="eastAsia"/>
          <w:color w:val="000000"/>
          <w:szCs w:val="21"/>
        </w:rPr>
        <w:t>棋手注册：</w:t>
      </w:r>
    </w:p>
    <w:p w:rsidR="00866CE9" w:rsidRDefault="00450B7F">
      <w:pPr>
        <w:ind w:firstLine="420"/>
        <w:rPr>
          <w:rFonts w:ascii="宋体" w:hAnsi="宋体"/>
          <w:color w:val="000000"/>
          <w:szCs w:val="21"/>
        </w:rPr>
      </w:pPr>
      <w:r>
        <w:rPr>
          <w:rFonts w:ascii="宋体" w:hAnsi="宋体" w:hint="eastAsia"/>
          <w:color w:val="000000"/>
          <w:szCs w:val="21"/>
        </w:rPr>
        <w:t>（一）所有注册棋手需与注册单位签订有效</w:t>
      </w:r>
      <w:r>
        <w:rPr>
          <w:rFonts w:ascii="宋体" w:hAnsi="宋体" w:hint="eastAsia"/>
          <w:color w:val="000000"/>
          <w:szCs w:val="21"/>
        </w:rPr>
        <w:t>劳动</w:t>
      </w:r>
      <w:r>
        <w:rPr>
          <w:rFonts w:ascii="宋体" w:hAnsi="宋体" w:hint="eastAsia"/>
          <w:color w:val="000000"/>
          <w:szCs w:val="21"/>
        </w:rPr>
        <w:t>合同。</w:t>
      </w:r>
    </w:p>
    <w:p w:rsidR="00866CE9" w:rsidRDefault="00450B7F">
      <w:pPr>
        <w:ind w:firstLine="420"/>
        <w:rPr>
          <w:rFonts w:ascii="宋体" w:hAnsi="宋体"/>
          <w:color w:val="000000"/>
          <w:szCs w:val="21"/>
        </w:rPr>
      </w:pPr>
      <w:r>
        <w:rPr>
          <w:rFonts w:ascii="宋体" w:hAnsi="宋体" w:hint="eastAsia"/>
          <w:color w:val="000000"/>
          <w:szCs w:val="21"/>
        </w:rPr>
        <w:t>（二）注册流程：</w:t>
      </w:r>
    </w:p>
    <w:p w:rsidR="00866CE9" w:rsidRDefault="00450B7F">
      <w:pPr>
        <w:ind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）国家体育总局棋牌运动管理中心</w:t>
      </w:r>
      <w:r>
        <w:rPr>
          <w:rFonts w:ascii="宋体" w:hAnsi="宋体" w:hint="eastAsia"/>
          <w:color w:val="000000"/>
          <w:szCs w:val="21"/>
        </w:rPr>
        <w:t>当</w:t>
      </w:r>
      <w:r>
        <w:rPr>
          <w:rFonts w:ascii="宋体" w:hAnsi="宋体" w:hint="eastAsia"/>
          <w:color w:val="000000"/>
          <w:szCs w:val="21"/>
        </w:rPr>
        <w:t>年度注册棋手：联赛报名即视为联赛注册棋手。</w:t>
      </w:r>
    </w:p>
    <w:p w:rsidR="00866CE9" w:rsidRDefault="00450B7F">
      <w:pPr>
        <w:ind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）具有象棋运动员技术等级三级（含）以上者和中国象棋协会业余一级棋士（含）以上者，可以进行联赛年度注册。请棋手填写《棋手年度注册表》（见附件</w:t>
      </w:r>
      <w:r>
        <w:rPr>
          <w:rFonts w:ascii="宋体" w:hAnsi="宋体" w:hint="eastAsia"/>
          <w:color w:val="000000"/>
          <w:szCs w:val="21"/>
        </w:rPr>
        <w:t>1</w:t>
      </w:r>
      <w:r>
        <w:rPr>
          <w:rFonts w:ascii="宋体" w:hAnsi="宋体" w:hint="eastAsia"/>
          <w:color w:val="000000"/>
          <w:szCs w:val="21"/>
        </w:rPr>
        <w:t>），并递交相关资料。</w:t>
      </w:r>
    </w:p>
    <w:p w:rsidR="00866CE9" w:rsidRDefault="00450B7F">
      <w:pPr>
        <w:ind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w:t>
      </w:r>
      <w:r>
        <w:rPr>
          <w:rFonts w:ascii="宋体" w:hAnsi="宋体"/>
          <w:color w:val="FF0000"/>
          <w:szCs w:val="21"/>
        </w:rPr>
        <w:t>外援、港澳台</w:t>
      </w:r>
      <w:r>
        <w:rPr>
          <w:rFonts w:ascii="宋体" w:hAnsi="宋体" w:hint="eastAsia"/>
          <w:color w:val="000000"/>
          <w:szCs w:val="21"/>
        </w:rPr>
        <w:t>棋手：请填写《</w:t>
      </w:r>
      <w:r>
        <w:rPr>
          <w:rFonts w:ascii="宋体" w:hAnsi="宋体"/>
          <w:color w:val="FF0000"/>
          <w:szCs w:val="21"/>
        </w:rPr>
        <w:t>外援</w:t>
      </w:r>
      <w:r>
        <w:rPr>
          <w:rFonts w:ascii="宋体" w:hAnsi="宋体"/>
          <w:color w:val="FF0000"/>
          <w:szCs w:val="21"/>
        </w:rPr>
        <w:t>/</w:t>
      </w:r>
      <w:r>
        <w:rPr>
          <w:rFonts w:ascii="宋体" w:hAnsi="宋体"/>
          <w:color w:val="FF0000"/>
          <w:szCs w:val="21"/>
        </w:rPr>
        <w:t>港澳台</w:t>
      </w:r>
      <w:r>
        <w:rPr>
          <w:rFonts w:ascii="宋体" w:hAnsi="宋体" w:hint="eastAsia"/>
          <w:color w:val="000000"/>
          <w:szCs w:val="21"/>
        </w:rPr>
        <w:t>棋手年度注册表》（见附件</w:t>
      </w:r>
      <w:r>
        <w:rPr>
          <w:rFonts w:ascii="宋体" w:hAnsi="宋体" w:hint="eastAsia"/>
          <w:color w:val="000000"/>
          <w:szCs w:val="21"/>
        </w:rPr>
        <w:t>2</w:t>
      </w:r>
      <w:r>
        <w:rPr>
          <w:rFonts w:ascii="宋体" w:hAnsi="宋体" w:hint="eastAsia"/>
          <w:color w:val="000000"/>
          <w:szCs w:val="21"/>
        </w:rPr>
        <w:t>），并递交</w:t>
      </w:r>
      <w:r>
        <w:rPr>
          <w:rFonts w:ascii="宋体" w:hAnsi="宋体" w:hint="eastAsia"/>
          <w:color w:val="000000"/>
          <w:szCs w:val="21"/>
        </w:rPr>
        <w:lastRenderedPageBreak/>
        <w:t>相关资料。</w:t>
      </w:r>
    </w:p>
    <w:p w:rsidR="00866CE9" w:rsidRDefault="00450B7F">
      <w:pPr>
        <w:ind w:firstLineChars="200" w:firstLine="420"/>
        <w:rPr>
          <w:rFonts w:ascii="宋体" w:hAnsi="宋体"/>
          <w:color w:val="000000"/>
          <w:szCs w:val="21"/>
        </w:rPr>
      </w:pPr>
      <w:r>
        <w:rPr>
          <w:rFonts w:ascii="宋体" w:hAnsi="宋体" w:hint="eastAsia"/>
          <w:color w:val="000000"/>
          <w:szCs w:val="21"/>
        </w:rPr>
        <w:t>（三）棋手应身体健康，适合参加本项赛事。</w:t>
      </w:r>
    </w:p>
    <w:p w:rsidR="00866CE9" w:rsidRDefault="00450B7F">
      <w:pPr>
        <w:ind w:firstLineChars="200" w:firstLine="420"/>
        <w:rPr>
          <w:rFonts w:ascii="宋体" w:hAnsi="宋体"/>
          <w:color w:val="000000"/>
          <w:szCs w:val="21"/>
        </w:rPr>
      </w:pPr>
      <w:r>
        <w:rPr>
          <w:rFonts w:ascii="宋体" w:hAnsi="宋体" w:hint="eastAsia"/>
          <w:color w:val="000000"/>
          <w:szCs w:val="21"/>
        </w:rPr>
        <w:t>（四）棋手本赛季只能代表一个注册单位参加赛。</w:t>
      </w:r>
    </w:p>
    <w:p w:rsidR="00866CE9" w:rsidRDefault="00450B7F">
      <w:pPr>
        <w:numPr>
          <w:ilvl w:val="1"/>
          <w:numId w:val="1"/>
        </w:numPr>
        <w:rPr>
          <w:rFonts w:ascii="宋体" w:hAnsi="宋体"/>
          <w:color w:val="000000"/>
          <w:szCs w:val="21"/>
        </w:rPr>
      </w:pPr>
      <w:r>
        <w:rPr>
          <w:rFonts w:ascii="宋体" w:hAnsi="宋体" w:hint="eastAsia"/>
          <w:color w:val="000000"/>
          <w:szCs w:val="21"/>
        </w:rPr>
        <w:t>注册工作完成后，注册名单将在中国象棋协会官方网站公示。</w:t>
      </w:r>
    </w:p>
    <w:p w:rsidR="00866CE9" w:rsidRDefault="00450B7F">
      <w:pPr>
        <w:rPr>
          <w:rFonts w:ascii="宋体" w:hAnsi="宋体"/>
          <w:b/>
          <w:color w:val="000000"/>
          <w:szCs w:val="21"/>
        </w:rPr>
      </w:pPr>
      <w:r>
        <w:rPr>
          <w:rFonts w:ascii="宋体" w:hAnsi="宋体" w:hint="eastAsia"/>
          <w:b/>
          <w:color w:val="000000"/>
          <w:szCs w:val="21"/>
        </w:rPr>
        <w:t>第三章</w:t>
      </w:r>
      <w:r>
        <w:rPr>
          <w:rFonts w:ascii="宋体" w:hAnsi="宋体" w:hint="eastAsia"/>
          <w:b/>
          <w:color w:val="000000"/>
          <w:szCs w:val="21"/>
        </w:rPr>
        <w:t xml:space="preserve"> </w:t>
      </w:r>
      <w:r>
        <w:rPr>
          <w:rFonts w:ascii="宋体" w:hAnsi="宋体" w:hint="eastAsia"/>
          <w:b/>
          <w:color w:val="000000"/>
          <w:szCs w:val="21"/>
        </w:rPr>
        <w:t>棋手交流</w:t>
      </w:r>
    </w:p>
    <w:p w:rsidR="00866CE9" w:rsidRDefault="00450B7F">
      <w:pPr>
        <w:numPr>
          <w:ilvl w:val="1"/>
          <w:numId w:val="1"/>
        </w:numPr>
        <w:ind w:left="851" w:hanging="851"/>
        <w:rPr>
          <w:rFonts w:ascii="宋体" w:hAnsi="宋体"/>
          <w:color w:val="000000"/>
          <w:szCs w:val="21"/>
        </w:rPr>
      </w:pPr>
      <w:r>
        <w:rPr>
          <w:rFonts w:ascii="宋体" w:hAnsi="宋体" w:hint="eastAsia"/>
          <w:color w:val="000000"/>
          <w:szCs w:val="21"/>
        </w:rPr>
        <w:t>棋手当年度在国家体育总局棋牌运动管理中心所注册单位与本赛事报名单位不一致时，应由参赛报名单位</w:t>
      </w:r>
      <w:r>
        <w:rPr>
          <w:rFonts w:ascii="宋体" w:hAnsi="宋体" w:hint="eastAsia"/>
          <w:color w:val="000000"/>
          <w:szCs w:val="21"/>
        </w:rPr>
        <w:t>、所注册单位和棋手签订三方协议，并报中国象棋协会备案。</w:t>
      </w:r>
    </w:p>
    <w:p w:rsidR="00866CE9" w:rsidRDefault="00450B7F">
      <w:pPr>
        <w:numPr>
          <w:ilvl w:val="1"/>
          <w:numId w:val="1"/>
        </w:numPr>
        <w:rPr>
          <w:rFonts w:ascii="宋体" w:hAnsi="宋体"/>
          <w:color w:val="000000"/>
          <w:szCs w:val="21"/>
        </w:rPr>
      </w:pPr>
      <w:r>
        <w:rPr>
          <w:rFonts w:ascii="宋体" w:hAnsi="宋体" w:hint="eastAsia"/>
          <w:color w:val="000000"/>
          <w:szCs w:val="21"/>
        </w:rPr>
        <w:t>三方协议年限最多不超过五年。</w:t>
      </w:r>
    </w:p>
    <w:p w:rsidR="00866CE9" w:rsidRDefault="00450B7F">
      <w:pPr>
        <w:numPr>
          <w:ilvl w:val="1"/>
          <w:numId w:val="1"/>
        </w:numPr>
        <w:rPr>
          <w:rFonts w:ascii="宋体" w:hAnsi="宋体"/>
          <w:color w:val="000000"/>
          <w:szCs w:val="21"/>
        </w:rPr>
      </w:pPr>
      <w:r>
        <w:rPr>
          <w:rFonts w:ascii="宋体" w:hAnsi="宋体" w:hint="eastAsia"/>
          <w:color w:val="000000"/>
          <w:szCs w:val="21"/>
        </w:rPr>
        <w:t>未在国家体育总局棋牌运动管理中心注册的棋手，不需要提供三方协议。</w:t>
      </w:r>
    </w:p>
    <w:p w:rsidR="00866CE9" w:rsidRDefault="00450B7F">
      <w:pPr>
        <w:numPr>
          <w:ilvl w:val="1"/>
          <w:numId w:val="1"/>
        </w:numPr>
        <w:rPr>
          <w:rFonts w:ascii="宋体" w:hAnsi="宋体"/>
          <w:color w:val="000000"/>
          <w:szCs w:val="21"/>
        </w:rPr>
      </w:pPr>
      <w:r>
        <w:rPr>
          <w:rFonts w:ascii="宋体" w:hAnsi="宋体" w:hint="eastAsia"/>
          <w:color w:val="000000"/>
          <w:szCs w:val="21"/>
        </w:rPr>
        <w:t>三方协议应明确，但不仅限于以下内容：</w:t>
      </w:r>
    </w:p>
    <w:p w:rsidR="00866CE9" w:rsidRDefault="00450B7F">
      <w:pPr>
        <w:ind w:firstLineChars="200" w:firstLine="420"/>
        <w:rPr>
          <w:rFonts w:ascii="宋体" w:hAnsi="宋体"/>
          <w:color w:val="000000"/>
          <w:szCs w:val="21"/>
        </w:rPr>
      </w:pPr>
      <w:r>
        <w:rPr>
          <w:rFonts w:ascii="宋体" w:hAnsi="宋体" w:hint="eastAsia"/>
          <w:color w:val="000000"/>
          <w:szCs w:val="21"/>
        </w:rPr>
        <w:t>（一）棋手交流性质：商借（需注明商借年限）或转会（联赛代表资格转让）。</w:t>
      </w:r>
    </w:p>
    <w:p w:rsidR="00866CE9" w:rsidRDefault="00450B7F">
      <w:pPr>
        <w:ind w:firstLineChars="200" w:firstLine="420"/>
        <w:rPr>
          <w:rFonts w:ascii="宋体" w:hAnsi="宋体"/>
          <w:color w:val="000000"/>
          <w:szCs w:val="21"/>
        </w:rPr>
      </w:pPr>
      <w:r>
        <w:rPr>
          <w:rFonts w:ascii="宋体" w:hAnsi="宋体" w:hint="eastAsia"/>
          <w:color w:val="000000"/>
          <w:szCs w:val="21"/>
        </w:rPr>
        <w:t>（二）未满</w:t>
      </w:r>
      <w:r>
        <w:rPr>
          <w:rFonts w:ascii="宋体" w:hAnsi="宋体" w:hint="eastAsia"/>
          <w:color w:val="000000"/>
          <w:szCs w:val="21"/>
        </w:rPr>
        <w:t>16</w:t>
      </w:r>
      <w:r>
        <w:rPr>
          <w:rFonts w:ascii="宋体" w:hAnsi="宋体" w:hint="eastAsia"/>
          <w:color w:val="000000"/>
          <w:szCs w:val="21"/>
        </w:rPr>
        <w:t>岁棋手由其法定监护人代为签署相关文件，转会时间不得超过该棋手年满</w:t>
      </w:r>
      <w:r>
        <w:rPr>
          <w:rFonts w:ascii="宋体" w:hAnsi="宋体" w:hint="eastAsia"/>
          <w:color w:val="000000"/>
          <w:szCs w:val="21"/>
        </w:rPr>
        <w:t>16</w:t>
      </w:r>
      <w:r>
        <w:rPr>
          <w:rFonts w:ascii="宋体" w:hAnsi="宋体" w:hint="eastAsia"/>
          <w:color w:val="000000"/>
          <w:szCs w:val="21"/>
        </w:rPr>
        <w:t>岁的当年年限。</w:t>
      </w:r>
    </w:p>
    <w:p w:rsidR="00866CE9" w:rsidRDefault="00450B7F">
      <w:pPr>
        <w:ind w:firstLineChars="200" w:firstLine="420"/>
        <w:rPr>
          <w:rFonts w:ascii="宋体" w:hAnsi="宋体"/>
          <w:color w:val="000000"/>
          <w:szCs w:val="21"/>
        </w:rPr>
      </w:pPr>
      <w:r>
        <w:rPr>
          <w:rFonts w:ascii="宋体" w:hAnsi="宋体" w:hint="eastAsia"/>
          <w:color w:val="000000"/>
          <w:szCs w:val="21"/>
        </w:rPr>
        <w:t>（三）养老保险、失业保险、医疗保险等国家规定的保险缴纳方式。</w:t>
      </w:r>
    </w:p>
    <w:p w:rsidR="00866CE9" w:rsidRDefault="00450B7F">
      <w:pPr>
        <w:ind w:firstLineChars="200" w:firstLine="420"/>
        <w:rPr>
          <w:rFonts w:ascii="宋体" w:hAnsi="宋体"/>
          <w:color w:val="000000"/>
          <w:szCs w:val="21"/>
        </w:rPr>
      </w:pPr>
      <w:r>
        <w:rPr>
          <w:rFonts w:ascii="宋体" w:hAnsi="宋体" w:hint="eastAsia"/>
          <w:color w:val="000000"/>
          <w:szCs w:val="21"/>
        </w:rPr>
        <w:t>（四）请注明交流期限内该棋手商业赛事代表单位。</w:t>
      </w:r>
    </w:p>
    <w:p w:rsidR="00866CE9" w:rsidRDefault="00450B7F">
      <w:pPr>
        <w:rPr>
          <w:rFonts w:ascii="宋体" w:hAnsi="宋体"/>
          <w:b/>
          <w:color w:val="000000"/>
          <w:szCs w:val="21"/>
        </w:rPr>
      </w:pPr>
      <w:r>
        <w:rPr>
          <w:rFonts w:ascii="宋体" w:hAnsi="宋体" w:hint="eastAsia"/>
          <w:b/>
          <w:color w:val="000000"/>
          <w:szCs w:val="21"/>
        </w:rPr>
        <w:t>第四章</w:t>
      </w:r>
      <w:r>
        <w:rPr>
          <w:rFonts w:ascii="宋体" w:hAnsi="宋体" w:hint="eastAsia"/>
          <w:b/>
          <w:color w:val="000000"/>
          <w:szCs w:val="21"/>
        </w:rPr>
        <w:t xml:space="preserve">  </w:t>
      </w:r>
      <w:r>
        <w:rPr>
          <w:rFonts w:ascii="宋体" w:hAnsi="宋体" w:hint="eastAsia"/>
          <w:b/>
          <w:color w:val="000000"/>
          <w:szCs w:val="21"/>
        </w:rPr>
        <w:t>注册单位转让</w:t>
      </w:r>
    </w:p>
    <w:p w:rsidR="00866CE9" w:rsidRDefault="00450B7F">
      <w:pPr>
        <w:numPr>
          <w:ilvl w:val="1"/>
          <w:numId w:val="1"/>
        </w:numPr>
        <w:rPr>
          <w:rFonts w:ascii="宋体" w:hAnsi="宋体"/>
          <w:color w:val="000000"/>
          <w:szCs w:val="21"/>
        </w:rPr>
      </w:pPr>
      <w:r>
        <w:rPr>
          <w:rFonts w:ascii="宋体" w:hAnsi="宋体" w:hint="eastAsia"/>
          <w:color w:val="000000"/>
          <w:szCs w:val="21"/>
        </w:rPr>
        <w:t>注册单位转让办法另</w:t>
      </w:r>
      <w:r>
        <w:rPr>
          <w:rFonts w:ascii="宋体" w:hAnsi="宋体" w:hint="eastAsia"/>
          <w:color w:val="000000"/>
          <w:szCs w:val="21"/>
        </w:rPr>
        <w:t>行规定。</w:t>
      </w:r>
    </w:p>
    <w:p w:rsidR="00866CE9" w:rsidRDefault="00450B7F">
      <w:pPr>
        <w:rPr>
          <w:rFonts w:ascii="宋体" w:hAnsi="宋体"/>
          <w:b/>
          <w:szCs w:val="21"/>
        </w:rPr>
      </w:pPr>
      <w:r>
        <w:rPr>
          <w:rFonts w:ascii="宋体" w:hAnsi="宋体" w:hint="eastAsia"/>
          <w:b/>
          <w:szCs w:val="21"/>
        </w:rPr>
        <w:t>第五章</w:t>
      </w:r>
      <w:r>
        <w:rPr>
          <w:rFonts w:ascii="宋体" w:hAnsi="宋体" w:hint="eastAsia"/>
          <w:b/>
          <w:szCs w:val="21"/>
        </w:rPr>
        <w:t xml:space="preserve">  </w:t>
      </w:r>
      <w:r>
        <w:rPr>
          <w:rFonts w:ascii="宋体" w:hAnsi="宋体" w:hint="eastAsia"/>
          <w:b/>
          <w:szCs w:val="21"/>
        </w:rPr>
        <w:t>罚则</w:t>
      </w:r>
    </w:p>
    <w:p w:rsidR="00866CE9" w:rsidRDefault="00450B7F">
      <w:pPr>
        <w:numPr>
          <w:ilvl w:val="1"/>
          <w:numId w:val="1"/>
        </w:numPr>
        <w:rPr>
          <w:rFonts w:ascii="宋体" w:hAnsi="宋体"/>
          <w:szCs w:val="21"/>
        </w:rPr>
      </w:pPr>
      <w:r>
        <w:rPr>
          <w:rFonts w:ascii="宋体" w:hAnsi="宋体" w:hint="eastAsia"/>
          <w:szCs w:val="21"/>
        </w:rPr>
        <w:t>注册单位和棋手必须严格履行和遵守双方签订的交流协议，严禁暗箱操作。凡有确凿证据表明注册单位或棋手违反此项规定的，协会给予如下处罚：</w:t>
      </w:r>
    </w:p>
    <w:p w:rsidR="00866CE9" w:rsidRDefault="00450B7F">
      <w:pPr>
        <w:ind w:firstLineChars="200" w:firstLine="420"/>
        <w:rPr>
          <w:rFonts w:ascii="宋体" w:hAnsi="宋体"/>
          <w:szCs w:val="21"/>
        </w:rPr>
      </w:pPr>
      <w:r>
        <w:rPr>
          <w:rFonts w:ascii="宋体" w:hAnsi="宋体" w:hint="eastAsia"/>
          <w:szCs w:val="21"/>
        </w:rPr>
        <w:t>（一）警告、严重警告；</w:t>
      </w:r>
    </w:p>
    <w:p w:rsidR="00866CE9" w:rsidRDefault="00450B7F">
      <w:pPr>
        <w:ind w:firstLineChars="200" w:firstLine="420"/>
        <w:rPr>
          <w:rFonts w:ascii="宋体" w:hAnsi="宋体"/>
          <w:szCs w:val="21"/>
        </w:rPr>
      </w:pPr>
      <w:r>
        <w:rPr>
          <w:rFonts w:ascii="宋体" w:hAnsi="宋体" w:hint="eastAsia"/>
          <w:szCs w:val="21"/>
        </w:rPr>
        <w:t>（二）扣除保证金；</w:t>
      </w:r>
    </w:p>
    <w:p w:rsidR="00866CE9" w:rsidRDefault="00450B7F">
      <w:pPr>
        <w:ind w:firstLineChars="200" w:firstLine="420"/>
        <w:rPr>
          <w:rFonts w:ascii="宋体" w:hAnsi="宋体"/>
          <w:szCs w:val="21"/>
        </w:rPr>
      </w:pPr>
      <w:r>
        <w:rPr>
          <w:rFonts w:ascii="宋体" w:hAnsi="宋体" w:hint="eastAsia"/>
          <w:szCs w:val="21"/>
        </w:rPr>
        <w:t>（三）取消成绩；</w:t>
      </w:r>
    </w:p>
    <w:p w:rsidR="00866CE9" w:rsidRDefault="00450B7F">
      <w:pPr>
        <w:ind w:firstLineChars="200" w:firstLine="420"/>
        <w:rPr>
          <w:rFonts w:ascii="宋体" w:hAnsi="宋体"/>
          <w:szCs w:val="21"/>
        </w:rPr>
      </w:pPr>
      <w:r>
        <w:rPr>
          <w:rFonts w:ascii="宋体" w:hAnsi="宋体" w:hint="eastAsia"/>
          <w:szCs w:val="21"/>
        </w:rPr>
        <w:t>（四）取消下一赛季注册资格；</w:t>
      </w:r>
    </w:p>
    <w:p w:rsidR="00866CE9" w:rsidRDefault="00450B7F">
      <w:pPr>
        <w:ind w:firstLineChars="200" w:firstLine="420"/>
        <w:rPr>
          <w:rFonts w:ascii="宋体" w:hAnsi="宋体"/>
          <w:b/>
          <w:szCs w:val="21"/>
        </w:rPr>
      </w:pPr>
      <w:r>
        <w:rPr>
          <w:rFonts w:ascii="宋体" w:hAnsi="宋体" w:hint="eastAsia"/>
          <w:szCs w:val="21"/>
        </w:rPr>
        <w:t>注：以上罚则可以并用。</w:t>
      </w:r>
    </w:p>
    <w:p w:rsidR="00866CE9" w:rsidRDefault="00450B7F">
      <w:pPr>
        <w:rPr>
          <w:rFonts w:ascii="宋体" w:hAnsi="宋体"/>
          <w:b/>
          <w:szCs w:val="21"/>
        </w:rPr>
      </w:pPr>
      <w:r>
        <w:rPr>
          <w:rFonts w:ascii="宋体" w:hAnsi="宋体" w:hint="eastAsia"/>
          <w:b/>
          <w:szCs w:val="21"/>
        </w:rPr>
        <w:t>第六章</w:t>
      </w:r>
      <w:r>
        <w:rPr>
          <w:rFonts w:ascii="宋体" w:hAnsi="宋体" w:hint="eastAsia"/>
          <w:b/>
          <w:szCs w:val="21"/>
        </w:rPr>
        <w:t xml:space="preserve">  </w:t>
      </w:r>
      <w:r>
        <w:rPr>
          <w:rFonts w:ascii="宋体" w:hAnsi="宋体" w:hint="eastAsia"/>
          <w:b/>
          <w:szCs w:val="21"/>
        </w:rPr>
        <w:t>附则</w:t>
      </w:r>
    </w:p>
    <w:p w:rsidR="00866CE9" w:rsidRDefault="00450B7F">
      <w:pPr>
        <w:numPr>
          <w:ilvl w:val="1"/>
          <w:numId w:val="1"/>
        </w:numPr>
        <w:rPr>
          <w:rFonts w:ascii="宋体" w:hAnsi="宋体"/>
          <w:szCs w:val="21"/>
        </w:rPr>
      </w:pPr>
      <w:r>
        <w:rPr>
          <w:rFonts w:ascii="宋体" w:hAnsi="宋体" w:hint="eastAsia"/>
          <w:szCs w:val="21"/>
        </w:rPr>
        <w:t>未尽事宜，另行补充规定。</w:t>
      </w:r>
    </w:p>
    <w:p w:rsidR="00866CE9" w:rsidRDefault="00450B7F">
      <w:pPr>
        <w:numPr>
          <w:ilvl w:val="1"/>
          <w:numId w:val="1"/>
        </w:numPr>
        <w:rPr>
          <w:rFonts w:ascii="宋体" w:hAnsi="宋体"/>
          <w:szCs w:val="21"/>
        </w:rPr>
      </w:pPr>
      <w:r>
        <w:rPr>
          <w:rFonts w:ascii="宋体" w:hAnsi="宋体" w:hint="eastAsia"/>
          <w:szCs w:val="21"/>
        </w:rPr>
        <w:t>本办法解释权归中国象棋协会。</w:t>
      </w:r>
    </w:p>
    <w:p w:rsidR="00866CE9" w:rsidRDefault="00450B7F">
      <w:pPr>
        <w:numPr>
          <w:ilvl w:val="1"/>
          <w:numId w:val="1"/>
        </w:numPr>
        <w:rPr>
          <w:rFonts w:ascii="宋体" w:hAnsi="宋体"/>
          <w:szCs w:val="21"/>
        </w:rPr>
      </w:pPr>
      <w:r>
        <w:rPr>
          <w:rFonts w:ascii="宋体" w:hAnsi="宋体" w:hint="eastAsia"/>
          <w:szCs w:val="21"/>
        </w:rPr>
        <w:t>本办法自</w:t>
      </w:r>
      <w:r>
        <w:rPr>
          <w:rFonts w:ascii="宋体" w:hAnsi="宋体" w:hint="eastAsia"/>
          <w:szCs w:val="21"/>
        </w:rPr>
        <w:t>2016</w:t>
      </w:r>
      <w:r>
        <w:rPr>
          <w:rFonts w:ascii="宋体" w:hAnsi="宋体"/>
          <w:szCs w:val="21"/>
        </w:rPr>
        <w:t>年</w:t>
      </w:r>
      <w:r>
        <w:rPr>
          <w:rFonts w:ascii="宋体" w:hAnsi="宋体" w:hint="eastAsia"/>
          <w:szCs w:val="21"/>
        </w:rPr>
        <w:t>2</w:t>
      </w:r>
      <w:r>
        <w:rPr>
          <w:rFonts w:ascii="宋体" w:hAnsi="宋体"/>
          <w:szCs w:val="21"/>
        </w:rPr>
        <w:t>月</w:t>
      </w:r>
      <w:r>
        <w:rPr>
          <w:rFonts w:ascii="宋体" w:hAnsi="宋体" w:hint="eastAsia"/>
          <w:szCs w:val="21"/>
        </w:rPr>
        <w:t>4</w:t>
      </w:r>
      <w:r>
        <w:rPr>
          <w:rFonts w:ascii="宋体" w:hAnsi="宋体"/>
          <w:szCs w:val="21"/>
        </w:rPr>
        <w:t>日</w:t>
      </w:r>
      <w:r>
        <w:rPr>
          <w:rFonts w:ascii="宋体" w:hAnsi="宋体" w:hint="eastAsia"/>
          <w:szCs w:val="21"/>
        </w:rPr>
        <w:t>起实施。</w:t>
      </w:r>
    </w:p>
    <w:p w:rsidR="00866CE9" w:rsidRDefault="00866CE9">
      <w:pPr>
        <w:rPr>
          <w:rFonts w:ascii="宋体" w:hAnsi="宋体"/>
          <w:szCs w:val="21"/>
        </w:rPr>
      </w:pPr>
    </w:p>
    <w:p w:rsidR="00866CE9" w:rsidRDefault="00866CE9">
      <w:pPr>
        <w:rPr>
          <w:rFonts w:ascii="宋体" w:hAnsi="宋体"/>
          <w:szCs w:val="21"/>
        </w:rPr>
      </w:pPr>
    </w:p>
    <w:p w:rsidR="00866CE9" w:rsidRDefault="00450B7F">
      <w:pPr>
        <w:rPr>
          <w:sz w:val="28"/>
          <w:szCs w:val="28"/>
        </w:rPr>
      </w:pPr>
      <w:r>
        <w:br w:type="page"/>
      </w:r>
      <w:r>
        <w:rPr>
          <w:rFonts w:hint="eastAsia"/>
          <w:sz w:val="28"/>
          <w:szCs w:val="28"/>
        </w:rPr>
        <w:lastRenderedPageBreak/>
        <w:t>附件</w:t>
      </w:r>
      <w:r>
        <w:rPr>
          <w:rFonts w:hint="eastAsia"/>
          <w:sz w:val="28"/>
          <w:szCs w:val="28"/>
        </w:rPr>
        <w:t>1</w:t>
      </w:r>
      <w:r>
        <w:rPr>
          <w:rFonts w:hint="eastAsia"/>
          <w:sz w:val="28"/>
          <w:szCs w:val="28"/>
        </w:rPr>
        <w:t>：</w:t>
      </w:r>
    </w:p>
    <w:p w:rsidR="00866CE9" w:rsidRDefault="00866CE9">
      <w:pPr>
        <w:jc w:val="center"/>
        <w:rPr>
          <w:rFonts w:ascii="宋体" w:hAnsi="宋体"/>
          <w:b/>
          <w:sz w:val="28"/>
          <w:szCs w:val="28"/>
        </w:rPr>
      </w:pPr>
    </w:p>
    <w:p w:rsidR="00866CE9" w:rsidRDefault="00450B7F">
      <w:pPr>
        <w:jc w:val="center"/>
        <w:rPr>
          <w:rFonts w:ascii="宋体" w:hAnsi="宋体"/>
          <w:b/>
          <w:sz w:val="32"/>
          <w:szCs w:val="32"/>
        </w:rPr>
      </w:pPr>
      <w:r>
        <w:rPr>
          <w:rFonts w:ascii="宋体" w:hAnsi="宋体" w:hint="eastAsia"/>
          <w:b/>
          <w:sz w:val="32"/>
          <w:szCs w:val="32"/>
        </w:rPr>
        <w:t>全国象棋甲级联赛棋手年度注册表</w:t>
      </w:r>
    </w:p>
    <w:p w:rsidR="00866CE9" w:rsidRDefault="00866CE9">
      <w:pPr>
        <w:jc w:val="center"/>
        <w:rPr>
          <w:rFonts w:ascii="宋体" w:hAnsi="宋体"/>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1824"/>
        <w:gridCol w:w="1863"/>
        <w:gridCol w:w="3217"/>
      </w:tblGrid>
      <w:tr w:rsidR="00866CE9">
        <w:trPr>
          <w:trHeight w:val="1051"/>
        </w:trPr>
        <w:tc>
          <w:tcPr>
            <w:tcW w:w="2035" w:type="dxa"/>
            <w:vAlign w:val="center"/>
          </w:tcPr>
          <w:p w:rsidR="00866CE9" w:rsidRDefault="00450B7F">
            <w:pPr>
              <w:rPr>
                <w:sz w:val="28"/>
                <w:szCs w:val="28"/>
              </w:rPr>
            </w:pPr>
            <w:r>
              <w:rPr>
                <w:rFonts w:hint="eastAsia"/>
                <w:sz w:val="28"/>
                <w:szCs w:val="28"/>
              </w:rPr>
              <w:t>姓名</w:t>
            </w:r>
          </w:p>
        </w:tc>
        <w:tc>
          <w:tcPr>
            <w:tcW w:w="1824" w:type="dxa"/>
            <w:vAlign w:val="center"/>
          </w:tcPr>
          <w:p w:rsidR="00866CE9" w:rsidRDefault="00866CE9">
            <w:pPr>
              <w:jc w:val="center"/>
              <w:rPr>
                <w:sz w:val="28"/>
                <w:szCs w:val="28"/>
              </w:rPr>
            </w:pPr>
          </w:p>
        </w:tc>
        <w:tc>
          <w:tcPr>
            <w:tcW w:w="1863" w:type="dxa"/>
            <w:vAlign w:val="center"/>
          </w:tcPr>
          <w:p w:rsidR="00866CE9" w:rsidRDefault="00450B7F">
            <w:pPr>
              <w:rPr>
                <w:sz w:val="28"/>
                <w:szCs w:val="28"/>
              </w:rPr>
            </w:pPr>
            <w:r>
              <w:rPr>
                <w:rFonts w:hint="eastAsia"/>
                <w:sz w:val="28"/>
                <w:szCs w:val="28"/>
              </w:rPr>
              <w:t>出生日期</w:t>
            </w:r>
          </w:p>
        </w:tc>
        <w:tc>
          <w:tcPr>
            <w:tcW w:w="3217" w:type="dxa"/>
            <w:vAlign w:val="center"/>
          </w:tcPr>
          <w:p w:rsidR="00866CE9" w:rsidRDefault="00866CE9">
            <w:pPr>
              <w:jc w:val="center"/>
              <w:rPr>
                <w:sz w:val="28"/>
                <w:szCs w:val="28"/>
              </w:rPr>
            </w:pPr>
          </w:p>
        </w:tc>
      </w:tr>
      <w:tr w:rsidR="00866CE9">
        <w:trPr>
          <w:trHeight w:val="1110"/>
        </w:trPr>
        <w:tc>
          <w:tcPr>
            <w:tcW w:w="2035" w:type="dxa"/>
            <w:vAlign w:val="center"/>
          </w:tcPr>
          <w:p w:rsidR="00866CE9" w:rsidRDefault="00450B7F">
            <w:pPr>
              <w:rPr>
                <w:sz w:val="28"/>
                <w:szCs w:val="28"/>
              </w:rPr>
            </w:pPr>
            <w:r>
              <w:rPr>
                <w:rFonts w:hint="eastAsia"/>
                <w:sz w:val="28"/>
                <w:szCs w:val="28"/>
              </w:rPr>
              <w:t>民族</w:t>
            </w:r>
          </w:p>
        </w:tc>
        <w:tc>
          <w:tcPr>
            <w:tcW w:w="1824" w:type="dxa"/>
            <w:vAlign w:val="center"/>
          </w:tcPr>
          <w:p w:rsidR="00866CE9" w:rsidRDefault="00866CE9">
            <w:pPr>
              <w:jc w:val="center"/>
              <w:rPr>
                <w:sz w:val="28"/>
                <w:szCs w:val="28"/>
              </w:rPr>
            </w:pPr>
          </w:p>
        </w:tc>
        <w:tc>
          <w:tcPr>
            <w:tcW w:w="1863" w:type="dxa"/>
            <w:vAlign w:val="center"/>
          </w:tcPr>
          <w:p w:rsidR="00866CE9" w:rsidRDefault="00450B7F">
            <w:pPr>
              <w:rPr>
                <w:sz w:val="28"/>
                <w:szCs w:val="28"/>
              </w:rPr>
            </w:pPr>
            <w:r>
              <w:rPr>
                <w:rFonts w:hint="eastAsia"/>
                <w:sz w:val="28"/>
                <w:szCs w:val="28"/>
              </w:rPr>
              <w:t>技术等级</w:t>
            </w:r>
          </w:p>
        </w:tc>
        <w:tc>
          <w:tcPr>
            <w:tcW w:w="3217" w:type="dxa"/>
            <w:vAlign w:val="center"/>
          </w:tcPr>
          <w:p w:rsidR="00866CE9" w:rsidRDefault="00866CE9">
            <w:pPr>
              <w:jc w:val="center"/>
              <w:rPr>
                <w:sz w:val="28"/>
                <w:szCs w:val="28"/>
              </w:rPr>
            </w:pPr>
          </w:p>
        </w:tc>
      </w:tr>
      <w:tr w:rsidR="00866CE9">
        <w:trPr>
          <w:trHeight w:val="1110"/>
        </w:trPr>
        <w:tc>
          <w:tcPr>
            <w:tcW w:w="2035" w:type="dxa"/>
            <w:vAlign w:val="center"/>
          </w:tcPr>
          <w:p w:rsidR="00866CE9" w:rsidRDefault="00450B7F">
            <w:pPr>
              <w:rPr>
                <w:sz w:val="28"/>
                <w:szCs w:val="28"/>
              </w:rPr>
            </w:pPr>
            <w:r>
              <w:rPr>
                <w:rFonts w:hint="eastAsia"/>
                <w:sz w:val="28"/>
                <w:szCs w:val="28"/>
              </w:rPr>
              <w:t>联系电话</w:t>
            </w:r>
          </w:p>
        </w:tc>
        <w:tc>
          <w:tcPr>
            <w:tcW w:w="1824" w:type="dxa"/>
            <w:vAlign w:val="center"/>
          </w:tcPr>
          <w:p w:rsidR="00866CE9" w:rsidRDefault="00866CE9">
            <w:pPr>
              <w:jc w:val="center"/>
              <w:rPr>
                <w:sz w:val="28"/>
                <w:szCs w:val="28"/>
              </w:rPr>
            </w:pPr>
          </w:p>
        </w:tc>
        <w:tc>
          <w:tcPr>
            <w:tcW w:w="1863" w:type="dxa"/>
            <w:vAlign w:val="center"/>
          </w:tcPr>
          <w:p w:rsidR="00866CE9" w:rsidRDefault="00450B7F">
            <w:pPr>
              <w:rPr>
                <w:sz w:val="28"/>
                <w:szCs w:val="28"/>
              </w:rPr>
            </w:pPr>
            <w:r>
              <w:rPr>
                <w:rFonts w:hint="eastAsia"/>
                <w:sz w:val="28"/>
                <w:szCs w:val="28"/>
              </w:rPr>
              <w:t>工作单位</w:t>
            </w:r>
          </w:p>
        </w:tc>
        <w:tc>
          <w:tcPr>
            <w:tcW w:w="3217" w:type="dxa"/>
            <w:vAlign w:val="center"/>
          </w:tcPr>
          <w:p w:rsidR="00866CE9" w:rsidRDefault="00866CE9">
            <w:pPr>
              <w:jc w:val="center"/>
              <w:rPr>
                <w:sz w:val="28"/>
                <w:szCs w:val="28"/>
              </w:rPr>
            </w:pPr>
          </w:p>
        </w:tc>
      </w:tr>
      <w:tr w:rsidR="00866CE9">
        <w:trPr>
          <w:trHeight w:val="1110"/>
        </w:trPr>
        <w:tc>
          <w:tcPr>
            <w:tcW w:w="2035" w:type="dxa"/>
            <w:vAlign w:val="center"/>
          </w:tcPr>
          <w:p w:rsidR="00866CE9" w:rsidRDefault="00450B7F">
            <w:pPr>
              <w:rPr>
                <w:sz w:val="28"/>
                <w:szCs w:val="28"/>
              </w:rPr>
            </w:pPr>
            <w:r>
              <w:rPr>
                <w:rFonts w:hint="eastAsia"/>
                <w:sz w:val="28"/>
                <w:szCs w:val="28"/>
              </w:rPr>
              <w:t>身份证号</w:t>
            </w:r>
          </w:p>
        </w:tc>
        <w:tc>
          <w:tcPr>
            <w:tcW w:w="6904" w:type="dxa"/>
            <w:gridSpan w:val="3"/>
            <w:vAlign w:val="center"/>
          </w:tcPr>
          <w:p w:rsidR="00866CE9" w:rsidRDefault="00866CE9">
            <w:pPr>
              <w:jc w:val="center"/>
              <w:rPr>
                <w:sz w:val="28"/>
                <w:szCs w:val="28"/>
              </w:rPr>
            </w:pPr>
          </w:p>
        </w:tc>
      </w:tr>
    </w:tbl>
    <w:p w:rsidR="00866CE9" w:rsidRDefault="00866CE9">
      <w:pPr>
        <w:rPr>
          <w:rFonts w:ascii="仿宋_GB2312" w:eastAsia="仿宋_GB2312"/>
          <w:b/>
          <w:sz w:val="28"/>
          <w:szCs w:val="28"/>
        </w:rPr>
      </w:pPr>
    </w:p>
    <w:p w:rsidR="00866CE9" w:rsidRDefault="00450B7F">
      <w:pPr>
        <w:rPr>
          <w:rFonts w:ascii="仿宋_GB2312" w:eastAsia="仿宋_GB2312"/>
          <w:b/>
          <w:sz w:val="28"/>
          <w:szCs w:val="28"/>
        </w:rPr>
      </w:pPr>
      <w:r>
        <w:rPr>
          <w:rFonts w:ascii="仿宋_GB2312" w:eastAsia="仿宋_GB2312" w:hint="eastAsia"/>
          <w:b/>
          <w:sz w:val="28"/>
          <w:szCs w:val="28"/>
        </w:rPr>
        <w:t>注：</w:t>
      </w:r>
    </w:p>
    <w:p w:rsidR="00866CE9" w:rsidRDefault="00450B7F">
      <w:pPr>
        <w:rPr>
          <w:rFonts w:ascii="仿宋_GB2312" w:eastAsia="仿宋_GB2312"/>
          <w:b/>
          <w:sz w:val="28"/>
          <w:szCs w:val="28"/>
        </w:rPr>
      </w:pPr>
      <w:r>
        <w:rPr>
          <w:rFonts w:ascii="仿宋_GB2312" w:eastAsia="仿宋_GB2312" w:hint="eastAsia"/>
          <w:b/>
          <w:sz w:val="28"/>
          <w:szCs w:val="28"/>
        </w:rPr>
        <w:t>1.</w:t>
      </w:r>
      <w:r>
        <w:rPr>
          <w:rFonts w:ascii="仿宋_GB2312" w:eastAsia="仿宋_GB2312" w:hint="eastAsia"/>
          <w:b/>
          <w:sz w:val="28"/>
          <w:szCs w:val="28"/>
        </w:rPr>
        <w:t>已在国家体育总局注册棋手报名即为注册，</w:t>
      </w:r>
      <w:r>
        <w:rPr>
          <w:rFonts w:ascii="仿宋_GB2312" w:eastAsia="仿宋_GB2312" w:hint="eastAsia"/>
          <w:b/>
          <w:color w:val="FF0000"/>
          <w:sz w:val="28"/>
          <w:szCs w:val="28"/>
        </w:rPr>
        <w:t>无需填写此表</w:t>
      </w:r>
      <w:r>
        <w:rPr>
          <w:rFonts w:ascii="仿宋_GB2312" w:eastAsia="仿宋_GB2312" w:hint="eastAsia"/>
          <w:b/>
          <w:sz w:val="28"/>
          <w:szCs w:val="28"/>
        </w:rPr>
        <w:t>；</w:t>
      </w:r>
    </w:p>
    <w:p w:rsidR="00866CE9" w:rsidRDefault="00450B7F">
      <w:pPr>
        <w:rPr>
          <w:rFonts w:ascii="仿宋_GB2312" w:eastAsia="仿宋_GB2312"/>
          <w:b/>
          <w:sz w:val="28"/>
          <w:szCs w:val="28"/>
        </w:rPr>
      </w:pPr>
      <w:r>
        <w:rPr>
          <w:rFonts w:ascii="仿宋_GB2312" w:eastAsia="仿宋_GB2312" w:hint="eastAsia"/>
          <w:b/>
          <w:sz w:val="28"/>
          <w:szCs w:val="28"/>
        </w:rPr>
        <w:t>2.</w:t>
      </w:r>
      <w:r>
        <w:rPr>
          <w:rFonts w:ascii="仿宋_GB2312" w:eastAsia="仿宋_GB2312" w:hint="eastAsia"/>
          <w:b/>
          <w:sz w:val="28"/>
          <w:szCs w:val="28"/>
        </w:rPr>
        <w:t>请将注册表</w:t>
      </w:r>
      <w:r>
        <w:rPr>
          <w:rFonts w:ascii="仿宋_GB2312" w:eastAsia="仿宋_GB2312" w:hint="eastAsia"/>
          <w:b/>
          <w:color w:val="FF0000"/>
          <w:sz w:val="28"/>
          <w:szCs w:val="28"/>
        </w:rPr>
        <w:t>电子版发送</w:t>
      </w:r>
      <w:r>
        <w:rPr>
          <w:rFonts w:ascii="仿宋_GB2312" w:eastAsia="仿宋_GB2312" w:hint="eastAsia"/>
          <w:b/>
          <w:sz w:val="28"/>
          <w:szCs w:val="28"/>
        </w:rPr>
        <w:t>至：</w:t>
      </w:r>
      <w:hyperlink r:id="rId7" w:history="1">
        <w:r>
          <w:rPr>
            <w:rStyle w:val="a3"/>
            <w:rFonts w:ascii="仿宋_GB2312" w:eastAsia="仿宋_GB2312" w:hint="eastAsia"/>
            <w:b/>
            <w:sz w:val="28"/>
            <w:szCs w:val="28"/>
          </w:rPr>
          <w:t>zgxqxh@163.com</w:t>
        </w:r>
      </w:hyperlink>
      <w:r>
        <w:rPr>
          <w:rFonts w:ascii="仿宋_GB2312" w:eastAsia="仿宋_GB2312" w:hint="eastAsia"/>
          <w:b/>
          <w:sz w:val="28"/>
          <w:szCs w:val="28"/>
        </w:rPr>
        <w:t>；</w:t>
      </w:r>
    </w:p>
    <w:p w:rsidR="00866CE9" w:rsidRDefault="00450B7F">
      <w:pPr>
        <w:rPr>
          <w:rFonts w:ascii="仿宋_GB2312" w:eastAsia="仿宋_GB2312"/>
          <w:b/>
          <w:sz w:val="28"/>
          <w:szCs w:val="28"/>
        </w:rPr>
      </w:pPr>
      <w:r>
        <w:rPr>
          <w:rFonts w:ascii="仿宋_GB2312" w:eastAsia="仿宋_GB2312" w:hint="eastAsia"/>
          <w:b/>
          <w:sz w:val="28"/>
          <w:szCs w:val="28"/>
        </w:rPr>
        <w:t>3.</w:t>
      </w:r>
      <w:r>
        <w:rPr>
          <w:rFonts w:ascii="仿宋_GB2312" w:eastAsia="仿宋_GB2312" w:hint="eastAsia"/>
          <w:b/>
          <w:sz w:val="28"/>
          <w:szCs w:val="28"/>
        </w:rPr>
        <w:t>注册棋手身份证复印件、等级证书复印件</w:t>
      </w:r>
      <w:r>
        <w:rPr>
          <w:rFonts w:ascii="仿宋_GB2312" w:eastAsia="仿宋_GB2312" w:hint="eastAsia"/>
          <w:b/>
          <w:color w:val="FF0000"/>
          <w:sz w:val="28"/>
          <w:szCs w:val="28"/>
        </w:rPr>
        <w:t>寄送</w:t>
      </w:r>
      <w:r>
        <w:rPr>
          <w:rFonts w:ascii="仿宋_GB2312" w:eastAsia="仿宋_GB2312" w:hint="eastAsia"/>
          <w:b/>
          <w:sz w:val="28"/>
          <w:szCs w:val="28"/>
        </w:rPr>
        <w:t>：北京市东城区天坛东路</w:t>
      </w:r>
      <w:r>
        <w:rPr>
          <w:rFonts w:ascii="仿宋_GB2312" w:eastAsia="仿宋_GB2312" w:hint="eastAsia"/>
          <w:b/>
          <w:sz w:val="28"/>
          <w:szCs w:val="28"/>
        </w:rPr>
        <w:t>80</w:t>
      </w:r>
      <w:r>
        <w:rPr>
          <w:rFonts w:ascii="仿宋_GB2312" w:eastAsia="仿宋_GB2312" w:hint="eastAsia"/>
          <w:b/>
          <w:sz w:val="28"/>
          <w:szCs w:val="28"/>
        </w:rPr>
        <w:t>号中国棋院</w:t>
      </w:r>
      <w:r>
        <w:rPr>
          <w:rFonts w:ascii="仿宋_GB2312" w:eastAsia="仿宋_GB2312" w:hint="eastAsia"/>
          <w:b/>
          <w:sz w:val="28"/>
          <w:szCs w:val="28"/>
        </w:rPr>
        <w:t>225</w:t>
      </w:r>
      <w:r>
        <w:rPr>
          <w:rFonts w:ascii="仿宋_GB2312" w:eastAsia="仿宋_GB2312" w:hint="eastAsia"/>
          <w:b/>
          <w:sz w:val="28"/>
          <w:szCs w:val="28"/>
        </w:rPr>
        <w:t>，象棋部收，邮编</w:t>
      </w:r>
      <w:r>
        <w:rPr>
          <w:rFonts w:ascii="仿宋_GB2312" w:eastAsia="仿宋_GB2312" w:hint="eastAsia"/>
          <w:b/>
          <w:sz w:val="28"/>
          <w:szCs w:val="28"/>
        </w:rPr>
        <w:t>100061</w:t>
      </w:r>
      <w:r>
        <w:rPr>
          <w:rFonts w:ascii="仿宋_GB2312" w:eastAsia="仿宋_GB2312" w:hint="eastAsia"/>
          <w:b/>
          <w:sz w:val="28"/>
          <w:szCs w:val="28"/>
        </w:rPr>
        <w:t>。</w:t>
      </w:r>
    </w:p>
    <w:p w:rsidR="00866CE9" w:rsidRDefault="00450B7F">
      <w:pPr>
        <w:rPr>
          <w:rFonts w:ascii="仿宋_GB2312" w:eastAsia="仿宋_GB2312"/>
          <w:b/>
          <w:sz w:val="28"/>
          <w:szCs w:val="28"/>
        </w:rPr>
      </w:pPr>
      <w:r>
        <w:rPr>
          <w:rFonts w:ascii="仿宋_GB2312" w:eastAsia="仿宋_GB2312"/>
          <w:b/>
          <w:sz w:val="28"/>
          <w:szCs w:val="28"/>
        </w:rPr>
        <w:br w:type="column"/>
      </w:r>
      <w:r>
        <w:rPr>
          <w:rFonts w:ascii="仿宋_GB2312" w:eastAsia="仿宋_GB2312" w:hint="eastAsia"/>
          <w:b/>
          <w:sz w:val="28"/>
          <w:szCs w:val="28"/>
        </w:rPr>
        <w:lastRenderedPageBreak/>
        <w:t>附件</w:t>
      </w:r>
      <w:r>
        <w:rPr>
          <w:rFonts w:ascii="仿宋_GB2312" w:eastAsia="仿宋_GB2312" w:hint="eastAsia"/>
          <w:b/>
          <w:sz w:val="28"/>
          <w:szCs w:val="28"/>
        </w:rPr>
        <w:t>2</w:t>
      </w:r>
      <w:r>
        <w:rPr>
          <w:rFonts w:ascii="仿宋_GB2312" w:eastAsia="仿宋_GB2312" w:hint="eastAsia"/>
          <w:b/>
          <w:sz w:val="28"/>
          <w:szCs w:val="28"/>
        </w:rPr>
        <w:t>：</w:t>
      </w:r>
    </w:p>
    <w:p w:rsidR="00866CE9" w:rsidRDefault="00450B7F">
      <w:pPr>
        <w:jc w:val="center"/>
        <w:rPr>
          <w:rFonts w:ascii="仿宋_GB2312" w:eastAsia="仿宋_GB2312"/>
          <w:b/>
          <w:sz w:val="28"/>
          <w:szCs w:val="28"/>
        </w:rPr>
      </w:pPr>
      <w:r>
        <w:rPr>
          <w:rFonts w:ascii="仿宋_GB2312" w:eastAsia="仿宋_GB2312"/>
          <w:b/>
          <w:sz w:val="28"/>
          <w:szCs w:val="28"/>
        </w:rPr>
        <w:t>外援</w:t>
      </w:r>
      <w:r>
        <w:rPr>
          <w:rFonts w:ascii="仿宋_GB2312" w:eastAsia="仿宋_GB2312"/>
          <w:b/>
          <w:sz w:val="28"/>
          <w:szCs w:val="28"/>
        </w:rPr>
        <w:t>/</w:t>
      </w:r>
      <w:r>
        <w:rPr>
          <w:rFonts w:ascii="仿宋_GB2312" w:eastAsia="仿宋_GB2312"/>
          <w:b/>
          <w:sz w:val="28"/>
          <w:szCs w:val="28"/>
        </w:rPr>
        <w:t>港澳台</w:t>
      </w:r>
      <w:r>
        <w:rPr>
          <w:rFonts w:ascii="仿宋_GB2312" w:eastAsia="仿宋_GB2312" w:hint="eastAsia"/>
          <w:b/>
          <w:sz w:val="28"/>
          <w:szCs w:val="28"/>
        </w:rPr>
        <w:t>棋手年度注册表</w:t>
      </w:r>
    </w:p>
    <w:p w:rsidR="00866CE9" w:rsidRDefault="00866CE9">
      <w:pPr>
        <w:rPr>
          <w:rFonts w:ascii="仿宋_GB2312" w:eastAsia="仿宋_GB2312"/>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2071"/>
        <w:gridCol w:w="2073"/>
        <w:gridCol w:w="2672"/>
      </w:tblGrid>
      <w:tr w:rsidR="00866CE9">
        <w:trPr>
          <w:trHeight w:val="1118"/>
          <w:jc w:val="center"/>
        </w:trPr>
        <w:tc>
          <w:tcPr>
            <w:tcW w:w="174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中文名</w:t>
            </w:r>
          </w:p>
        </w:tc>
        <w:tc>
          <w:tcPr>
            <w:tcW w:w="2071" w:type="dxa"/>
            <w:vAlign w:val="center"/>
          </w:tcPr>
          <w:p w:rsidR="00866CE9" w:rsidRDefault="00866CE9">
            <w:pPr>
              <w:tabs>
                <w:tab w:val="left" w:pos="1920"/>
              </w:tabs>
              <w:ind w:rightChars="372" w:right="781"/>
              <w:jc w:val="center"/>
              <w:rPr>
                <w:rFonts w:ascii="仿宋_GB2312" w:eastAsia="仿宋_GB2312"/>
                <w:b/>
                <w:sz w:val="28"/>
                <w:szCs w:val="28"/>
              </w:rPr>
            </w:pPr>
          </w:p>
        </w:tc>
        <w:tc>
          <w:tcPr>
            <w:tcW w:w="207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英文名</w:t>
            </w:r>
          </w:p>
        </w:tc>
        <w:tc>
          <w:tcPr>
            <w:tcW w:w="2672" w:type="dxa"/>
            <w:vAlign w:val="center"/>
          </w:tcPr>
          <w:p w:rsidR="00866CE9" w:rsidRDefault="00866CE9">
            <w:pPr>
              <w:jc w:val="center"/>
              <w:rPr>
                <w:rFonts w:ascii="仿宋_GB2312" w:eastAsia="仿宋_GB2312"/>
                <w:b/>
                <w:sz w:val="28"/>
                <w:szCs w:val="28"/>
              </w:rPr>
            </w:pPr>
          </w:p>
        </w:tc>
      </w:tr>
      <w:tr w:rsidR="00866CE9">
        <w:trPr>
          <w:trHeight w:val="1083"/>
          <w:jc w:val="center"/>
        </w:trPr>
        <w:tc>
          <w:tcPr>
            <w:tcW w:w="174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技术等级</w:t>
            </w:r>
          </w:p>
        </w:tc>
        <w:tc>
          <w:tcPr>
            <w:tcW w:w="2071" w:type="dxa"/>
            <w:vAlign w:val="center"/>
          </w:tcPr>
          <w:p w:rsidR="00866CE9" w:rsidRDefault="00866CE9">
            <w:pPr>
              <w:tabs>
                <w:tab w:val="left" w:pos="1920"/>
              </w:tabs>
              <w:ind w:rightChars="372" w:right="781"/>
              <w:jc w:val="center"/>
              <w:rPr>
                <w:rFonts w:ascii="仿宋_GB2312" w:eastAsia="仿宋_GB2312"/>
                <w:b/>
                <w:sz w:val="28"/>
                <w:szCs w:val="28"/>
              </w:rPr>
            </w:pPr>
          </w:p>
        </w:tc>
        <w:tc>
          <w:tcPr>
            <w:tcW w:w="207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出生日期</w:t>
            </w:r>
          </w:p>
        </w:tc>
        <w:tc>
          <w:tcPr>
            <w:tcW w:w="2672" w:type="dxa"/>
            <w:vAlign w:val="center"/>
          </w:tcPr>
          <w:p w:rsidR="00866CE9" w:rsidRDefault="00866CE9">
            <w:pPr>
              <w:jc w:val="center"/>
              <w:rPr>
                <w:rFonts w:ascii="仿宋_GB2312" w:eastAsia="仿宋_GB2312"/>
                <w:b/>
                <w:sz w:val="28"/>
                <w:szCs w:val="28"/>
              </w:rPr>
            </w:pPr>
          </w:p>
        </w:tc>
      </w:tr>
      <w:tr w:rsidR="00866CE9">
        <w:trPr>
          <w:trHeight w:val="1051"/>
          <w:jc w:val="center"/>
        </w:trPr>
        <w:tc>
          <w:tcPr>
            <w:tcW w:w="174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性别</w:t>
            </w:r>
          </w:p>
        </w:tc>
        <w:tc>
          <w:tcPr>
            <w:tcW w:w="2071" w:type="dxa"/>
            <w:vAlign w:val="center"/>
          </w:tcPr>
          <w:p w:rsidR="00866CE9" w:rsidRDefault="00866CE9">
            <w:pPr>
              <w:jc w:val="center"/>
              <w:rPr>
                <w:rFonts w:ascii="仿宋_GB2312" w:eastAsia="仿宋_GB2312"/>
                <w:b/>
                <w:sz w:val="28"/>
                <w:szCs w:val="28"/>
              </w:rPr>
            </w:pPr>
          </w:p>
        </w:tc>
        <w:tc>
          <w:tcPr>
            <w:tcW w:w="207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所属国家</w:t>
            </w:r>
            <w:r>
              <w:rPr>
                <w:rFonts w:ascii="仿宋_GB2312" w:eastAsia="仿宋_GB2312"/>
                <w:b/>
                <w:sz w:val="28"/>
                <w:szCs w:val="28"/>
              </w:rPr>
              <w:t>/</w:t>
            </w:r>
            <w:r>
              <w:rPr>
                <w:rFonts w:ascii="仿宋_GB2312" w:eastAsia="仿宋_GB2312"/>
                <w:b/>
                <w:sz w:val="28"/>
                <w:szCs w:val="28"/>
              </w:rPr>
              <w:t>地区</w:t>
            </w:r>
          </w:p>
        </w:tc>
        <w:tc>
          <w:tcPr>
            <w:tcW w:w="2672" w:type="dxa"/>
            <w:vAlign w:val="center"/>
          </w:tcPr>
          <w:p w:rsidR="00866CE9" w:rsidRDefault="00866CE9">
            <w:pPr>
              <w:jc w:val="center"/>
              <w:rPr>
                <w:rFonts w:ascii="仿宋_GB2312" w:eastAsia="仿宋_GB2312"/>
                <w:b/>
                <w:sz w:val="28"/>
                <w:szCs w:val="28"/>
              </w:rPr>
            </w:pPr>
          </w:p>
        </w:tc>
      </w:tr>
      <w:tr w:rsidR="00866CE9">
        <w:trPr>
          <w:trHeight w:val="1112"/>
          <w:jc w:val="center"/>
        </w:trPr>
        <w:tc>
          <w:tcPr>
            <w:tcW w:w="174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证件号码</w:t>
            </w:r>
          </w:p>
        </w:tc>
        <w:tc>
          <w:tcPr>
            <w:tcW w:w="2071" w:type="dxa"/>
            <w:vAlign w:val="center"/>
          </w:tcPr>
          <w:p w:rsidR="00866CE9" w:rsidRDefault="00866CE9">
            <w:pPr>
              <w:jc w:val="center"/>
              <w:rPr>
                <w:rFonts w:ascii="仿宋_GB2312" w:eastAsia="仿宋_GB2312"/>
                <w:b/>
                <w:sz w:val="28"/>
                <w:szCs w:val="28"/>
              </w:rPr>
            </w:pPr>
          </w:p>
        </w:tc>
        <w:tc>
          <w:tcPr>
            <w:tcW w:w="2073" w:type="dxa"/>
            <w:vAlign w:val="center"/>
          </w:tcPr>
          <w:p w:rsidR="00866CE9" w:rsidRDefault="00450B7F">
            <w:pPr>
              <w:jc w:val="center"/>
              <w:rPr>
                <w:rFonts w:ascii="仿宋_GB2312" w:eastAsia="仿宋_GB2312"/>
                <w:b/>
                <w:sz w:val="28"/>
                <w:szCs w:val="28"/>
              </w:rPr>
            </w:pPr>
            <w:r>
              <w:rPr>
                <w:rFonts w:ascii="仿宋_GB2312" w:eastAsia="仿宋_GB2312" w:hint="eastAsia"/>
                <w:b/>
                <w:sz w:val="28"/>
                <w:szCs w:val="28"/>
              </w:rPr>
              <w:t>有效期</w:t>
            </w:r>
          </w:p>
        </w:tc>
        <w:tc>
          <w:tcPr>
            <w:tcW w:w="2672" w:type="dxa"/>
            <w:vAlign w:val="center"/>
          </w:tcPr>
          <w:p w:rsidR="00866CE9" w:rsidRDefault="00866CE9">
            <w:pPr>
              <w:jc w:val="center"/>
              <w:rPr>
                <w:rFonts w:ascii="仿宋_GB2312" w:eastAsia="仿宋_GB2312"/>
                <w:b/>
                <w:sz w:val="28"/>
                <w:szCs w:val="28"/>
              </w:rPr>
            </w:pPr>
          </w:p>
        </w:tc>
      </w:tr>
    </w:tbl>
    <w:p w:rsidR="00866CE9" w:rsidRDefault="00866CE9">
      <w:pPr>
        <w:rPr>
          <w:rFonts w:ascii="仿宋_GB2312" w:eastAsia="仿宋_GB2312"/>
          <w:b/>
          <w:sz w:val="28"/>
          <w:szCs w:val="28"/>
        </w:rPr>
      </w:pPr>
    </w:p>
    <w:p w:rsidR="00866CE9" w:rsidRDefault="00450B7F">
      <w:pPr>
        <w:rPr>
          <w:rFonts w:ascii="仿宋_GB2312" w:eastAsia="仿宋_GB2312"/>
          <w:b/>
          <w:sz w:val="28"/>
          <w:szCs w:val="28"/>
        </w:rPr>
      </w:pPr>
      <w:r>
        <w:rPr>
          <w:rFonts w:ascii="仿宋_GB2312" w:eastAsia="仿宋_GB2312" w:hint="eastAsia"/>
          <w:b/>
          <w:sz w:val="28"/>
          <w:szCs w:val="28"/>
        </w:rPr>
        <w:t>备注：请将上表及下列材料邮寄到：北京市东城区天坛东路</w:t>
      </w:r>
      <w:r>
        <w:rPr>
          <w:rFonts w:ascii="仿宋_GB2312" w:eastAsia="仿宋_GB2312" w:hint="eastAsia"/>
          <w:b/>
          <w:sz w:val="28"/>
          <w:szCs w:val="28"/>
        </w:rPr>
        <w:t>80</w:t>
      </w:r>
      <w:r>
        <w:rPr>
          <w:rFonts w:ascii="仿宋_GB2312" w:eastAsia="仿宋_GB2312" w:hint="eastAsia"/>
          <w:b/>
          <w:sz w:val="28"/>
          <w:szCs w:val="28"/>
        </w:rPr>
        <w:t>号中国棋院</w:t>
      </w:r>
      <w:r>
        <w:rPr>
          <w:rFonts w:ascii="仿宋_GB2312" w:eastAsia="仿宋_GB2312" w:hint="eastAsia"/>
          <w:b/>
          <w:sz w:val="28"/>
          <w:szCs w:val="28"/>
        </w:rPr>
        <w:t>225</w:t>
      </w:r>
      <w:r>
        <w:rPr>
          <w:rFonts w:ascii="仿宋_GB2312" w:eastAsia="仿宋_GB2312" w:hint="eastAsia"/>
          <w:b/>
          <w:sz w:val="28"/>
          <w:szCs w:val="28"/>
        </w:rPr>
        <w:t>，象棋部收，邮编</w:t>
      </w:r>
      <w:r>
        <w:rPr>
          <w:rFonts w:ascii="仿宋_GB2312" w:eastAsia="仿宋_GB2312" w:hint="eastAsia"/>
          <w:b/>
          <w:sz w:val="28"/>
          <w:szCs w:val="28"/>
        </w:rPr>
        <w:t>100061</w:t>
      </w:r>
      <w:r>
        <w:rPr>
          <w:rFonts w:ascii="仿宋_GB2312" w:eastAsia="仿宋_GB2312" w:hint="eastAsia"/>
          <w:b/>
          <w:sz w:val="28"/>
          <w:szCs w:val="28"/>
        </w:rPr>
        <w:t>。</w:t>
      </w:r>
    </w:p>
    <w:p w:rsidR="00866CE9" w:rsidRDefault="00450B7F">
      <w:pPr>
        <w:rPr>
          <w:rFonts w:ascii="仿宋_GB2312" w:eastAsia="仿宋_GB2312"/>
          <w:b/>
          <w:sz w:val="28"/>
          <w:szCs w:val="28"/>
        </w:rPr>
      </w:pPr>
      <w:r>
        <w:rPr>
          <w:rFonts w:ascii="仿宋_GB2312" w:eastAsia="仿宋_GB2312" w:hint="eastAsia"/>
          <w:b/>
          <w:sz w:val="28"/>
          <w:szCs w:val="28"/>
        </w:rPr>
        <w:t>所需材料：</w:t>
      </w:r>
    </w:p>
    <w:p w:rsidR="00866CE9" w:rsidRDefault="00450B7F">
      <w:pPr>
        <w:rPr>
          <w:rFonts w:ascii="仿宋_GB2312" w:eastAsia="仿宋_GB2312"/>
          <w:b/>
          <w:sz w:val="28"/>
          <w:szCs w:val="28"/>
        </w:rPr>
      </w:pPr>
      <w:r>
        <w:rPr>
          <w:rFonts w:ascii="仿宋_GB2312" w:eastAsia="仿宋_GB2312" w:hint="eastAsia"/>
          <w:b/>
          <w:sz w:val="28"/>
          <w:szCs w:val="28"/>
        </w:rPr>
        <w:t>1</w:t>
      </w:r>
      <w:r>
        <w:rPr>
          <w:rFonts w:ascii="仿宋_GB2312" w:eastAsia="仿宋_GB2312" w:hint="eastAsia"/>
          <w:b/>
          <w:sz w:val="28"/>
          <w:szCs w:val="28"/>
        </w:rPr>
        <w:t>、棋手护照</w:t>
      </w:r>
      <w:r>
        <w:rPr>
          <w:rFonts w:ascii="仿宋_GB2312" w:eastAsia="仿宋_GB2312"/>
          <w:b/>
          <w:sz w:val="28"/>
          <w:szCs w:val="28"/>
        </w:rPr>
        <w:t>/</w:t>
      </w:r>
      <w:r>
        <w:rPr>
          <w:rFonts w:ascii="仿宋_GB2312" w:eastAsia="仿宋_GB2312"/>
          <w:b/>
          <w:sz w:val="28"/>
          <w:szCs w:val="28"/>
        </w:rPr>
        <w:t>台胞证</w:t>
      </w:r>
      <w:r>
        <w:rPr>
          <w:rFonts w:ascii="仿宋_GB2312" w:eastAsia="仿宋_GB2312"/>
          <w:b/>
          <w:sz w:val="28"/>
          <w:szCs w:val="28"/>
        </w:rPr>
        <w:t>/</w:t>
      </w:r>
      <w:r>
        <w:rPr>
          <w:rFonts w:ascii="仿宋_GB2312" w:eastAsia="仿宋_GB2312"/>
          <w:b/>
          <w:sz w:val="28"/>
          <w:szCs w:val="28"/>
        </w:rPr>
        <w:t>回乡证</w:t>
      </w:r>
      <w:r>
        <w:rPr>
          <w:rFonts w:ascii="仿宋_GB2312" w:eastAsia="仿宋_GB2312" w:hint="eastAsia"/>
          <w:b/>
          <w:sz w:val="28"/>
          <w:szCs w:val="28"/>
        </w:rPr>
        <w:t>复印件（包括本人信息页、签证页）</w:t>
      </w:r>
    </w:p>
    <w:p w:rsidR="00866CE9" w:rsidRDefault="00450B7F">
      <w:pPr>
        <w:rPr>
          <w:rFonts w:ascii="仿宋_GB2312" w:eastAsia="仿宋_GB2312"/>
          <w:b/>
          <w:sz w:val="28"/>
          <w:szCs w:val="28"/>
        </w:rPr>
      </w:pPr>
      <w:r>
        <w:rPr>
          <w:rFonts w:ascii="仿宋_GB2312" w:eastAsia="仿宋_GB2312" w:hint="eastAsia"/>
          <w:b/>
          <w:sz w:val="28"/>
          <w:szCs w:val="28"/>
        </w:rPr>
        <w:t>2</w:t>
      </w:r>
      <w:r>
        <w:rPr>
          <w:rFonts w:ascii="仿宋_GB2312" w:eastAsia="仿宋_GB2312" w:hint="eastAsia"/>
          <w:b/>
          <w:sz w:val="28"/>
          <w:szCs w:val="28"/>
        </w:rPr>
        <w:t>、所属国家</w:t>
      </w:r>
      <w:r>
        <w:rPr>
          <w:rFonts w:ascii="仿宋_GB2312" w:eastAsia="仿宋_GB2312" w:hint="eastAsia"/>
          <w:b/>
          <w:sz w:val="28"/>
          <w:szCs w:val="28"/>
        </w:rPr>
        <w:t>/</w:t>
      </w:r>
      <w:r>
        <w:rPr>
          <w:rFonts w:ascii="仿宋_GB2312" w:eastAsia="仿宋_GB2312" w:hint="eastAsia"/>
          <w:b/>
          <w:sz w:val="28"/>
          <w:szCs w:val="28"/>
        </w:rPr>
        <w:t>地区象棋组织参赛确认函原件</w:t>
      </w:r>
    </w:p>
    <w:p w:rsidR="00866CE9" w:rsidRDefault="00866CE9">
      <w:pPr>
        <w:rPr>
          <w:sz w:val="28"/>
          <w:szCs w:val="28"/>
        </w:rPr>
      </w:pPr>
    </w:p>
    <w:p w:rsidR="00866CE9" w:rsidRDefault="00866CE9"/>
    <w:sectPr w:rsidR="00866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4B2C"/>
    <w:multiLevelType w:val="multilevel"/>
    <w:tmpl w:val="327E4B2C"/>
    <w:lvl w:ilvl="0">
      <w:start w:val="1"/>
      <w:numFmt w:val="japaneseCounting"/>
      <w:lvlText w:val="第%1章"/>
      <w:lvlJc w:val="left"/>
      <w:pPr>
        <w:tabs>
          <w:tab w:val="left" w:pos="735"/>
        </w:tabs>
        <w:ind w:left="735" w:hanging="735"/>
      </w:pPr>
      <w:rPr>
        <w:rFonts w:hint="default"/>
      </w:rPr>
    </w:lvl>
    <w:lvl w:ilvl="1">
      <w:start w:val="1"/>
      <w:numFmt w:val="chineseCountingThousand"/>
      <w:lvlText w:val="第%2条"/>
      <w:lvlJc w:val="left"/>
      <w:pPr>
        <w:tabs>
          <w:tab w:val="left" w:pos="567"/>
        </w:tabs>
        <w:ind w:left="1155" w:hanging="1155"/>
      </w:pPr>
      <w:rPr>
        <w:rFonts w:hint="default"/>
        <w:lang w:val="en-US"/>
      </w:rPr>
    </w:lvl>
    <w:lvl w:ilvl="2">
      <w:start w:val="1"/>
      <w:numFmt w:val="chineseCountingThousand"/>
      <w:lvlText w:val="（%3）"/>
      <w:lvlJc w:val="left"/>
      <w:pPr>
        <w:tabs>
          <w:tab w:val="left" w:pos="567"/>
        </w:tabs>
        <w:ind w:left="0" w:firstLine="284"/>
      </w:pPr>
      <w:rPr>
        <w:rFonts w:hint="default"/>
        <w:lang w:val="en-US"/>
      </w:rPr>
    </w:lvl>
    <w:lvl w:ilvl="3">
      <w:start w:val="1"/>
      <w:numFmt w:val="decimal"/>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835EB"/>
    <w:rsid w:val="00450B7F"/>
    <w:rsid w:val="00866CE9"/>
    <w:rsid w:val="1668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gxqxh@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易之爱⑨号</dc:creator>
  <cp:lastModifiedBy>dell</cp:lastModifiedBy>
  <cp:revision>2</cp:revision>
  <dcterms:created xsi:type="dcterms:W3CDTF">2020-06-12T02:33:00Z</dcterms:created>
  <dcterms:modified xsi:type="dcterms:W3CDTF">2020-06-12T02:33:00Z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