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</w:pPr>
      <w:bookmarkStart w:id="0" w:name="_Hlk80023437"/>
    </w:p>
    <w:p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  <w:t>公共体育场馆免费低收费开放服务评价结果公开表</w:t>
      </w:r>
    </w:p>
    <w:bookmarkEnd w:id="0"/>
    <w:p>
      <w:pPr>
        <w:spacing w:line="360" w:lineRule="auto"/>
        <w:jc w:val="left"/>
        <w:rPr>
          <w:rFonts w:ascii="仿宋" w:hAnsi="仿宋" w:eastAsia="仿宋"/>
          <w:color w:val="auto"/>
          <w:sz w:val="24"/>
          <w:szCs w:val="21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46"/>
        <w:gridCol w:w="1039"/>
        <w:gridCol w:w="1053"/>
        <w:gridCol w:w="1348"/>
        <w:gridCol w:w="1436"/>
        <w:gridCol w:w="1436"/>
        <w:gridCol w:w="1436"/>
        <w:gridCol w:w="1436"/>
        <w:gridCol w:w="168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tblHeader/>
          <w:jc w:val="center"/>
        </w:trPr>
        <w:tc>
          <w:tcPr>
            <w:tcW w:w="280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场馆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名称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是否完全达到《公共体育场馆基本公共服务规范》各项要求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（是/否）</w:t>
            </w:r>
          </w:p>
        </w:tc>
        <w:tc>
          <w:tcPr>
            <w:tcW w:w="366" w:type="pct"/>
            <w:vAlign w:val="center"/>
          </w:tcPr>
          <w:p>
            <w:pPr>
              <w:ind w:left="-106" w:leftChars="-51" w:right="-107" w:rightChars="-51" w:hanging="1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健身场地开放面积及开放率得分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（分）</w:t>
            </w:r>
          </w:p>
        </w:tc>
        <w:tc>
          <w:tcPr>
            <w:tcW w:w="37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接待总人次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得分</w:t>
            </w:r>
          </w:p>
          <w:p>
            <w:pPr>
              <w:ind w:left="-106" w:leftChars="-51" w:right="-107" w:rightChars="-51" w:hanging="1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（分）</w:t>
            </w:r>
          </w:p>
        </w:tc>
        <w:tc>
          <w:tcPr>
            <w:tcW w:w="47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lang w:eastAsia="zh-CN"/>
              </w:rPr>
              <w:t>体育</w:t>
            </w: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赛事活动得分（分）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体育培训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得分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（分）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学校体育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得分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（分）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体育组织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得分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（分）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信息化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管理服务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得分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（分）</w:t>
            </w:r>
          </w:p>
        </w:tc>
        <w:tc>
          <w:tcPr>
            <w:tcW w:w="59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评价总分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（分）</w:t>
            </w:r>
          </w:p>
        </w:tc>
        <w:tc>
          <w:tcPr>
            <w:tcW w:w="44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评价等次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71" w:type="pct"/>
            <w:vAlign w:val="center"/>
          </w:tcPr>
          <w:p>
            <w:pPr>
              <w:ind w:left="-107" w:leftChars="-51" w:right="-107" w:rightChars="-51" w:firstLine="107" w:firstLineChars="51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71" w:type="pct"/>
            <w:vAlign w:val="center"/>
          </w:tcPr>
          <w:p>
            <w:pPr>
              <w:ind w:left="-107" w:leftChars="-51" w:right="-107" w:rightChars="-51" w:firstLine="107" w:firstLineChars="51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71" w:type="pct"/>
            <w:vAlign w:val="center"/>
          </w:tcPr>
          <w:p>
            <w:pPr>
              <w:ind w:left="-107" w:leftChars="-51" w:right="-107" w:rightChars="-51" w:firstLine="107" w:firstLineChars="51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75" w:type="pct"/>
            <w:vAlign w:val="center"/>
          </w:tcPr>
          <w:p>
            <w:pPr>
              <w:ind w:left="-187" w:leftChars="-89" w:right="-153" w:rightChars="-73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06" w:type="pct"/>
            <w:vAlign w:val="center"/>
          </w:tcPr>
          <w:p>
            <w:pPr>
              <w:ind w:left="-187" w:leftChars="-89" w:right="-153" w:rightChars="-73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06" w:type="pct"/>
            <w:vAlign w:val="center"/>
          </w:tcPr>
          <w:p>
            <w:pPr>
              <w:ind w:left="-187" w:leftChars="-89" w:right="-153" w:rightChars="-73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06" w:type="pct"/>
            <w:vAlign w:val="center"/>
          </w:tcPr>
          <w:p>
            <w:pPr>
              <w:ind w:left="-187" w:leftChars="-89" w:right="-153" w:rightChars="-73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06" w:type="pct"/>
            <w:vAlign w:val="center"/>
          </w:tcPr>
          <w:p>
            <w:pPr>
              <w:ind w:left="-187" w:leftChars="-89" w:right="-153" w:rightChars="-73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95" w:type="pct"/>
            <w:vAlign w:val="center"/>
          </w:tcPr>
          <w:p>
            <w:pPr>
              <w:ind w:left="-187" w:leftChars="-89" w:right="-153" w:rightChars="-73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44" w:type="pct"/>
            <w:vAlign w:val="center"/>
          </w:tcPr>
          <w:p>
            <w:pPr>
              <w:ind w:left="-187" w:leftChars="-89" w:right="-153" w:rightChars="-73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71" w:type="pct"/>
            <w:vAlign w:val="center"/>
          </w:tcPr>
          <w:p>
            <w:pPr>
              <w:ind w:left="-107" w:leftChars="-51" w:right="-107" w:rightChars="-51" w:firstLine="107" w:firstLineChars="51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75" w:type="pct"/>
            <w:vAlign w:val="center"/>
          </w:tcPr>
          <w:p>
            <w:pPr>
              <w:ind w:left="-187" w:leftChars="-89" w:right="-153" w:rightChars="-73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06" w:type="pct"/>
            <w:vAlign w:val="center"/>
          </w:tcPr>
          <w:p>
            <w:pPr>
              <w:ind w:left="-187" w:leftChars="-89" w:right="-153" w:rightChars="-73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06" w:type="pct"/>
            <w:vAlign w:val="center"/>
          </w:tcPr>
          <w:p>
            <w:pPr>
              <w:ind w:left="-187" w:leftChars="-89" w:right="-153" w:rightChars="-73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06" w:type="pct"/>
            <w:vAlign w:val="center"/>
          </w:tcPr>
          <w:p>
            <w:pPr>
              <w:ind w:left="-187" w:leftChars="-89" w:right="-153" w:rightChars="-73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06" w:type="pct"/>
            <w:vAlign w:val="center"/>
          </w:tcPr>
          <w:p>
            <w:pPr>
              <w:ind w:left="-187" w:leftChars="-89" w:right="-153" w:rightChars="-73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95" w:type="pct"/>
            <w:vAlign w:val="center"/>
          </w:tcPr>
          <w:p>
            <w:pPr>
              <w:ind w:left="-187" w:leftChars="-89" w:right="-153" w:rightChars="-73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44" w:type="pct"/>
            <w:vAlign w:val="center"/>
          </w:tcPr>
          <w:p>
            <w:pPr>
              <w:ind w:left="-187" w:leftChars="-89" w:right="-153" w:rightChars="-73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371" w:type="pct"/>
            <w:vAlign w:val="center"/>
          </w:tcPr>
          <w:p>
            <w:pPr>
              <w:ind w:left="-107" w:leftChars="-51" w:right="-107" w:rightChars="-51" w:firstLine="107" w:firstLineChars="51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630" w:hanging="630" w:hangingChars="300"/>
        <w:jc w:val="both"/>
        <w:textAlignment w:val="auto"/>
        <w:rPr>
          <w:rFonts w:ascii="仿宋" w:hAnsi="仿宋" w:eastAsia="仿宋"/>
          <w:color w:val="auto"/>
          <w:kern w:val="0"/>
          <w:sz w:val="21"/>
          <w:szCs w:val="21"/>
        </w:rPr>
      </w:pPr>
      <w:bookmarkStart w:id="1" w:name="_Hlk11275027"/>
      <w:r>
        <w:rPr>
          <w:rFonts w:hint="eastAsia" w:ascii="仿宋" w:hAnsi="仿宋" w:eastAsia="仿宋"/>
          <w:color w:val="auto"/>
          <w:kern w:val="0"/>
          <w:sz w:val="21"/>
          <w:szCs w:val="21"/>
        </w:rPr>
        <w:t>注：1</w:t>
      </w:r>
      <w:r>
        <w:rPr>
          <w:rFonts w:ascii="仿宋" w:hAnsi="仿宋" w:eastAsia="仿宋"/>
          <w:color w:val="auto"/>
          <w:kern w:val="0"/>
          <w:sz w:val="21"/>
          <w:szCs w:val="21"/>
        </w:rPr>
        <w:t>.</w:t>
      </w:r>
      <w:r>
        <w:rPr>
          <w:rFonts w:hint="eastAsia" w:ascii="仿宋" w:hAnsi="仿宋" w:eastAsia="仿宋"/>
          <w:color w:val="auto"/>
          <w:kern w:val="0"/>
          <w:sz w:val="21"/>
          <w:szCs w:val="21"/>
        </w:rPr>
        <w:t>本表由</w:t>
      </w:r>
      <w:r>
        <w:rPr>
          <w:rFonts w:hint="eastAsia" w:ascii="仿宋" w:hAnsi="仿宋" w:eastAsia="仿宋"/>
          <w:color w:val="auto"/>
          <w:kern w:val="0"/>
          <w:sz w:val="21"/>
          <w:szCs w:val="21"/>
          <w:lang w:eastAsia="zh-CN"/>
        </w:rPr>
        <w:t>各省（区、市）、计划单列市、新疆生产建设兵团</w:t>
      </w:r>
      <w:r>
        <w:rPr>
          <w:rFonts w:hint="eastAsia" w:ascii="仿宋" w:hAnsi="仿宋" w:eastAsia="仿宋"/>
          <w:color w:val="auto"/>
          <w:kern w:val="0"/>
          <w:sz w:val="21"/>
          <w:szCs w:val="21"/>
        </w:rPr>
        <w:t>体育行政部门按照《公共体育场馆免费低收费开放服务评价指引》，在对本地区公共体育场馆开放服务进行综合评价的基础上填写。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630" w:leftChars="200" w:hanging="210" w:hangingChars="100"/>
        <w:jc w:val="both"/>
        <w:textAlignment w:val="auto"/>
        <w:rPr>
          <w:rFonts w:hint="eastAsia" w:ascii="仿宋" w:hAnsi="仿宋" w:eastAsia="仿宋"/>
          <w:color w:val="auto"/>
          <w:kern w:val="0"/>
          <w:sz w:val="21"/>
          <w:szCs w:val="21"/>
        </w:rPr>
      </w:pPr>
      <w:r>
        <w:rPr>
          <w:rFonts w:hint="eastAsia" w:ascii="仿宋" w:hAnsi="仿宋" w:eastAsia="仿宋"/>
          <w:color w:val="auto"/>
          <w:kern w:val="0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/>
          <w:color w:val="auto"/>
          <w:kern w:val="0"/>
          <w:sz w:val="21"/>
          <w:szCs w:val="21"/>
        </w:rPr>
        <w:t>评价等次在对省内全部</w:t>
      </w:r>
      <w:r>
        <w:rPr>
          <w:rFonts w:hint="eastAsia" w:ascii="仿宋" w:hAnsi="仿宋" w:eastAsia="仿宋"/>
          <w:color w:val="auto"/>
          <w:kern w:val="0"/>
          <w:sz w:val="21"/>
          <w:szCs w:val="21"/>
          <w:lang w:eastAsia="zh-CN"/>
        </w:rPr>
        <w:t>接</w:t>
      </w:r>
      <w:r>
        <w:rPr>
          <w:rFonts w:hint="eastAsia" w:ascii="仿宋" w:hAnsi="仿宋" w:eastAsia="仿宋"/>
          <w:color w:val="auto"/>
          <w:kern w:val="0"/>
          <w:sz w:val="21"/>
          <w:szCs w:val="21"/>
        </w:rPr>
        <w:t>受</w:t>
      </w:r>
      <w:r>
        <w:rPr>
          <w:rFonts w:hint="eastAsia" w:ascii="仿宋" w:hAnsi="仿宋" w:eastAsia="仿宋"/>
          <w:color w:val="auto"/>
          <w:kern w:val="0"/>
          <w:sz w:val="21"/>
          <w:szCs w:val="21"/>
          <w:lang w:eastAsia="zh-CN"/>
        </w:rPr>
        <w:t>中央财政资金</w:t>
      </w:r>
      <w:r>
        <w:rPr>
          <w:rFonts w:hint="eastAsia" w:ascii="仿宋" w:hAnsi="仿宋" w:eastAsia="仿宋"/>
          <w:color w:val="auto"/>
          <w:kern w:val="0"/>
          <w:sz w:val="21"/>
          <w:szCs w:val="21"/>
        </w:rPr>
        <w:t>补助</w:t>
      </w:r>
      <w:r>
        <w:rPr>
          <w:rFonts w:hint="eastAsia" w:ascii="仿宋" w:hAnsi="仿宋" w:eastAsia="仿宋"/>
          <w:color w:val="auto"/>
          <w:kern w:val="0"/>
          <w:sz w:val="21"/>
          <w:szCs w:val="21"/>
          <w:lang w:eastAsia="zh-CN"/>
        </w:rPr>
        <w:t>的</w:t>
      </w:r>
      <w:bookmarkStart w:id="2" w:name="_GoBack"/>
      <w:bookmarkEnd w:id="2"/>
      <w:r>
        <w:rPr>
          <w:rFonts w:hint="eastAsia" w:ascii="仿宋" w:hAnsi="仿宋" w:eastAsia="仿宋"/>
          <w:color w:val="auto"/>
          <w:kern w:val="0"/>
          <w:sz w:val="21"/>
          <w:szCs w:val="21"/>
        </w:rPr>
        <w:t>公共体育场馆进行评价打分和排序的基础上确定，共分为优秀、良好、合格、不合格四个等次。没有达到《公共体育场馆基本公共服务规范》的场馆应评定为“不合格”。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both"/>
        <w:textAlignment w:val="auto"/>
        <w:rPr>
          <w:rFonts w:hint="default" w:ascii="仿宋" w:hAnsi="仿宋" w:eastAsia="仿宋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1"/>
          <w:szCs w:val="21"/>
          <w:lang w:val="en-US" w:eastAsia="zh-CN"/>
        </w:rPr>
        <w:t>3.本表评价的时间范围为从上年7-12月到当年1-6月的连续12个月。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48"/>
    <w:rsid w:val="000172C5"/>
    <w:rsid w:val="000D5321"/>
    <w:rsid w:val="001E0811"/>
    <w:rsid w:val="002D0E16"/>
    <w:rsid w:val="004728C7"/>
    <w:rsid w:val="005C62F4"/>
    <w:rsid w:val="00703057"/>
    <w:rsid w:val="007F40BA"/>
    <w:rsid w:val="00816252"/>
    <w:rsid w:val="00983B6F"/>
    <w:rsid w:val="009E7C60"/>
    <w:rsid w:val="00C468D0"/>
    <w:rsid w:val="00C52DAB"/>
    <w:rsid w:val="00D4592A"/>
    <w:rsid w:val="00E16848"/>
    <w:rsid w:val="00E91F5C"/>
    <w:rsid w:val="00EB09A6"/>
    <w:rsid w:val="363E3C3A"/>
    <w:rsid w:val="3E73DA72"/>
    <w:rsid w:val="3EFD9B33"/>
    <w:rsid w:val="4DEB4E2E"/>
    <w:rsid w:val="79F3B93D"/>
    <w:rsid w:val="7BBBDC08"/>
    <w:rsid w:val="7D7B5645"/>
    <w:rsid w:val="7F738BE9"/>
    <w:rsid w:val="B7BF329B"/>
    <w:rsid w:val="BF7CD358"/>
    <w:rsid w:val="C6D62B93"/>
    <w:rsid w:val="DFFFA112"/>
    <w:rsid w:val="F9C137E5"/>
    <w:rsid w:val="FDF712B3"/>
    <w:rsid w:val="FDFD9171"/>
    <w:rsid w:val="FFFBC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footnote reference"/>
    <w:basedOn w:val="6"/>
    <w:qFormat/>
    <w:uiPriority w:val="99"/>
    <w:rPr>
      <w:vertAlign w:val="superscript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脚注文本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</Words>
  <Characters>696</Characters>
  <Lines>5</Lines>
  <Paragraphs>1</Paragraphs>
  <TotalTime>10</TotalTime>
  <ScaleCrop>false</ScaleCrop>
  <LinksUpToDate>false</LinksUpToDate>
  <CharactersWithSpaces>817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2021-09-18T16:26:00Z</dcterms:created>
  <dc:creator>杨 媛</dc:creator>
  <cp:lastModifiedBy>sunshuwei</cp:lastModifiedBy>
  <cp:lastPrinted>2022-01-30T03:10:00Z</cp:lastPrinted>
  <dcterms:modified xsi:type="dcterms:W3CDTF">2022-01-30T14:50:52Z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e38c75e9b8b54fbb9ca6f220d9ad6ea4</vt:lpwstr>
  </property>
  <property fmtid="{D5CDD505-2E9C-101B-9397-08002B2CF9AE}" pid="3" name="KSOProductBuildVer">
    <vt:lpwstr>2052-11.8.2.9864</vt:lpwstr>
  </property>
</Properties>
</file>